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D97231">
      <w:pPr>
        <w:rPr>
          <w:color w:val="000000" w:themeColor="text1"/>
          <w:szCs w:val="21"/>
          <w14:textFill>
            <w14:solidFill>
              <w14:schemeClr w14:val="tx1"/>
            </w14:solidFill>
          </w14:textFill>
        </w:rPr>
      </w:pPr>
    </w:p>
    <w:p w14:paraId="5B5E95DA">
      <w:pPr>
        <w:rPr>
          <w:color w:val="000000" w:themeColor="text1"/>
          <w:szCs w:val="21"/>
          <w14:textFill>
            <w14:solidFill>
              <w14:schemeClr w14:val="tx1"/>
            </w14:solidFill>
          </w14:textFill>
        </w:rPr>
      </w:pPr>
    </w:p>
    <w:p w14:paraId="5452D213">
      <w:pPr>
        <w:rPr>
          <w:color w:val="000000" w:themeColor="text1"/>
          <w:szCs w:val="21"/>
          <w14:textFill>
            <w14:solidFill>
              <w14:schemeClr w14:val="tx1"/>
            </w14:solidFill>
          </w14:textFill>
        </w:rPr>
      </w:pPr>
    </w:p>
    <w:p w14:paraId="413F4C82">
      <w:pPr>
        <w:rPr>
          <w:color w:val="000000" w:themeColor="text1"/>
          <w:szCs w:val="21"/>
          <w14:textFill>
            <w14:solidFill>
              <w14:schemeClr w14:val="tx1"/>
            </w14:solidFill>
          </w14:textFill>
        </w:rPr>
      </w:pPr>
    </w:p>
    <w:p w14:paraId="3F2D3942">
      <w:pPr>
        <w:adjustRightInd w:val="0"/>
        <w:snapToGrid w:val="0"/>
        <w:jc w:val="both"/>
        <w:outlineLvl w:val="0"/>
        <w:rPr>
          <w:rFonts w:eastAsia="方正小标宋_GBK"/>
          <w:bCs/>
          <w:color w:val="000000" w:themeColor="text1"/>
          <w:sz w:val="72"/>
          <w:szCs w:val="72"/>
          <w14:textFill>
            <w14:solidFill>
              <w14:schemeClr w14:val="tx1"/>
            </w14:solidFill>
          </w14:textFill>
        </w:rPr>
      </w:pPr>
      <w:r>
        <w:rPr>
          <w:rFonts w:eastAsia="方正小标宋_GBK"/>
          <w:bCs/>
          <w:color w:val="000000" w:themeColor="text1"/>
          <w:sz w:val="72"/>
          <w:szCs w:val="72"/>
          <w14:textFill>
            <w14:solidFill>
              <w14:schemeClr w14:val="tx1"/>
            </w14:solidFill>
          </w14:textFill>
        </w:rPr>
        <w:t>建设项目环境影响报告表</w:t>
      </w:r>
    </w:p>
    <w:p w14:paraId="2D178ECE">
      <w:pPr>
        <w:adjustRightInd w:val="0"/>
        <w:snapToGrid w:val="0"/>
        <w:spacing w:beforeLines="80"/>
        <w:jc w:val="center"/>
        <w:rPr>
          <w:rFonts w:eastAsia="楷体_GB2312"/>
          <w:bCs/>
          <w:color w:val="000000" w:themeColor="text1"/>
          <w:sz w:val="72"/>
          <w:szCs w:val="72"/>
          <w14:textFill>
            <w14:solidFill>
              <w14:schemeClr w14:val="tx1"/>
            </w14:solidFill>
          </w14:textFill>
        </w:rPr>
      </w:pPr>
      <w:r>
        <w:rPr>
          <w:rFonts w:eastAsia="楷体_GB2312"/>
          <w:bCs/>
          <w:color w:val="000000" w:themeColor="text1"/>
          <w:sz w:val="48"/>
          <w:szCs w:val="48"/>
          <w14:textFill>
            <w14:solidFill>
              <w14:schemeClr w14:val="tx1"/>
            </w14:solidFill>
          </w14:textFill>
        </w:rPr>
        <w:t>（污染影响类）</w:t>
      </w:r>
    </w:p>
    <w:p w14:paraId="2FF1EB9D">
      <w:pPr>
        <w:jc w:val="center"/>
        <w:rPr>
          <w:rFonts w:eastAsia="仿宋"/>
          <w:color w:val="000000" w:themeColor="text1"/>
          <w:sz w:val="52"/>
          <w:szCs w:val="52"/>
          <w14:textFill>
            <w14:solidFill>
              <w14:schemeClr w14:val="tx1"/>
            </w14:solidFill>
          </w14:textFill>
        </w:rPr>
      </w:pPr>
    </w:p>
    <w:p w14:paraId="2F9A89A1">
      <w:pPr>
        <w:ind w:firstLine="1040"/>
        <w:rPr>
          <w:rFonts w:eastAsia="仿宋"/>
          <w:color w:val="000000" w:themeColor="text1"/>
          <w:sz w:val="44"/>
          <w:szCs w:val="44"/>
          <w14:textFill>
            <w14:solidFill>
              <w14:schemeClr w14:val="tx1"/>
            </w14:solidFill>
          </w14:textFill>
        </w:rPr>
      </w:pPr>
    </w:p>
    <w:p w14:paraId="384A1A3B">
      <w:pPr>
        <w:ind w:firstLine="1040"/>
        <w:rPr>
          <w:rFonts w:eastAsia="仿宋"/>
          <w:color w:val="000000" w:themeColor="text1"/>
          <w:sz w:val="44"/>
          <w:szCs w:val="44"/>
          <w14:textFill>
            <w14:solidFill>
              <w14:schemeClr w14:val="tx1"/>
            </w14:solidFill>
          </w14:textFill>
        </w:rPr>
      </w:pPr>
    </w:p>
    <w:p w14:paraId="529F0B68">
      <w:pPr>
        <w:ind w:firstLine="1040"/>
        <w:rPr>
          <w:rFonts w:eastAsia="仿宋"/>
          <w:color w:val="000000" w:themeColor="text1"/>
          <w:sz w:val="44"/>
          <w:szCs w:val="44"/>
          <w14:textFill>
            <w14:solidFill>
              <w14:schemeClr w14:val="tx1"/>
            </w14:solidFill>
          </w14:textFill>
        </w:rPr>
      </w:pPr>
    </w:p>
    <w:p w14:paraId="61C5DBA8">
      <w:pPr>
        <w:ind w:firstLine="1040"/>
        <w:rPr>
          <w:rFonts w:eastAsia="仿宋"/>
          <w:color w:val="000000" w:themeColor="text1"/>
          <w:sz w:val="44"/>
          <w:szCs w:val="44"/>
          <w14:textFill>
            <w14:solidFill>
              <w14:schemeClr w14:val="tx1"/>
            </w14:solidFill>
          </w14:textFill>
        </w:rPr>
      </w:pPr>
    </w:p>
    <w:p w14:paraId="4F585B3E">
      <w:pPr>
        <w:rPr>
          <w:rFonts w:eastAsia="仿宋"/>
          <w:color w:val="000000" w:themeColor="text1"/>
          <w:sz w:val="44"/>
          <w:szCs w:val="44"/>
          <w14:textFill>
            <w14:solidFill>
              <w14:schemeClr w14:val="tx1"/>
            </w14:solidFill>
          </w14:textFill>
        </w:rPr>
      </w:pPr>
    </w:p>
    <w:p w14:paraId="697E8751">
      <w:pPr>
        <w:ind w:firstLine="1040"/>
        <w:rPr>
          <w:rFonts w:eastAsia="仿宋"/>
          <w:color w:val="000000" w:themeColor="text1"/>
          <w:sz w:val="44"/>
          <w:szCs w:val="44"/>
          <w14:textFill>
            <w14:solidFill>
              <w14:schemeClr w14:val="tx1"/>
            </w14:solidFill>
          </w14:textFill>
        </w:rPr>
      </w:pPr>
    </w:p>
    <w:p w14:paraId="79D6E717">
      <w:pPr>
        <w:ind w:firstLine="1040"/>
        <w:rPr>
          <w:rFonts w:eastAsia="仿宋"/>
          <w:color w:val="000000" w:themeColor="text1"/>
          <w:sz w:val="44"/>
          <w:szCs w:val="44"/>
          <w14:textFill>
            <w14:solidFill>
              <w14:schemeClr w14:val="tx1"/>
            </w14:solidFill>
          </w14:textFill>
        </w:rPr>
      </w:pPr>
    </w:p>
    <w:p w14:paraId="2C272696">
      <w:pPr>
        <w:adjustRightInd w:val="0"/>
        <w:snapToGrid w:val="0"/>
        <w:spacing w:line="360" w:lineRule="auto"/>
        <w:ind w:left="2877" w:leftChars="513" w:hanging="1800" w:hangingChars="500"/>
        <w:jc w:val="left"/>
        <w:rPr>
          <w:rFonts w:hint="eastAsia" w:eastAsia="仿宋_GB2312"/>
          <w:b w:val="0"/>
          <w:bCs w:val="0"/>
          <w:color w:val="000000" w:themeColor="text1"/>
          <w:sz w:val="36"/>
          <w:szCs w:val="36"/>
          <w:u w:val="single"/>
          <w:lang w:val="en-US" w:eastAsia="zh-CN"/>
          <w14:textFill>
            <w14:solidFill>
              <w14:schemeClr w14:val="tx1"/>
            </w14:solidFill>
          </w14:textFill>
        </w:rPr>
      </w:pPr>
      <w:r>
        <w:rPr>
          <w:rFonts w:eastAsia="仿宋_GB2312"/>
          <w:color w:val="000000" w:themeColor="text1"/>
          <w:sz w:val="36"/>
          <w:szCs w:val="36"/>
          <w14:textFill>
            <w14:solidFill>
              <w14:schemeClr w14:val="tx1"/>
            </w14:solidFill>
          </w14:textFill>
        </w:rPr>
        <w:t>项目名称：</w:t>
      </w:r>
      <w:r>
        <w:rPr>
          <w:rFonts w:hint="eastAsia" w:eastAsia="仿宋_GB2312"/>
          <w:b w:val="0"/>
          <w:bCs w:val="0"/>
          <w:color w:val="000000" w:themeColor="text1"/>
          <w:sz w:val="36"/>
          <w:szCs w:val="36"/>
          <w:u w:val="single"/>
          <w:lang w:val="en-US" w:eastAsia="zh-CN"/>
          <w14:textFill>
            <w14:solidFill>
              <w14:schemeClr w14:val="tx1"/>
            </w14:solidFill>
          </w14:textFill>
        </w:rPr>
        <w:t xml:space="preserve"> 重庆三秋禾科技有限公司年产350万件</w:t>
      </w:r>
    </w:p>
    <w:p w14:paraId="3EB1A19C">
      <w:pPr>
        <w:adjustRightInd w:val="0"/>
        <w:snapToGrid w:val="0"/>
        <w:spacing w:line="360" w:lineRule="auto"/>
        <w:ind w:firstLine="2880" w:firstLineChars="800"/>
        <w:jc w:val="left"/>
        <w:rPr>
          <w:rFonts w:hint="default" w:eastAsia="仿宋_GB2312"/>
          <w:b w:val="0"/>
          <w:bCs w:val="0"/>
          <w:color w:val="000000" w:themeColor="text1"/>
          <w:sz w:val="36"/>
          <w:szCs w:val="36"/>
          <w:u w:val="single"/>
          <w:lang w:val="en-US" w:eastAsia="zh-CN"/>
          <w14:textFill>
            <w14:solidFill>
              <w14:schemeClr w14:val="tx1"/>
            </w14:solidFill>
          </w14:textFill>
        </w:rPr>
      </w:pPr>
      <w:r>
        <w:rPr>
          <w:rFonts w:hint="eastAsia" w:eastAsia="仿宋_GB2312"/>
          <w:b w:val="0"/>
          <w:bCs w:val="0"/>
          <w:color w:val="000000" w:themeColor="text1"/>
          <w:sz w:val="36"/>
          <w:szCs w:val="36"/>
          <w:u w:val="single"/>
          <w:lang w:val="en-US" w:eastAsia="zh-CN"/>
          <w14:textFill>
            <w14:solidFill>
              <w14:schemeClr w14:val="tx1"/>
            </w14:solidFill>
          </w14:textFill>
        </w:rPr>
        <w:t>摩托车配件制造项目</w:t>
      </w:r>
    </w:p>
    <w:p w14:paraId="376A39C0">
      <w:pPr>
        <w:adjustRightInd w:val="0"/>
        <w:snapToGrid w:val="0"/>
        <w:spacing w:line="360" w:lineRule="auto"/>
        <w:ind w:left="4137" w:leftChars="513" w:hanging="3060" w:hangingChars="850"/>
        <w:rPr>
          <w:rFonts w:eastAsia="仿宋_GB2312"/>
          <w:color w:val="000000" w:themeColor="text1"/>
          <w:sz w:val="36"/>
          <w:szCs w:val="36"/>
          <w:u w:val="single"/>
          <w14:textFill>
            <w14:solidFill>
              <w14:schemeClr w14:val="tx1"/>
            </w14:solidFill>
          </w14:textFill>
        </w:rPr>
      </w:pPr>
      <w:r>
        <w:rPr>
          <w:rFonts w:eastAsia="仿宋_GB2312"/>
          <w:color w:val="000000" w:themeColor="text1"/>
          <w:sz w:val="36"/>
          <w:szCs w:val="36"/>
          <w14:textFill>
            <w14:solidFill>
              <w14:schemeClr w14:val="tx1"/>
            </w14:solidFill>
          </w14:textFill>
        </w:rPr>
        <w:t>建设单位（盖章）：</w:t>
      </w:r>
      <w:r>
        <w:rPr>
          <w:rFonts w:hint="eastAsia" w:eastAsia="仿宋_GB2312"/>
          <w:color w:val="000000" w:themeColor="text1"/>
          <w:sz w:val="36"/>
          <w:szCs w:val="36"/>
          <w:u w:val="single"/>
          <w14:textFill>
            <w14:solidFill>
              <w14:schemeClr w14:val="tx1"/>
            </w14:solidFill>
          </w14:textFill>
        </w:rPr>
        <w:t xml:space="preserve"> 重庆三秋禾科技有限公司</w:t>
      </w:r>
      <w:r>
        <w:rPr>
          <w:rFonts w:hint="eastAsia" w:eastAsia="仿宋_GB2312"/>
          <w:color w:val="000000" w:themeColor="text1"/>
          <w:sz w:val="36"/>
          <w:szCs w:val="36"/>
          <w:u w:val="single"/>
          <w:lang w:val="en-US" w:eastAsia="zh-CN"/>
          <w14:textFill>
            <w14:solidFill>
              <w14:schemeClr w14:val="tx1"/>
            </w14:solidFill>
          </w14:textFill>
        </w:rPr>
        <w:t xml:space="preserve">  </w:t>
      </w:r>
      <w:r>
        <w:rPr>
          <w:rFonts w:hint="eastAsia" w:eastAsia="仿宋_GB2312"/>
          <w:color w:val="000000" w:themeColor="text1"/>
          <w:sz w:val="36"/>
          <w:szCs w:val="36"/>
          <w:u w:val="single"/>
          <w14:textFill>
            <w14:solidFill>
              <w14:schemeClr w14:val="tx1"/>
            </w14:solidFill>
          </w14:textFill>
        </w:rPr>
        <w:t xml:space="preserve"> </w:t>
      </w:r>
    </w:p>
    <w:p w14:paraId="2660083A">
      <w:pPr>
        <w:adjustRightInd w:val="0"/>
        <w:snapToGrid w:val="0"/>
        <w:spacing w:line="360" w:lineRule="auto"/>
        <w:ind w:firstLine="1080" w:firstLineChars="300"/>
        <w:rPr>
          <w:rFonts w:eastAsia="仿宋_GB2312"/>
          <w:color w:val="000000" w:themeColor="text1"/>
          <w:sz w:val="36"/>
          <w:szCs w:val="36"/>
          <w14:textFill>
            <w14:solidFill>
              <w14:schemeClr w14:val="tx1"/>
            </w14:solidFill>
          </w14:textFill>
        </w:rPr>
      </w:pPr>
      <w:r>
        <w:rPr>
          <w:rFonts w:eastAsia="仿宋_GB2312"/>
          <w:color w:val="000000" w:themeColor="text1"/>
          <w:sz w:val="36"/>
          <w:szCs w:val="36"/>
          <w14:textFill>
            <w14:solidFill>
              <w14:schemeClr w14:val="tx1"/>
            </w14:solidFill>
          </w14:textFill>
        </w:rPr>
        <w:t>编制日期：</w:t>
      </w:r>
      <w:r>
        <w:rPr>
          <w:rFonts w:eastAsia="仿宋_GB2312"/>
          <w:color w:val="000000" w:themeColor="text1"/>
          <w:sz w:val="36"/>
          <w:szCs w:val="36"/>
          <w:u w:val="single"/>
          <w14:textFill>
            <w14:solidFill>
              <w14:schemeClr w14:val="tx1"/>
            </w14:solidFill>
          </w14:textFill>
        </w:rPr>
        <w:t xml:space="preserve">           202</w:t>
      </w:r>
      <w:r>
        <w:rPr>
          <w:rFonts w:hint="eastAsia" w:eastAsia="仿宋_GB2312"/>
          <w:color w:val="000000" w:themeColor="text1"/>
          <w:sz w:val="36"/>
          <w:szCs w:val="36"/>
          <w:u w:val="single"/>
          <w:lang w:val="en-US" w:eastAsia="zh-CN"/>
          <w14:textFill>
            <w14:solidFill>
              <w14:schemeClr w14:val="tx1"/>
            </w14:solidFill>
          </w14:textFill>
        </w:rPr>
        <w:t>5</w:t>
      </w:r>
      <w:r>
        <w:rPr>
          <w:rFonts w:eastAsia="仿宋_GB2312"/>
          <w:color w:val="000000" w:themeColor="text1"/>
          <w:sz w:val="36"/>
          <w:szCs w:val="36"/>
          <w:u w:val="single"/>
          <w14:textFill>
            <w14:solidFill>
              <w14:schemeClr w14:val="tx1"/>
            </w14:solidFill>
          </w14:textFill>
        </w:rPr>
        <w:t>年</w:t>
      </w:r>
      <w:r>
        <w:rPr>
          <w:rFonts w:hint="eastAsia" w:eastAsia="仿宋_GB2312"/>
          <w:color w:val="000000" w:themeColor="text1"/>
          <w:sz w:val="36"/>
          <w:szCs w:val="36"/>
          <w:u w:val="single"/>
          <w:lang w:val="en-US" w:eastAsia="zh-CN"/>
          <w14:textFill>
            <w14:solidFill>
              <w14:schemeClr w14:val="tx1"/>
            </w14:solidFill>
          </w14:textFill>
        </w:rPr>
        <w:t>7</w:t>
      </w:r>
      <w:r>
        <w:rPr>
          <w:rFonts w:eastAsia="仿宋_GB2312"/>
          <w:color w:val="000000" w:themeColor="text1"/>
          <w:sz w:val="36"/>
          <w:szCs w:val="36"/>
          <w:u w:val="single"/>
          <w14:textFill>
            <w14:solidFill>
              <w14:schemeClr w14:val="tx1"/>
            </w14:solidFill>
          </w14:textFill>
        </w:rPr>
        <w:t xml:space="preserve">月         </w:t>
      </w:r>
      <w:r>
        <w:rPr>
          <w:rFonts w:hint="eastAsia" w:eastAsia="仿宋_GB2312"/>
          <w:color w:val="000000" w:themeColor="text1"/>
          <w:sz w:val="36"/>
          <w:szCs w:val="36"/>
          <w:u w:val="single"/>
          <w:lang w:val="en-US" w:eastAsia="zh-CN"/>
          <w14:textFill>
            <w14:solidFill>
              <w14:schemeClr w14:val="tx1"/>
            </w14:solidFill>
          </w14:textFill>
        </w:rPr>
        <w:t xml:space="preserve">   </w:t>
      </w:r>
      <w:r>
        <w:rPr>
          <w:rFonts w:eastAsia="仿宋_GB2312"/>
          <w:color w:val="000000" w:themeColor="text1"/>
          <w:sz w:val="36"/>
          <w:szCs w:val="36"/>
          <w:u w:val="single"/>
          <w14:textFill>
            <w14:solidFill>
              <w14:schemeClr w14:val="tx1"/>
            </w14:solidFill>
          </w14:textFill>
        </w:rPr>
        <w:t xml:space="preserve"> </w:t>
      </w:r>
      <w:bookmarkStart w:id="0" w:name="_Hlk57884087"/>
    </w:p>
    <w:p w14:paraId="5E5F0AC1">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p w14:paraId="0EF0967C">
      <w:pPr>
        <w:adjustRightInd w:val="0"/>
        <w:snapToGrid w:val="0"/>
        <w:spacing w:line="288" w:lineRule="auto"/>
        <w:ind w:firstLine="1040"/>
        <w:rPr>
          <w:rFonts w:eastAsia="仿宋_GB2312"/>
          <w:color w:val="000000" w:themeColor="text1"/>
          <w:sz w:val="36"/>
          <w:szCs w:val="36"/>
          <w14:textFill>
            <w14:solidFill>
              <w14:schemeClr w14:val="tx1"/>
            </w14:solidFill>
          </w14:textFill>
        </w:rPr>
      </w:pPr>
    </w:p>
    <w:bookmarkEnd w:id="0"/>
    <w:p w14:paraId="2295B5C8">
      <w:pPr>
        <w:adjustRightInd w:val="0"/>
        <w:snapToGrid w:val="0"/>
        <w:spacing w:line="288" w:lineRule="auto"/>
        <w:jc w:val="center"/>
        <w:rPr>
          <w:rFonts w:eastAsia="楷体_GB2312"/>
          <w:color w:val="000000" w:themeColor="text1"/>
          <w:sz w:val="36"/>
          <w:szCs w:val="36"/>
          <w14:textFill>
            <w14:solidFill>
              <w14:schemeClr w14:val="tx1"/>
            </w14:solidFill>
          </w14:textFill>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eastAsia="楷体_GB2312"/>
          <w:color w:val="000000" w:themeColor="text1"/>
          <w:sz w:val="36"/>
          <w:szCs w:val="36"/>
          <w14:textFill>
            <w14:solidFill>
              <w14:schemeClr w14:val="tx1"/>
            </w14:solidFill>
          </w14:textFill>
        </w:rPr>
        <w:t>中华人民共和国生态环境部制</w:t>
      </w:r>
    </w:p>
    <w:p w14:paraId="3762C6DA">
      <w:pPr>
        <w:adjustRightInd w:val="0"/>
        <w:snapToGrid w:val="0"/>
        <w:spacing w:line="288" w:lineRule="auto"/>
        <w:jc w:val="center"/>
      </w:pPr>
      <w:r>
        <w:drawing>
          <wp:inline distT="0" distB="0" distL="114300" distR="114300">
            <wp:extent cx="6045835" cy="8674100"/>
            <wp:effectExtent l="0" t="0" r="12065" b="1270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0"/>
                    <a:stretch>
                      <a:fillRect/>
                    </a:stretch>
                  </pic:blipFill>
                  <pic:spPr>
                    <a:xfrm>
                      <a:off x="0" y="0"/>
                      <a:ext cx="6045835" cy="8674100"/>
                    </a:xfrm>
                    <a:prstGeom prst="rect">
                      <a:avLst/>
                    </a:prstGeom>
                    <a:noFill/>
                    <a:ln>
                      <a:noFill/>
                    </a:ln>
                  </pic:spPr>
                </pic:pic>
              </a:graphicData>
            </a:graphic>
          </wp:inline>
        </w:drawing>
      </w:r>
      <w:r>
        <w:drawing>
          <wp:inline distT="0" distB="0" distL="114300" distR="114300">
            <wp:extent cx="6184265" cy="9530715"/>
            <wp:effectExtent l="0" t="0" r="6985" b="1333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11"/>
                    <a:stretch>
                      <a:fillRect/>
                    </a:stretch>
                  </pic:blipFill>
                  <pic:spPr>
                    <a:xfrm>
                      <a:off x="0" y="0"/>
                      <a:ext cx="6184265" cy="9530715"/>
                    </a:xfrm>
                    <a:prstGeom prst="rect">
                      <a:avLst/>
                    </a:prstGeom>
                    <a:noFill/>
                    <a:ln>
                      <a:noFill/>
                    </a:ln>
                  </pic:spPr>
                </pic:pic>
              </a:graphicData>
            </a:graphic>
          </wp:inline>
        </w:drawing>
      </w:r>
      <w:r>
        <w:rPr>
          <w:sz w:val="21"/>
        </w:rPr>
        <mc:AlternateContent>
          <mc:Choice Requires="wps">
            <w:drawing>
              <wp:anchor distT="0" distB="0" distL="114300" distR="114300" simplePos="0" relativeHeight="251660288" behindDoc="0" locked="0" layoutInCell="1" allowOverlap="1">
                <wp:simplePos x="0" y="0"/>
                <wp:positionH relativeFrom="column">
                  <wp:posOffset>1117600</wp:posOffset>
                </wp:positionH>
                <wp:positionV relativeFrom="paragraph">
                  <wp:posOffset>6607175</wp:posOffset>
                </wp:positionV>
                <wp:extent cx="1333500" cy="313690"/>
                <wp:effectExtent l="0" t="0" r="0" b="10160"/>
                <wp:wrapNone/>
                <wp:docPr id="8" name="文本框 8"/>
                <wp:cNvGraphicFramePr/>
                <a:graphic xmlns:a="http://schemas.openxmlformats.org/drawingml/2006/main">
                  <a:graphicData uri="http://schemas.microsoft.com/office/word/2010/wordprocessingShape">
                    <wps:wsp>
                      <wps:cNvSpPr txBox="1"/>
                      <wps:spPr>
                        <a:xfrm>
                          <a:off x="0" y="0"/>
                          <a:ext cx="1333500" cy="313690"/>
                        </a:xfrm>
                        <a:prstGeom prst="rect">
                          <a:avLst/>
                        </a:prstGeom>
                        <a:solidFill>
                          <a:srgbClr val="FFFFFF"/>
                        </a:solidFill>
                        <a:ln>
                          <a:noFill/>
                        </a:ln>
                      </wps:spPr>
                      <wps:txbx>
                        <w:txbxContent>
                          <w:p w14:paraId="4B5A6419">
                            <w:pPr>
                              <w:rPr>
                                <w:rFonts w:hint="default" w:eastAsia="宋体"/>
                                <w:lang w:val="en-US" w:eastAsia="zh-CN"/>
                              </w:rPr>
                            </w:pPr>
                            <w:r>
                              <w:rPr>
                                <w:rFonts w:hint="eastAsia"/>
                                <w:lang w:val="en-US" w:eastAsia="zh-CN"/>
                              </w:rPr>
                              <w:t>2025年7月31日</w:t>
                            </w:r>
                          </w:p>
                        </w:txbxContent>
                      </wps:txbx>
                      <wps:bodyPr upright="1"/>
                    </wps:wsp>
                  </a:graphicData>
                </a:graphic>
              </wp:anchor>
            </w:drawing>
          </mc:Choice>
          <mc:Fallback>
            <w:pict>
              <v:shape id="_x0000_s1026" o:spid="_x0000_s1026" o:spt="202" type="#_x0000_t202" style="position:absolute;left:0pt;margin-left:88pt;margin-top:520.25pt;height:24.7pt;width:105pt;z-index:251660288;mso-width-relative:page;mso-height-relative:page;" fillcolor="#FFFFFF" filled="t" stroked="f" coordsize="21600,21600" o:gfxdata="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WEzbY9YAAAANAQAADwAAAAAAAAABACAAAAAiAAAAZHJzL2Rvd25yZXYueG1s&#10;UEsBAhQAFAAAAAgAh07iQNjioSfBAQAAdwMAAA4AAAAAAAAAAQAgAAAAJQEAAGRycy9lMm9Eb2Mu&#10;eG1sUEsFBgAAAAAGAAYAWQEAAFgFAAAAAA==&#10;">
                <v:fill on="t" focussize="0,0"/>
                <v:stroke on="f"/>
                <v:imagedata o:title=""/>
                <o:lock v:ext="edit" aspectratio="f"/>
                <v:textbox>
                  <w:txbxContent>
                    <w:p w14:paraId="4B5A6419">
                      <w:pPr>
                        <w:rPr>
                          <w:rFonts w:hint="default" w:eastAsia="宋体"/>
                          <w:lang w:val="en-US" w:eastAsia="zh-CN"/>
                        </w:rPr>
                      </w:pPr>
                      <w:r>
                        <w:rPr>
                          <w:rFonts w:hint="eastAsia"/>
                          <w:lang w:val="en-US" w:eastAsia="zh-CN"/>
                        </w:rPr>
                        <w:t>2025年7月31日</w:t>
                      </w:r>
                    </w:p>
                  </w:txbxContent>
                </v:textbox>
              </v:shape>
            </w:pict>
          </mc:Fallback>
        </mc:AlternateContent>
      </w:r>
      <w:r>
        <w:drawing>
          <wp:inline distT="0" distB="0" distL="114300" distR="114300">
            <wp:extent cx="5610225" cy="7915275"/>
            <wp:effectExtent l="0" t="0" r="9525" b="9525"/>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12"/>
                    <a:stretch>
                      <a:fillRect/>
                    </a:stretch>
                  </pic:blipFill>
                  <pic:spPr>
                    <a:xfrm>
                      <a:off x="0" y="0"/>
                      <a:ext cx="5610225" cy="7915275"/>
                    </a:xfrm>
                    <a:prstGeom prst="rect">
                      <a:avLst/>
                    </a:prstGeom>
                    <a:noFill/>
                    <a:ln>
                      <a:noFill/>
                    </a:ln>
                  </pic:spPr>
                </pic:pic>
              </a:graphicData>
            </a:graphic>
          </wp:inline>
        </w:drawing>
      </w:r>
    </w:p>
    <w:p w14:paraId="10192C15">
      <w:r>
        <w:br w:type="page"/>
      </w:r>
    </w:p>
    <w:p w14:paraId="3112CC14">
      <w:pPr>
        <w:spacing w:line="240" w:lineRule="auto"/>
        <w:jc w:val="center"/>
        <w:rPr>
          <w:rFonts w:hint="eastAsia"/>
          <w:b/>
          <w:bCs/>
          <w:sz w:val="32"/>
          <w:szCs w:val="32"/>
        </w:rPr>
      </w:pPr>
      <w:r>
        <w:rPr>
          <w:rFonts w:hint="eastAsia"/>
          <w:b/>
          <w:bCs/>
          <w:sz w:val="32"/>
          <w:szCs w:val="32"/>
        </w:rPr>
        <w:t>建设单位承诺书</w:t>
      </w:r>
    </w:p>
    <w:p w14:paraId="7C2B61F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rPr>
      </w:pPr>
      <w:r>
        <w:rPr>
          <w:rFonts w:hint="eastAsia"/>
          <w:sz w:val="24"/>
          <w:szCs w:val="24"/>
        </w:rPr>
        <w:t>（一）已经知晓行政许可实施机关告知的全部内容；</w:t>
      </w:r>
    </w:p>
    <w:p w14:paraId="356CB7D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rPr>
      </w:pPr>
      <w:r>
        <w:rPr>
          <w:rFonts w:hint="eastAsia"/>
          <w:sz w:val="24"/>
          <w:szCs w:val="24"/>
        </w:rPr>
        <w:t>（二）保证申请资料和相关数据的合法性、真实性、准确性，保证电子文件和纸质资料的一致性；</w:t>
      </w:r>
    </w:p>
    <w:p w14:paraId="7C10D231">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rPr>
      </w:pPr>
      <w:r>
        <w:rPr>
          <w:rFonts w:hint="eastAsia"/>
          <w:sz w:val="24"/>
          <w:szCs w:val="24"/>
        </w:rPr>
        <w:t>（三）自认满足行政许可实施机关告知的条件、标准和技术要求，本项目不存在“未批先建”等环境违法行为；</w:t>
      </w:r>
    </w:p>
    <w:p w14:paraId="70F01D9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rPr>
      </w:pPr>
      <w:r>
        <w:rPr>
          <w:rFonts w:hint="eastAsia"/>
          <w:sz w:val="24"/>
          <w:szCs w:val="24"/>
        </w:rPr>
        <w:t>（四）能够在约定期限内，提交行政许可实施机关告知的相关材料；</w:t>
      </w:r>
    </w:p>
    <w:p w14:paraId="2D055993">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rPr>
      </w:pPr>
      <w:r>
        <w:rPr>
          <w:rFonts w:hint="eastAsia"/>
          <w:sz w:val="24"/>
          <w:szCs w:val="24"/>
        </w:rPr>
        <w:t>（五）严格遵守相关环保法律法规，自觉履行环境保护义务，承担环境保护主体责任，落实“三同时”制度，按照本项目环评文件载明的项目性质、规模、地点、采用的生产工艺以及拟采取的环境保护措施进行项目建设和生产经营。重信守诺，维护良好的信用记录，并主动接受政府、行业组织、社会公众、新闻舆论的监督，积极履行社会责任；</w:t>
      </w:r>
    </w:p>
    <w:p w14:paraId="41FCC9A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rPr>
      </w:pPr>
      <w:r>
        <w:rPr>
          <w:rFonts w:hint="eastAsia"/>
          <w:sz w:val="24"/>
          <w:szCs w:val="24"/>
        </w:rPr>
        <w:t>（六）愿意承担不实承诺、违反承诺的法律责任及由此造成的损失；</w:t>
      </w:r>
    </w:p>
    <w:p w14:paraId="62430F9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rPr>
      </w:pPr>
      <w:r>
        <w:rPr>
          <w:rFonts w:hint="eastAsia"/>
          <w:sz w:val="24"/>
          <w:szCs w:val="24"/>
        </w:rPr>
        <w:t>（七）本承诺书在“信用重庆”等网站上公开；</w:t>
      </w:r>
    </w:p>
    <w:p w14:paraId="79984ADF">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rPr>
      </w:pPr>
      <w:r>
        <w:rPr>
          <w:rFonts w:hint="eastAsia"/>
          <w:sz w:val="24"/>
          <w:szCs w:val="24"/>
        </w:rPr>
        <w:t>（八）本单位已对环评机构编制的环评文件进行审查，提交的环评文件公示版不涉及国家秘密、商业秘密等内容，并认可环评文件中的环境影响评价结论。因环评文件存在重大质量问题，导致行政许可被撤销的，本单位承担相关法律责任和经济损失；</w:t>
      </w:r>
    </w:p>
    <w:p w14:paraId="1B3B5D6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rPr>
      </w:pPr>
      <w:r>
        <w:rPr>
          <w:rFonts w:hint="eastAsia"/>
          <w:sz w:val="24"/>
          <w:szCs w:val="24"/>
        </w:rPr>
        <w:t>（九）（勾选“告知承诺制”的）本单位自愿选择告知承诺制审批，并知晓相关规定内容，承诺履行主体责任，承担未履行承诺或其他法律法规要求而产生的一切后果（包括撤销环评批复、恢复原状等）；</w:t>
      </w:r>
    </w:p>
    <w:p w14:paraId="1BE592E7">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rPr>
      </w:pPr>
      <w:r>
        <w:rPr>
          <w:rFonts w:hint="eastAsia"/>
          <w:sz w:val="24"/>
          <w:szCs w:val="24"/>
        </w:rPr>
        <w:t>（十）（勾选“告知承诺制”的）本单位已知晓受理即领取的批准文书在法定公示期（10个工作日）结束后生效；本单位已知晓，公示期满如果收到反对意见，生态环境行政主管部门将组织开展反馈意见的甄别核实工作，5个工作日内核实不能批复，生态环境行政主管部门出具《不予行政许可决定书》，本单位承诺按要求退回批准文书，承担撤销环评批复产生的一切后果。在甄别核实意见期间，本单位承诺主动参与核实工作，不组织施工建设；</w:t>
      </w:r>
    </w:p>
    <w:p w14:paraId="6E2CD4A9">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rPr>
      </w:pPr>
      <w:r>
        <w:rPr>
          <w:rFonts w:hint="eastAsia"/>
          <w:sz w:val="24"/>
          <w:szCs w:val="24"/>
        </w:rPr>
        <w:t>（十一）上述陈述是申请人的真实意思表示。</w:t>
      </w:r>
    </w:p>
    <w:p w14:paraId="4116F576">
      <w:pPr>
        <w:spacing w:line="240" w:lineRule="auto"/>
        <w:rPr>
          <w:rFonts w:hint="eastAsia"/>
          <w:sz w:val="24"/>
          <w:szCs w:val="24"/>
        </w:rPr>
      </w:pPr>
    </w:p>
    <w:p w14:paraId="19206F8A">
      <w:pPr>
        <w:spacing w:line="240" w:lineRule="auto"/>
        <w:rPr>
          <w:rFonts w:hint="eastAsia"/>
          <w:sz w:val="24"/>
          <w:szCs w:val="24"/>
        </w:rPr>
      </w:pPr>
      <w:r>
        <w:rPr>
          <w:rFonts w:hint="eastAsia"/>
          <w:sz w:val="24"/>
          <w:szCs w:val="24"/>
        </w:rPr>
        <w:t xml:space="preserve">建设单位（盖章）：重庆三秋禾科技有限公司 </w:t>
      </w:r>
    </w:p>
    <w:p w14:paraId="6F48B38C">
      <w:pPr>
        <w:spacing w:line="240" w:lineRule="auto"/>
        <w:rPr>
          <w:rFonts w:hint="default" w:eastAsia="宋体"/>
          <w:sz w:val="24"/>
          <w:szCs w:val="24"/>
          <w:lang w:val="en-US" w:eastAsia="zh-CN"/>
        </w:rPr>
      </w:pPr>
      <w:r>
        <w:rPr>
          <w:rFonts w:hint="eastAsia"/>
          <w:sz w:val="24"/>
          <w:szCs w:val="24"/>
        </w:rPr>
        <w:t>日期：</w:t>
      </w:r>
      <w:r>
        <w:rPr>
          <w:rFonts w:hint="eastAsia"/>
          <w:sz w:val="24"/>
          <w:szCs w:val="24"/>
          <w:lang w:val="en-US" w:eastAsia="zh-CN"/>
        </w:rPr>
        <w:t>2025年7月31日</w:t>
      </w:r>
    </w:p>
    <w:p w14:paraId="3EA1696E">
      <w:pPr>
        <w:adjustRightInd w:val="0"/>
        <w:snapToGrid w:val="0"/>
        <w:spacing w:line="288" w:lineRule="auto"/>
        <w:jc w:val="center"/>
      </w:pPr>
      <w:r>
        <w:drawing>
          <wp:inline distT="0" distB="0" distL="114300" distR="114300">
            <wp:extent cx="5720715" cy="8416290"/>
            <wp:effectExtent l="0" t="0" r="13335" b="381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13"/>
                    <a:stretch>
                      <a:fillRect/>
                    </a:stretch>
                  </pic:blipFill>
                  <pic:spPr>
                    <a:xfrm>
                      <a:off x="0" y="0"/>
                      <a:ext cx="5720715" cy="8416290"/>
                    </a:xfrm>
                    <a:prstGeom prst="rect">
                      <a:avLst/>
                    </a:prstGeom>
                    <a:noFill/>
                    <a:ln>
                      <a:noFill/>
                    </a:ln>
                  </pic:spPr>
                </pic:pic>
              </a:graphicData>
            </a:graphic>
          </wp:inline>
        </w:drawing>
      </w:r>
      <w:r>
        <w:drawing>
          <wp:inline distT="0" distB="0" distL="114300" distR="114300">
            <wp:extent cx="5899150" cy="7537450"/>
            <wp:effectExtent l="0" t="0" r="6350" b="635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14"/>
                    <a:stretch>
                      <a:fillRect/>
                    </a:stretch>
                  </pic:blipFill>
                  <pic:spPr>
                    <a:xfrm>
                      <a:off x="0" y="0"/>
                      <a:ext cx="5899150" cy="7537450"/>
                    </a:xfrm>
                    <a:prstGeom prst="rect">
                      <a:avLst/>
                    </a:prstGeom>
                    <a:noFill/>
                    <a:ln>
                      <a:noFill/>
                    </a:ln>
                  </pic:spPr>
                </pic:pic>
              </a:graphicData>
            </a:graphic>
          </wp:inline>
        </w:drawing>
      </w:r>
    </w:p>
    <w:p w14:paraId="26C3E369">
      <w:r>
        <w:br w:type="page"/>
      </w:r>
    </w:p>
    <w:p w14:paraId="796B8D36">
      <w:pPr>
        <w:jc w:val="center"/>
        <w:rPr>
          <w:rFonts w:hint="eastAsia"/>
          <w:b/>
          <w:bCs/>
          <w:sz w:val="36"/>
          <w:szCs w:val="44"/>
        </w:rPr>
      </w:pPr>
      <w:r>
        <w:rPr>
          <w:rFonts w:hint="eastAsia"/>
          <w:b/>
          <w:bCs/>
          <w:sz w:val="36"/>
          <w:szCs w:val="44"/>
        </w:rPr>
        <w:t>公示确认函</w:t>
      </w:r>
    </w:p>
    <w:p w14:paraId="768ED3FF">
      <w:pPr>
        <w:rPr>
          <w:rFonts w:hint="eastAsia"/>
          <w:sz w:val="32"/>
          <w:szCs w:val="40"/>
        </w:rPr>
      </w:pPr>
    </w:p>
    <w:p w14:paraId="06F6F626">
      <w:pPr>
        <w:rPr>
          <w:rFonts w:hint="eastAsia"/>
          <w:sz w:val="32"/>
          <w:szCs w:val="40"/>
        </w:rPr>
      </w:pPr>
    </w:p>
    <w:p w14:paraId="487DF407">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sz w:val="32"/>
          <w:szCs w:val="40"/>
        </w:rPr>
      </w:pPr>
      <w:r>
        <w:rPr>
          <w:rFonts w:hint="eastAsia"/>
          <w:sz w:val="32"/>
          <w:szCs w:val="40"/>
        </w:rPr>
        <w:t>重庆市</w:t>
      </w:r>
      <w:r>
        <w:rPr>
          <w:rFonts w:hint="eastAsia"/>
          <w:sz w:val="32"/>
          <w:szCs w:val="40"/>
          <w:lang w:val="en-US" w:eastAsia="zh-CN"/>
        </w:rPr>
        <w:t>璧山</w:t>
      </w:r>
      <w:r>
        <w:rPr>
          <w:rFonts w:hint="eastAsia"/>
          <w:sz w:val="32"/>
          <w:szCs w:val="40"/>
        </w:rPr>
        <w:t>区生态环境局:</w:t>
      </w:r>
    </w:p>
    <w:p w14:paraId="79EEC3A0">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sz w:val="32"/>
          <w:szCs w:val="40"/>
        </w:rPr>
      </w:pPr>
      <w:r>
        <w:rPr>
          <w:rFonts w:hint="eastAsia"/>
          <w:sz w:val="32"/>
          <w:szCs w:val="40"/>
        </w:rPr>
        <w:t>我司委托重庆泓升环保工程有限公司编制</w:t>
      </w:r>
      <w:r>
        <w:rPr>
          <w:rFonts w:hint="default" w:ascii="Times New Roman" w:hAnsi="Times New Roman" w:cs="Times New Roman"/>
          <w:sz w:val="32"/>
          <w:szCs w:val="40"/>
        </w:rPr>
        <w:t>《重庆三秋禾科技有限公司年产350万件摩托车配件制造项目环境影响报告表</w:t>
      </w:r>
      <w:r>
        <w:rPr>
          <w:rFonts w:hint="eastAsia"/>
          <w:sz w:val="32"/>
          <w:szCs w:val="40"/>
          <w:lang w:eastAsia="zh-CN"/>
        </w:rPr>
        <w:t>（</w:t>
      </w:r>
      <w:r>
        <w:rPr>
          <w:rFonts w:hint="eastAsia"/>
          <w:sz w:val="32"/>
          <w:szCs w:val="40"/>
        </w:rPr>
        <w:t>公示版</w:t>
      </w:r>
      <w:r>
        <w:rPr>
          <w:rFonts w:hint="eastAsia"/>
          <w:sz w:val="32"/>
          <w:szCs w:val="40"/>
          <w:lang w:eastAsia="zh-CN"/>
        </w:rPr>
        <w:t>）</w:t>
      </w:r>
      <w:r>
        <w:rPr>
          <w:rFonts w:hint="default" w:ascii="Times New Roman" w:hAnsi="Times New Roman" w:cs="Times New Roman"/>
          <w:sz w:val="32"/>
          <w:szCs w:val="40"/>
        </w:rPr>
        <w:t>》</w:t>
      </w:r>
      <w:r>
        <w:rPr>
          <w:rFonts w:hint="eastAsia"/>
          <w:sz w:val="32"/>
          <w:szCs w:val="40"/>
          <w:lang w:eastAsia="zh-CN"/>
        </w:rPr>
        <w:t>（</w:t>
      </w:r>
      <w:r>
        <w:rPr>
          <w:rFonts w:hint="eastAsia"/>
          <w:sz w:val="32"/>
          <w:szCs w:val="40"/>
        </w:rPr>
        <w:t>以下简称“报告表”</w:t>
      </w:r>
      <w:r>
        <w:rPr>
          <w:rFonts w:hint="eastAsia"/>
          <w:sz w:val="32"/>
          <w:szCs w:val="40"/>
          <w:lang w:eastAsia="zh-CN"/>
        </w:rPr>
        <w:t>）</w:t>
      </w:r>
      <w:r>
        <w:rPr>
          <w:rFonts w:hint="eastAsia"/>
          <w:sz w:val="32"/>
          <w:szCs w:val="40"/>
        </w:rPr>
        <w:t>经本公司审核，除已删除内容外，《报告表》不涉及国家机密、商业秘密、个人隐私及公共安全、经济安全和社会稳定等内容，我公司承诺落实报告表中提出的环保措施和要求，同意《报告表》</w:t>
      </w:r>
      <w:r>
        <w:rPr>
          <w:rFonts w:hint="eastAsia"/>
          <w:sz w:val="32"/>
          <w:szCs w:val="40"/>
          <w:lang w:eastAsia="zh-CN"/>
        </w:rPr>
        <w:t>（</w:t>
      </w:r>
      <w:r>
        <w:rPr>
          <w:rFonts w:hint="eastAsia"/>
          <w:sz w:val="32"/>
          <w:szCs w:val="40"/>
        </w:rPr>
        <w:t>公示版</w:t>
      </w:r>
      <w:r>
        <w:rPr>
          <w:rFonts w:hint="eastAsia"/>
          <w:sz w:val="32"/>
          <w:szCs w:val="40"/>
          <w:lang w:eastAsia="zh-CN"/>
        </w:rPr>
        <w:t>）</w:t>
      </w:r>
      <w:r>
        <w:rPr>
          <w:rFonts w:hint="eastAsia"/>
          <w:sz w:val="32"/>
          <w:szCs w:val="40"/>
        </w:rPr>
        <w:t>对外公示。</w:t>
      </w:r>
    </w:p>
    <w:p w14:paraId="70D3208C">
      <w:pPr>
        <w:keepNext w:val="0"/>
        <w:keepLines w:val="0"/>
        <w:pageBreakBefore w:val="0"/>
        <w:widowControl w:val="0"/>
        <w:kinsoku/>
        <w:wordWrap/>
        <w:overflowPunct/>
        <w:topLinePunct w:val="0"/>
        <w:autoSpaceDE/>
        <w:autoSpaceDN/>
        <w:bidi w:val="0"/>
        <w:adjustRightInd/>
        <w:snapToGrid/>
        <w:spacing w:line="480" w:lineRule="auto"/>
        <w:ind w:firstLine="640" w:firstLineChars="200"/>
        <w:textAlignment w:val="auto"/>
        <w:rPr>
          <w:rFonts w:hint="eastAsia"/>
          <w:sz w:val="32"/>
          <w:szCs w:val="40"/>
          <w:lang w:eastAsia="zh-CN"/>
        </w:rPr>
      </w:pPr>
      <w:r>
        <w:rPr>
          <w:rFonts w:hint="eastAsia"/>
          <w:sz w:val="32"/>
          <w:szCs w:val="40"/>
        </w:rPr>
        <w:t>特此说明</w:t>
      </w:r>
      <w:r>
        <w:rPr>
          <w:rFonts w:hint="eastAsia"/>
          <w:sz w:val="32"/>
          <w:szCs w:val="40"/>
          <w:lang w:eastAsia="zh-CN"/>
        </w:rPr>
        <w:t>！</w:t>
      </w:r>
    </w:p>
    <w:p w14:paraId="7ADCD9B8">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eastAsia"/>
          <w:sz w:val="32"/>
          <w:szCs w:val="40"/>
          <w:lang w:val="en-US" w:eastAsia="zh-CN"/>
        </w:rPr>
      </w:pPr>
    </w:p>
    <w:p w14:paraId="7F653107">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eastAsia"/>
          <w:sz w:val="32"/>
          <w:szCs w:val="40"/>
          <w:lang w:val="en-US" w:eastAsia="zh-CN"/>
        </w:rPr>
      </w:pPr>
    </w:p>
    <w:p w14:paraId="4089B85E">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eastAsia"/>
          <w:sz w:val="32"/>
          <w:szCs w:val="40"/>
          <w:lang w:val="en-US" w:eastAsia="zh-CN"/>
        </w:rPr>
      </w:pPr>
    </w:p>
    <w:p w14:paraId="32FA3AF4">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default" w:ascii="Times New Roman" w:hAnsi="Times New Roman" w:cs="Times New Roman"/>
          <w:sz w:val="32"/>
          <w:szCs w:val="40"/>
        </w:rPr>
      </w:pPr>
      <w:r>
        <w:rPr>
          <w:rFonts w:hint="eastAsia"/>
          <w:sz w:val="32"/>
          <w:szCs w:val="40"/>
          <w:lang w:val="en-US" w:eastAsia="zh-CN"/>
        </w:rPr>
        <w:t>确认方（盖章）：</w:t>
      </w:r>
      <w:r>
        <w:rPr>
          <w:rFonts w:hint="default" w:ascii="Times New Roman" w:hAnsi="Times New Roman" w:cs="Times New Roman"/>
          <w:sz w:val="32"/>
          <w:szCs w:val="40"/>
        </w:rPr>
        <w:t>重庆三秋禾科技有限公司</w:t>
      </w:r>
    </w:p>
    <w:p w14:paraId="693C1A06">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snapToGrid w:val="0"/>
          <w:color w:val="000000" w:themeColor="text1"/>
          <w:sz w:val="30"/>
          <w:szCs w:val="30"/>
          <w14:textFill>
            <w14:solidFill>
              <w14:schemeClr w14:val="tx1"/>
            </w14:solidFill>
          </w14:textFill>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5F530F91">
      <w:pPr>
        <w:pStyle w:val="19"/>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一、建设项目基本情况</w:t>
      </w:r>
    </w:p>
    <w:tbl>
      <w:tblPr>
        <w:tblStyle w:val="21"/>
        <w:tblW w:w="916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99"/>
        <w:gridCol w:w="1082"/>
        <w:gridCol w:w="2329"/>
        <w:gridCol w:w="2262"/>
        <w:gridCol w:w="2699"/>
      </w:tblGrid>
      <w:tr w14:paraId="55409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1" w:type="dxa"/>
            <w:gridSpan w:val="2"/>
            <w:tcMar>
              <w:top w:w="16" w:type="dxa"/>
              <w:left w:w="16" w:type="dxa"/>
              <w:right w:w="16" w:type="dxa"/>
            </w:tcMar>
            <w:vAlign w:val="center"/>
          </w:tcPr>
          <w:p w14:paraId="7B3C97E8">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建设项目名称</w:t>
            </w:r>
          </w:p>
        </w:tc>
        <w:tc>
          <w:tcPr>
            <w:tcW w:w="7290" w:type="dxa"/>
            <w:gridSpan w:val="3"/>
            <w:vAlign w:val="center"/>
          </w:tcPr>
          <w:p w14:paraId="68572EF2">
            <w:pPr>
              <w:adjustRightInd w:val="0"/>
              <w:snapToGrid w:val="0"/>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重庆三秋禾科技有限公司年产350万件摩托车配件制造项目</w:t>
            </w:r>
          </w:p>
        </w:tc>
      </w:tr>
      <w:tr w14:paraId="1265B9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1" w:type="dxa"/>
            <w:gridSpan w:val="2"/>
            <w:tcMar>
              <w:top w:w="16" w:type="dxa"/>
              <w:left w:w="16" w:type="dxa"/>
              <w:right w:w="16" w:type="dxa"/>
            </w:tcMar>
            <w:vAlign w:val="center"/>
          </w:tcPr>
          <w:p w14:paraId="01D27A91">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项目代码</w:t>
            </w:r>
          </w:p>
        </w:tc>
        <w:tc>
          <w:tcPr>
            <w:tcW w:w="7290" w:type="dxa"/>
            <w:gridSpan w:val="3"/>
            <w:vAlign w:val="center"/>
          </w:tcPr>
          <w:p w14:paraId="6A4F3600">
            <w:pPr>
              <w:adjustRightInd w:val="0"/>
              <w:snapToGrid w:val="0"/>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w:t>
            </w:r>
          </w:p>
        </w:tc>
      </w:tr>
      <w:tr w14:paraId="709A70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1" w:type="dxa"/>
            <w:gridSpan w:val="2"/>
            <w:tcMar>
              <w:top w:w="16" w:type="dxa"/>
              <w:left w:w="16" w:type="dxa"/>
              <w:right w:w="16" w:type="dxa"/>
            </w:tcMar>
            <w:vAlign w:val="center"/>
          </w:tcPr>
          <w:p w14:paraId="632EEAA2">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建设单位联系人</w:t>
            </w:r>
          </w:p>
        </w:tc>
        <w:tc>
          <w:tcPr>
            <w:tcW w:w="2329" w:type="dxa"/>
            <w:vAlign w:val="center"/>
          </w:tcPr>
          <w:p w14:paraId="02CC3B8C">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w:t>
            </w:r>
          </w:p>
        </w:tc>
        <w:tc>
          <w:tcPr>
            <w:tcW w:w="2262" w:type="dxa"/>
            <w:vAlign w:val="center"/>
          </w:tcPr>
          <w:p w14:paraId="65CB145E">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联系方式</w:t>
            </w:r>
          </w:p>
        </w:tc>
        <w:tc>
          <w:tcPr>
            <w:tcW w:w="2699" w:type="dxa"/>
            <w:vAlign w:val="center"/>
          </w:tcPr>
          <w:p w14:paraId="3F0D18DE">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w:t>
            </w:r>
          </w:p>
        </w:tc>
      </w:tr>
      <w:tr w14:paraId="1C413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1" w:type="dxa"/>
            <w:gridSpan w:val="2"/>
            <w:tcMar>
              <w:top w:w="16" w:type="dxa"/>
              <w:left w:w="16" w:type="dxa"/>
              <w:right w:w="16" w:type="dxa"/>
            </w:tcMar>
            <w:vAlign w:val="center"/>
          </w:tcPr>
          <w:p w14:paraId="3EBDE686">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建设地点</w:t>
            </w:r>
          </w:p>
        </w:tc>
        <w:tc>
          <w:tcPr>
            <w:tcW w:w="7290" w:type="dxa"/>
            <w:gridSpan w:val="3"/>
            <w:vAlign w:val="center"/>
          </w:tcPr>
          <w:p w14:paraId="134BE51C">
            <w:pPr>
              <w:adjustRightInd w:val="0"/>
              <w:snapToGrid w:val="0"/>
              <w:jc w:val="center"/>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璧山区青杠街道龙青路59号</w:t>
            </w:r>
          </w:p>
        </w:tc>
      </w:tr>
      <w:tr w14:paraId="71445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1" w:type="dxa"/>
            <w:gridSpan w:val="2"/>
            <w:tcMar>
              <w:top w:w="16" w:type="dxa"/>
              <w:left w:w="16" w:type="dxa"/>
              <w:right w:w="16" w:type="dxa"/>
            </w:tcMar>
            <w:vAlign w:val="center"/>
          </w:tcPr>
          <w:p w14:paraId="6BAB9EEA">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地理坐标</w:t>
            </w:r>
          </w:p>
        </w:tc>
        <w:tc>
          <w:tcPr>
            <w:tcW w:w="7290" w:type="dxa"/>
            <w:gridSpan w:val="3"/>
            <w:vAlign w:val="center"/>
          </w:tcPr>
          <w:p w14:paraId="028B7F86">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（106度13分47.21秒，29度27分10.89秒）</w:t>
            </w:r>
          </w:p>
        </w:tc>
      </w:tr>
      <w:tr w14:paraId="510B6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81" w:type="dxa"/>
            <w:gridSpan w:val="2"/>
            <w:tcMar>
              <w:top w:w="16" w:type="dxa"/>
              <w:left w:w="16" w:type="dxa"/>
              <w:right w:w="16" w:type="dxa"/>
            </w:tcMar>
            <w:vAlign w:val="center"/>
          </w:tcPr>
          <w:p w14:paraId="316DC719">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国民经济</w:t>
            </w:r>
          </w:p>
          <w:p w14:paraId="4FCB6071">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行业类别</w:t>
            </w:r>
          </w:p>
        </w:tc>
        <w:tc>
          <w:tcPr>
            <w:tcW w:w="2329" w:type="dxa"/>
            <w:vAlign w:val="center"/>
          </w:tcPr>
          <w:p w14:paraId="63D7DB85">
            <w:pPr>
              <w:adjustRightInd w:val="0"/>
              <w:snapToGrid w:val="0"/>
              <w:jc w:val="center"/>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C3</w:t>
            </w:r>
            <w:r>
              <w:rPr>
                <w:rFonts w:hint="eastAsia" w:cs="Times New Roman" w:eastAsiaTheme="minorEastAsia"/>
                <w:color w:val="000000" w:themeColor="text1"/>
                <w:sz w:val="24"/>
                <w:lang w:val="en-US" w:eastAsia="zh-CN"/>
                <w14:textFill>
                  <w14:solidFill>
                    <w14:schemeClr w14:val="tx1"/>
                  </w14:solidFill>
                </w14:textFill>
              </w:rPr>
              <w:t xml:space="preserve">752 </w:t>
            </w:r>
            <w:r>
              <w:rPr>
                <w:rFonts w:hint="default" w:ascii="Times New Roman" w:hAnsi="Times New Roman" w:cs="Times New Roman" w:eastAsiaTheme="minorEastAsia"/>
                <w:color w:val="000000" w:themeColor="text1"/>
                <w:sz w:val="24"/>
                <w14:textFill>
                  <w14:solidFill>
                    <w14:schemeClr w14:val="tx1"/>
                  </w14:solidFill>
                </w14:textFill>
              </w:rPr>
              <w:t>摩托车零部件及配件制造</w:t>
            </w:r>
          </w:p>
        </w:tc>
        <w:tc>
          <w:tcPr>
            <w:tcW w:w="2262" w:type="dxa"/>
            <w:vAlign w:val="center"/>
          </w:tcPr>
          <w:p w14:paraId="5ECCEBBE">
            <w:pPr>
              <w:adjustRightInd w:val="0"/>
              <w:snapToGrid w:val="0"/>
              <w:jc w:val="center"/>
              <w:rPr>
                <w:rFonts w:hint="default" w:ascii="Times New Roman" w:hAnsi="Times New Roman" w:cs="Times New Roman" w:eastAsiaTheme="minorEastAsia"/>
                <w:color w:val="000000" w:themeColor="text1"/>
                <w:spacing w:val="32"/>
                <w:sz w:val="24"/>
                <w14:textFill>
                  <w14:solidFill>
                    <w14:schemeClr w14:val="tx1"/>
                  </w14:solidFill>
                </w14:textFill>
              </w:rPr>
            </w:pPr>
            <w:r>
              <w:rPr>
                <w:rFonts w:hint="default" w:ascii="Times New Roman" w:hAnsi="Times New Roman" w:cs="Times New Roman" w:eastAsiaTheme="minorEastAsia"/>
                <w:color w:val="000000" w:themeColor="text1"/>
                <w:spacing w:val="32"/>
                <w:sz w:val="24"/>
                <w14:textFill>
                  <w14:solidFill>
                    <w14:schemeClr w14:val="tx1"/>
                  </w14:solidFill>
                </w14:textFill>
              </w:rPr>
              <w:t>建设项目</w:t>
            </w:r>
          </w:p>
          <w:p w14:paraId="4F08C045">
            <w:pPr>
              <w:adjustRightInd w:val="0"/>
              <w:snapToGrid w:val="0"/>
              <w:jc w:val="center"/>
              <w:rPr>
                <w:rFonts w:hint="default" w:ascii="Times New Roman" w:hAnsi="Times New Roman" w:cs="Times New Roman" w:eastAsiaTheme="minorEastAsia"/>
                <w:color w:val="000000" w:themeColor="text1"/>
                <w:spacing w:val="32"/>
                <w:sz w:val="24"/>
                <w14:textFill>
                  <w14:solidFill>
                    <w14:schemeClr w14:val="tx1"/>
                  </w14:solidFill>
                </w14:textFill>
              </w:rPr>
            </w:pPr>
            <w:r>
              <w:rPr>
                <w:rFonts w:hint="default" w:ascii="Times New Roman" w:hAnsi="Times New Roman" w:cs="Times New Roman" w:eastAsiaTheme="minorEastAsia"/>
                <w:color w:val="000000" w:themeColor="text1"/>
                <w:spacing w:val="32"/>
                <w:sz w:val="24"/>
                <w14:textFill>
                  <w14:solidFill>
                    <w14:schemeClr w14:val="tx1"/>
                  </w14:solidFill>
                </w14:textFill>
              </w:rPr>
              <w:t>行业类别</w:t>
            </w:r>
          </w:p>
        </w:tc>
        <w:tc>
          <w:tcPr>
            <w:tcW w:w="2699" w:type="dxa"/>
            <w:vAlign w:val="center"/>
          </w:tcPr>
          <w:p w14:paraId="09D9C985">
            <w:pPr>
              <w:adjustRightInd w:val="0"/>
              <w:snapToGrid w:val="0"/>
              <w:jc w:val="both"/>
              <w:rPr>
                <w:rFonts w:hint="default" w:ascii="Times New Roman" w:hAnsi="Times New Roman" w:cs="Times New Roman" w:eastAsiaTheme="minorEastAsia"/>
                <w:color w:val="000000" w:themeColor="text1"/>
                <w:spacing w:val="32"/>
                <w:sz w:val="24"/>
                <w14:textFill>
                  <w14:solidFill>
                    <w14:schemeClr w14:val="tx1"/>
                  </w14:solidFill>
                </w14:textFill>
              </w:rPr>
            </w:pPr>
            <w:r>
              <w:rPr>
                <w:rFonts w:hint="default" w:ascii="Times New Roman" w:hAnsi="Times New Roman" w:cs="Times New Roman" w:eastAsiaTheme="minorEastAsia"/>
                <w:color w:val="000000" w:themeColor="text1"/>
                <w:spacing w:val="32"/>
                <w:sz w:val="24"/>
                <w14:textFill>
                  <w14:solidFill>
                    <w14:schemeClr w14:val="tx1"/>
                  </w14:solidFill>
                </w14:textFill>
              </w:rPr>
              <w:t>三十四、铁路、船舶、航空航天和其他运输设备制造业 37</w:t>
            </w:r>
          </w:p>
          <w:p w14:paraId="55341009">
            <w:pPr>
              <w:pStyle w:val="12"/>
              <w:rPr>
                <w:rFonts w:hint="default"/>
                <w:color w:val="000000" w:themeColor="text1"/>
                <w14:textFill>
                  <w14:solidFill>
                    <w14:schemeClr w14:val="tx1"/>
                  </w14:solidFill>
                </w14:textFill>
              </w:rPr>
            </w:pPr>
            <w:r>
              <w:rPr>
                <w:rFonts w:hint="default" w:ascii="Times New Roman" w:hAnsi="Times New Roman" w:cs="Times New Roman" w:eastAsiaTheme="minorEastAsia"/>
                <w:color w:val="000000" w:themeColor="text1"/>
                <w:spacing w:val="32"/>
                <w:kern w:val="2"/>
                <w:sz w:val="24"/>
                <w:szCs w:val="24"/>
                <w:lang w:val="en-US" w:eastAsia="zh-CN" w:bidi="ar-SA"/>
                <w14:textFill>
                  <w14:solidFill>
                    <w14:schemeClr w14:val="tx1"/>
                  </w14:solidFill>
                </w14:textFill>
              </w:rPr>
              <w:t>摩托车制造</w:t>
            </w:r>
            <w:r>
              <w:rPr>
                <w:rFonts w:hint="eastAsia" w:ascii="Times New Roman" w:hAnsi="Times New Roman" w:cs="Times New Roman" w:eastAsiaTheme="minorEastAsia"/>
                <w:color w:val="000000" w:themeColor="text1"/>
                <w:spacing w:val="32"/>
                <w:kern w:val="2"/>
                <w:sz w:val="24"/>
                <w:szCs w:val="24"/>
                <w:lang w:val="en-US" w:eastAsia="zh-CN" w:bidi="ar-SA"/>
                <w14:textFill>
                  <w14:solidFill>
                    <w14:schemeClr w14:val="tx1"/>
                  </w14:solidFill>
                </w14:textFill>
              </w:rPr>
              <w:t xml:space="preserve"> </w:t>
            </w:r>
            <w:r>
              <w:rPr>
                <w:rFonts w:hint="default" w:ascii="Times New Roman" w:hAnsi="Times New Roman" w:cs="Times New Roman" w:eastAsiaTheme="minorEastAsia"/>
                <w:color w:val="000000" w:themeColor="text1"/>
                <w:spacing w:val="32"/>
                <w:kern w:val="2"/>
                <w:sz w:val="24"/>
                <w:szCs w:val="24"/>
                <w:lang w:val="en-US" w:eastAsia="zh-CN" w:bidi="ar-SA"/>
                <w14:textFill>
                  <w14:solidFill>
                    <w14:schemeClr w14:val="tx1"/>
                  </w14:solidFill>
                </w14:textFill>
              </w:rPr>
              <w:t>375</w:t>
            </w:r>
          </w:p>
        </w:tc>
      </w:tr>
      <w:tr w14:paraId="2E4F3A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81" w:type="dxa"/>
            <w:gridSpan w:val="2"/>
            <w:tcMar>
              <w:top w:w="16" w:type="dxa"/>
              <w:left w:w="16" w:type="dxa"/>
              <w:right w:w="16" w:type="dxa"/>
            </w:tcMar>
            <w:vAlign w:val="center"/>
          </w:tcPr>
          <w:p w14:paraId="44B3F7B3">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建设性质</w:t>
            </w:r>
          </w:p>
        </w:tc>
        <w:tc>
          <w:tcPr>
            <w:tcW w:w="2329" w:type="dxa"/>
            <w:vAlign w:val="center"/>
          </w:tcPr>
          <w:p w14:paraId="64098480">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新建</w:t>
            </w:r>
          </w:p>
          <w:p w14:paraId="7E5EE5D9">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改建</w:t>
            </w:r>
          </w:p>
          <w:p w14:paraId="1CFE0661">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扩建</w:t>
            </w:r>
          </w:p>
          <w:p w14:paraId="73981DFE">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技术改造</w:t>
            </w:r>
          </w:p>
        </w:tc>
        <w:tc>
          <w:tcPr>
            <w:tcW w:w="2262" w:type="dxa"/>
            <w:vAlign w:val="center"/>
          </w:tcPr>
          <w:p w14:paraId="46E8734D">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建设项目</w:t>
            </w:r>
          </w:p>
          <w:p w14:paraId="36830788">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申报情形</w:t>
            </w:r>
          </w:p>
        </w:tc>
        <w:tc>
          <w:tcPr>
            <w:tcW w:w="2699" w:type="dxa"/>
            <w:vAlign w:val="center"/>
          </w:tcPr>
          <w:p w14:paraId="055EEECE">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 xml:space="preserve">首次申报项目             </w:t>
            </w:r>
          </w:p>
          <w:p w14:paraId="03B08F80">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不予批准后再次申报项目</w:t>
            </w:r>
          </w:p>
          <w:p w14:paraId="34EFE490">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 xml:space="preserve">超五年重新审核项目     </w:t>
            </w:r>
          </w:p>
          <w:p w14:paraId="21A72F8E">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重大变动重新报批项目</w:t>
            </w:r>
          </w:p>
        </w:tc>
      </w:tr>
      <w:tr w14:paraId="402DCF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81" w:type="dxa"/>
            <w:gridSpan w:val="2"/>
            <w:tcMar>
              <w:top w:w="16" w:type="dxa"/>
              <w:left w:w="16" w:type="dxa"/>
              <w:right w:w="16" w:type="dxa"/>
            </w:tcMar>
            <w:vAlign w:val="center"/>
          </w:tcPr>
          <w:p w14:paraId="33DEC798">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项目审批（核准/</w:t>
            </w:r>
          </w:p>
          <w:p w14:paraId="222E0FB4">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备案）部门（选填）</w:t>
            </w:r>
          </w:p>
        </w:tc>
        <w:tc>
          <w:tcPr>
            <w:tcW w:w="2329" w:type="dxa"/>
            <w:vAlign w:val="center"/>
          </w:tcPr>
          <w:p w14:paraId="66331791">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璧山区发展改革委</w:t>
            </w:r>
          </w:p>
        </w:tc>
        <w:tc>
          <w:tcPr>
            <w:tcW w:w="2262" w:type="dxa"/>
            <w:vAlign w:val="center"/>
          </w:tcPr>
          <w:p w14:paraId="7E904A8A">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项目审批（核准/</w:t>
            </w:r>
          </w:p>
          <w:p w14:paraId="5B649F3B">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备案）文号（选填）</w:t>
            </w:r>
          </w:p>
        </w:tc>
        <w:tc>
          <w:tcPr>
            <w:tcW w:w="2699" w:type="dxa"/>
            <w:vAlign w:val="center"/>
          </w:tcPr>
          <w:p w14:paraId="12105115">
            <w:pPr>
              <w:adjustRightInd w:val="0"/>
              <w:snapToGrid w:val="0"/>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w:t>
            </w:r>
          </w:p>
        </w:tc>
      </w:tr>
      <w:tr w14:paraId="65B690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1" w:type="dxa"/>
            <w:gridSpan w:val="2"/>
            <w:tcMar>
              <w:top w:w="16" w:type="dxa"/>
              <w:left w:w="16" w:type="dxa"/>
              <w:right w:w="16" w:type="dxa"/>
            </w:tcMar>
            <w:vAlign w:val="center"/>
          </w:tcPr>
          <w:p w14:paraId="2EA0281B">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总投资（万元）</w:t>
            </w:r>
          </w:p>
        </w:tc>
        <w:tc>
          <w:tcPr>
            <w:tcW w:w="2329" w:type="dxa"/>
            <w:vAlign w:val="center"/>
          </w:tcPr>
          <w:p w14:paraId="51E8952C">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500</w:t>
            </w:r>
          </w:p>
        </w:tc>
        <w:tc>
          <w:tcPr>
            <w:tcW w:w="2262" w:type="dxa"/>
            <w:tcMar>
              <w:top w:w="16" w:type="dxa"/>
              <w:left w:w="16" w:type="dxa"/>
              <w:right w:w="16" w:type="dxa"/>
            </w:tcMar>
            <w:vAlign w:val="center"/>
          </w:tcPr>
          <w:p w14:paraId="204FDFC1">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环保投资（万元）</w:t>
            </w:r>
          </w:p>
        </w:tc>
        <w:tc>
          <w:tcPr>
            <w:tcW w:w="2699" w:type="dxa"/>
            <w:vAlign w:val="center"/>
          </w:tcPr>
          <w:p w14:paraId="01170091">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50</w:t>
            </w:r>
          </w:p>
        </w:tc>
      </w:tr>
      <w:tr w14:paraId="2EAC23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1" w:type="dxa"/>
            <w:gridSpan w:val="2"/>
            <w:tcMar>
              <w:top w:w="16" w:type="dxa"/>
              <w:left w:w="16" w:type="dxa"/>
              <w:right w:w="16" w:type="dxa"/>
            </w:tcMar>
            <w:vAlign w:val="center"/>
          </w:tcPr>
          <w:p w14:paraId="19A4587D">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环保投资占比（%）</w:t>
            </w:r>
          </w:p>
        </w:tc>
        <w:tc>
          <w:tcPr>
            <w:tcW w:w="2329" w:type="dxa"/>
            <w:vAlign w:val="center"/>
          </w:tcPr>
          <w:p w14:paraId="6FB68688">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10</w:t>
            </w:r>
          </w:p>
        </w:tc>
        <w:tc>
          <w:tcPr>
            <w:tcW w:w="2262" w:type="dxa"/>
            <w:tcMar>
              <w:top w:w="16" w:type="dxa"/>
              <w:left w:w="16" w:type="dxa"/>
              <w:right w:w="16" w:type="dxa"/>
            </w:tcMar>
            <w:vAlign w:val="center"/>
          </w:tcPr>
          <w:p w14:paraId="1AFF84A8">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施工工期</w:t>
            </w:r>
          </w:p>
        </w:tc>
        <w:tc>
          <w:tcPr>
            <w:tcW w:w="2699" w:type="dxa"/>
            <w:vAlign w:val="center"/>
          </w:tcPr>
          <w:p w14:paraId="46CFC19B">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个月</w:t>
            </w:r>
          </w:p>
        </w:tc>
      </w:tr>
      <w:tr w14:paraId="549C0B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81" w:type="dxa"/>
            <w:gridSpan w:val="2"/>
            <w:tcMar>
              <w:top w:w="16" w:type="dxa"/>
              <w:left w:w="16" w:type="dxa"/>
              <w:right w:w="16" w:type="dxa"/>
            </w:tcMar>
            <w:vAlign w:val="center"/>
          </w:tcPr>
          <w:p w14:paraId="507DA872">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是否开工建设</w:t>
            </w:r>
          </w:p>
        </w:tc>
        <w:tc>
          <w:tcPr>
            <w:tcW w:w="2329" w:type="dxa"/>
            <w:vAlign w:val="center"/>
          </w:tcPr>
          <w:p w14:paraId="348AC0A4">
            <w:pPr>
              <w:adjustRightInd w:val="0"/>
              <w:snapToGrid w:val="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否</w:t>
            </w:r>
          </w:p>
          <w:p w14:paraId="495FB1A7">
            <w:pPr>
              <w:adjustRightInd w:val="0"/>
              <w:snapToGrid w:val="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是：</w:t>
            </w:r>
          </w:p>
        </w:tc>
        <w:tc>
          <w:tcPr>
            <w:tcW w:w="2262" w:type="dxa"/>
            <w:tcMar>
              <w:top w:w="16" w:type="dxa"/>
              <w:left w:w="16" w:type="dxa"/>
              <w:right w:w="16" w:type="dxa"/>
            </w:tcMar>
            <w:vAlign w:val="center"/>
          </w:tcPr>
          <w:p w14:paraId="440ADC2B">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用地面积（m</w:t>
            </w:r>
            <w:r>
              <w:rPr>
                <w:rFonts w:hint="default" w:ascii="Times New Roman" w:hAnsi="Times New Roman" w:cs="Times New Roman"/>
                <w:color w:val="000000" w:themeColor="text1"/>
                <w:spacing w:val="-6"/>
                <w:sz w:val="24"/>
                <w:vertAlign w:val="superscript"/>
                <w14:textFill>
                  <w14:solidFill>
                    <w14:schemeClr w14:val="tx1"/>
                  </w14:solidFill>
                </w14:textFill>
              </w:rPr>
              <w:t>2</w:t>
            </w:r>
            <w:r>
              <w:rPr>
                <w:rFonts w:hint="default" w:ascii="Times New Roman" w:hAnsi="Times New Roman" w:cs="Times New Roman"/>
                <w:color w:val="000000" w:themeColor="text1"/>
                <w:spacing w:val="-6"/>
                <w:sz w:val="24"/>
                <w14:textFill>
                  <w14:solidFill>
                    <w14:schemeClr w14:val="tx1"/>
                  </w14:solidFill>
                </w14:textFill>
              </w:rPr>
              <w:t>）</w:t>
            </w:r>
          </w:p>
        </w:tc>
        <w:tc>
          <w:tcPr>
            <w:tcW w:w="2699" w:type="dxa"/>
            <w:vAlign w:val="center"/>
          </w:tcPr>
          <w:p w14:paraId="3DE21125">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2645.57</w:t>
            </w:r>
          </w:p>
        </w:tc>
      </w:tr>
      <w:tr w14:paraId="0ADCFE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99" w:type="dxa"/>
            <w:vAlign w:val="center"/>
          </w:tcPr>
          <w:p w14:paraId="18799983">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专项评价设置情况</w:t>
            </w:r>
          </w:p>
        </w:tc>
        <w:tc>
          <w:tcPr>
            <w:tcW w:w="8372" w:type="dxa"/>
            <w:gridSpan w:val="4"/>
            <w:vAlign w:val="center"/>
          </w:tcPr>
          <w:p w14:paraId="32103EFE">
            <w:pPr>
              <w:autoSpaceDE w:val="0"/>
              <w:autoSpaceDN w:val="0"/>
              <w:adjustRightInd w:val="0"/>
              <w:snapToGrid w:val="0"/>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对照《建设项目环境影响报告表编制技术指南（污染影响类）（试行）》中“表1专项评价设置原则表”，本项目土壤、声环境不开展专项评价，大气、地表水、环境风险、生态、海洋</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地下水是否开展专项评价情况见下表1-1。</w:t>
            </w:r>
          </w:p>
          <w:p w14:paraId="6CDC0B60">
            <w:pPr>
              <w:autoSpaceDE w:val="0"/>
              <w:autoSpaceDN w:val="0"/>
              <w:adjustRightInd w:val="0"/>
              <w:snapToGrid w:val="0"/>
              <w:jc w:val="center"/>
              <w:rPr>
                <w:rFonts w:hint="default" w:ascii="Times New Roman" w:hAnsi="Times New Roman" w:cs="Times New Roman"/>
                <w:b/>
                <w:color w:val="000000" w:themeColor="text1"/>
                <w:kern w:val="0"/>
                <w:sz w:val="24"/>
                <w:szCs w:val="24"/>
                <w14:textFill>
                  <w14:solidFill>
                    <w14:schemeClr w14:val="tx1"/>
                  </w14:solidFill>
                </w14:textFill>
              </w:rPr>
            </w:pPr>
            <w:r>
              <w:rPr>
                <w:rFonts w:hint="default" w:ascii="Times New Roman" w:hAnsi="Times New Roman" w:cs="Times New Roman"/>
                <w:b/>
                <w:color w:val="000000" w:themeColor="text1"/>
                <w:kern w:val="0"/>
                <w:sz w:val="24"/>
                <w:szCs w:val="24"/>
                <w14:textFill>
                  <w14:solidFill>
                    <w14:schemeClr w14:val="tx1"/>
                  </w14:solidFill>
                </w14:textFill>
              </w:rPr>
              <w:t>表1-1 专项评价设置原则表</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3905"/>
              <w:gridCol w:w="3035"/>
            </w:tblGrid>
            <w:tr w14:paraId="088C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Align w:val="center"/>
                </w:tcPr>
                <w:p w14:paraId="2CD2A066">
                  <w:pPr>
                    <w:pStyle w:val="14"/>
                    <w:spacing w:line="320" w:lineRule="exact"/>
                    <w:ind w:left="-105" w:leftChars="-50" w:right="-105" w:rightChars="-5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类别</w:t>
                  </w:r>
                </w:p>
              </w:tc>
              <w:tc>
                <w:tcPr>
                  <w:tcW w:w="2460" w:type="pct"/>
                  <w:vAlign w:val="center"/>
                </w:tcPr>
                <w:p w14:paraId="4083727C">
                  <w:pPr>
                    <w:pStyle w:val="14"/>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设置原则</w:t>
                  </w:r>
                </w:p>
              </w:tc>
              <w:tc>
                <w:tcPr>
                  <w:tcW w:w="1910" w:type="pct"/>
                  <w:vAlign w:val="center"/>
                </w:tcPr>
                <w:p w14:paraId="3C6B2360">
                  <w:pPr>
                    <w:pStyle w:val="14"/>
                    <w:spacing w:line="320" w:lineRule="exact"/>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本项目情况对照</w:t>
                  </w:r>
                </w:p>
              </w:tc>
            </w:tr>
            <w:tr w14:paraId="74C03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Align w:val="center"/>
                </w:tcPr>
                <w:p w14:paraId="383AD078">
                  <w:pPr>
                    <w:pStyle w:val="14"/>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大气</w:t>
                  </w:r>
                </w:p>
              </w:tc>
              <w:tc>
                <w:tcPr>
                  <w:tcW w:w="2460" w:type="pct"/>
                  <w:vAlign w:val="center"/>
                </w:tcPr>
                <w:p w14:paraId="68B82133">
                  <w:pPr>
                    <w:pStyle w:val="14"/>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排放废气含有毒有害污染物</w:t>
                  </w:r>
                  <w:r>
                    <w:rPr>
                      <w:rFonts w:hint="default" w:ascii="Times New Roman" w:hAnsi="Times New Roman" w:cs="Times New Roman"/>
                      <w:color w:val="000000" w:themeColor="text1"/>
                      <w:szCs w:val="21"/>
                      <w:vertAlign w:val="superscript"/>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、二噁英、苯并[a]芘、氰化物、氯气且厂界外500米范围内有环境空气保护目标</w:t>
                  </w:r>
                  <w:r>
                    <w:rPr>
                      <w:rFonts w:hint="default" w:ascii="Times New Roman" w:hAnsi="Times New Roman" w:cs="Times New Roman"/>
                      <w:color w:val="000000" w:themeColor="text1"/>
                      <w:szCs w:val="21"/>
                      <w:vertAlign w:val="superscript"/>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的建设项目</w:t>
                  </w:r>
                </w:p>
              </w:tc>
              <w:tc>
                <w:tcPr>
                  <w:tcW w:w="1910" w:type="pct"/>
                  <w:vAlign w:val="center"/>
                </w:tcPr>
                <w:p w14:paraId="0E5B3ED7">
                  <w:pPr>
                    <w:pStyle w:val="14"/>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本项目不涉及</w:t>
                  </w:r>
                  <w:r>
                    <w:rPr>
                      <w:rFonts w:hint="default" w:ascii="Times New Roman" w:hAnsi="Times New Roman" w:cs="Times New Roman"/>
                      <w:color w:val="000000" w:themeColor="text1"/>
                      <w:szCs w:val="21"/>
                      <w14:textFill>
                        <w14:solidFill>
                          <w14:schemeClr w14:val="tx1"/>
                        </w14:solidFill>
                      </w14:textFill>
                    </w:rPr>
                    <w:t>有毒有害污染物</w:t>
                  </w:r>
                  <w:r>
                    <w:rPr>
                      <w:rFonts w:hint="default" w:ascii="Times New Roman" w:hAnsi="Times New Roman" w:cs="Times New Roman"/>
                      <w:color w:val="000000" w:themeColor="text1"/>
                      <w:szCs w:val="21"/>
                      <w:vertAlign w:val="superscript"/>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、二噁英、苯并[a]芘、氰化物、氯气，无</w:t>
                  </w:r>
                  <w:r>
                    <w:rPr>
                      <w:rFonts w:hint="eastAsia" w:ascii="Times New Roman" w:hAnsi="Times New Roman" w:cs="Times New Roman"/>
                      <w:color w:val="000000" w:themeColor="text1"/>
                      <w:szCs w:val="21"/>
                      <w:lang w:val="en-US" w:eastAsia="zh-CN"/>
                      <w14:textFill>
                        <w14:solidFill>
                          <w14:schemeClr w14:val="tx1"/>
                        </w14:solidFill>
                      </w14:textFill>
                    </w:rPr>
                    <w:t>须</w:t>
                  </w:r>
                  <w:r>
                    <w:rPr>
                      <w:rFonts w:hint="default" w:ascii="Times New Roman" w:hAnsi="Times New Roman" w:cs="Times New Roman"/>
                      <w:color w:val="000000" w:themeColor="text1"/>
                      <w:szCs w:val="21"/>
                      <w14:textFill>
                        <w14:solidFill>
                          <w14:schemeClr w14:val="tx1"/>
                        </w14:solidFill>
                      </w14:textFill>
                    </w:rPr>
                    <w:t>设置</w:t>
                  </w:r>
                  <w:r>
                    <w:rPr>
                      <w:rFonts w:hint="default" w:ascii="Times New Roman" w:hAnsi="Times New Roman" w:cs="Times New Roman"/>
                      <w:color w:val="000000" w:themeColor="text1"/>
                      <w:kern w:val="0"/>
                      <w:szCs w:val="21"/>
                      <w14:textFill>
                        <w14:solidFill>
                          <w14:schemeClr w14:val="tx1"/>
                        </w14:solidFill>
                      </w14:textFill>
                    </w:rPr>
                    <w:t>大气环境影响专项评价。</w:t>
                  </w:r>
                </w:p>
              </w:tc>
            </w:tr>
            <w:tr w14:paraId="40E4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Align w:val="center"/>
                </w:tcPr>
                <w:p w14:paraId="57D538DA">
                  <w:pPr>
                    <w:pStyle w:val="14"/>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地表水</w:t>
                  </w:r>
                </w:p>
              </w:tc>
              <w:tc>
                <w:tcPr>
                  <w:tcW w:w="2460" w:type="pct"/>
                  <w:vAlign w:val="center"/>
                </w:tcPr>
                <w:p w14:paraId="22B6B590">
                  <w:pPr>
                    <w:pStyle w:val="14"/>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新增工业废水直排建设项目（槽罐车外送污水处理厂的除外）；新增废水直排的污水集中处理厂</w:t>
                  </w:r>
                </w:p>
              </w:tc>
              <w:tc>
                <w:tcPr>
                  <w:tcW w:w="1910" w:type="pct"/>
                  <w:vAlign w:val="center"/>
                </w:tcPr>
                <w:p w14:paraId="114FC8FE">
                  <w:pPr>
                    <w:pStyle w:val="14"/>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本项目污废水排放方式为间接排放，不设专项评价。</w:t>
                  </w:r>
                </w:p>
              </w:tc>
            </w:tr>
            <w:tr w14:paraId="1968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Align w:val="center"/>
                </w:tcPr>
                <w:p w14:paraId="049F5CE7">
                  <w:pPr>
                    <w:pStyle w:val="14"/>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环境风险</w:t>
                  </w:r>
                </w:p>
              </w:tc>
              <w:tc>
                <w:tcPr>
                  <w:tcW w:w="2460" w:type="pct"/>
                  <w:vAlign w:val="center"/>
                </w:tcPr>
                <w:p w14:paraId="7B143BD4">
                  <w:pPr>
                    <w:pStyle w:val="14"/>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有毒有害和易燃易爆危险物质存储量超过临界量</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的建设项目</w:t>
                  </w:r>
                </w:p>
              </w:tc>
              <w:tc>
                <w:tcPr>
                  <w:tcW w:w="1910" w:type="pct"/>
                  <w:vAlign w:val="center"/>
                </w:tcPr>
                <w:p w14:paraId="61452EC1">
                  <w:pPr>
                    <w:pStyle w:val="14"/>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本项目有毒有害和易燃易爆危险物质存储量均未超过临界量</w:t>
                  </w:r>
                  <w:r>
                    <w:rPr>
                      <w:rFonts w:hint="default" w:ascii="Times New Roman" w:hAnsi="Times New Roman" w:cs="Times New Roman"/>
                      <w:color w:val="000000" w:themeColor="text1"/>
                      <w:kern w:val="0"/>
                      <w:szCs w:val="21"/>
                      <w14:textFill>
                        <w14:solidFill>
                          <w14:schemeClr w14:val="tx1"/>
                        </w14:solidFill>
                      </w14:textFill>
                    </w:rPr>
                    <w:t>，不设专项评价。</w:t>
                  </w:r>
                </w:p>
              </w:tc>
            </w:tr>
            <w:tr w14:paraId="5387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Align w:val="center"/>
                </w:tcPr>
                <w:p w14:paraId="2DDD5230">
                  <w:pPr>
                    <w:pStyle w:val="14"/>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生态</w:t>
                  </w:r>
                </w:p>
              </w:tc>
              <w:tc>
                <w:tcPr>
                  <w:tcW w:w="2460" w:type="pct"/>
                  <w:vAlign w:val="center"/>
                </w:tcPr>
                <w:p w14:paraId="111E8F33">
                  <w:pPr>
                    <w:pStyle w:val="14"/>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取水口下游500米范围内有重要水生生物的自然产卵场、索饵场、越冬场和洄游通道的新增河道取水的污染类建设项目</w:t>
                  </w:r>
                </w:p>
              </w:tc>
              <w:tc>
                <w:tcPr>
                  <w:tcW w:w="1910" w:type="pct"/>
                  <w:vAlign w:val="center"/>
                </w:tcPr>
                <w:p w14:paraId="2CBFA518">
                  <w:pPr>
                    <w:pStyle w:val="14"/>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本项目不涉及取水</w:t>
                  </w:r>
                  <w:r>
                    <w:rPr>
                      <w:rFonts w:hint="default" w:ascii="Times New Roman" w:hAnsi="Times New Roman" w:cs="Times New Roman"/>
                      <w:color w:val="000000" w:themeColor="text1"/>
                      <w:kern w:val="0"/>
                      <w:szCs w:val="21"/>
                      <w14:textFill>
                        <w14:solidFill>
                          <w14:schemeClr w14:val="tx1"/>
                        </w14:solidFill>
                      </w14:textFill>
                    </w:rPr>
                    <w:t>，不设专项评价。</w:t>
                  </w:r>
                </w:p>
              </w:tc>
            </w:tr>
            <w:tr w14:paraId="66EC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Align w:val="center"/>
                </w:tcPr>
                <w:p w14:paraId="1CE2F64F">
                  <w:pPr>
                    <w:pStyle w:val="14"/>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海洋</w:t>
                  </w:r>
                </w:p>
              </w:tc>
              <w:tc>
                <w:tcPr>
                  <w:tcW w:w="2460" w:type="pct"/>
                  <w:vAlign w:val="center"/>
                </w:tcPr>
                <w:p w14:paraId="33D53A53">
                  <w:pPr>
                    <w:pStyle w:val="14"/>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直接向海排放污染物的海洋工程建设项目</w:t>
                  </w:r>
                </w:p>
              </w:tc>
              <w:tc>
                <w:tcPr>
                  <w:tcW w:w="1910" w:type="pct"/>
                  <w:vAlign w:val="center"/>
                </w:tcPr>
                <w:p w14:paraId="5E935A70">
                  <w:pPr>
                    <w:pStyle w:val="14"/>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本项目不属于海洋工程建设项目</w:t>
                  </w:r>
                  <w:r>
                    <w:rPr>
                      <w:rFonts w:hint="default" w:ascii="Times New Roman" w:hAnsi="Times New Roman" w:cs="Times New Roman"/>
                      <w:color w:val="000000" w:themeColor="text1"/>
                      <w:kern w:val="0"/>
                      <w:szCs w:val="21"/>
                      <w14:textFill>
                        <w14:solidFill>
                          <w14:schemeClr w14:val="tx1"/>
                        </w14:solidFill>
                      </w14:textFill>
                    </w:rPr>
                    <w:t>，不设专项评价。</w:t>
                  </w:r>
                </w:p>
              </w:tc>
            </w:tr>
            <w:tr w14:paraId="4C503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40E1C3D9">
                  <w:pPr>
                    <w:pStyle w:val="14"/>
                    <w:jc w:val="lef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注：1.废气中有毒有害污染物指纳入《有毒有害大气污染物名录》的污染物（不包括无排放标准的污染物）。</w:t>
                  </w:r>
                </w:p>
                <w:p w14:paraId="2B9E2ACE">
                  <w:pPr>
                    <w:pStyle w:val="14"/>
                    <w:ind w:firstLine="360" w:firstLineChars="200"/>
                    <w:jc w:val="left"/>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2.环境空气保护目标指自然保护区、风景名胜区、居住区、文化区和农村地区中人群较集中的区域。</w:t>
                  </w:r>
                </w:p>
                <w:p w14:paraId="37DC36DD">
                  <w:pPr>
                    <w:pStyle w:val="14"/>
                    <w:adjustRightInd w:val="0"/>
                    <w:snapToGrid w:val="0"/>
                    <w:ind w:firstLine="36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3.临界量及其计算方法可参考《建设项目环境风险评价技术导则》（HJ169-2018）附录B、附录C。</w:t>
                  </w:r>
                </w:p>
              </w:tc>
            </w:tr>
          </w:tbl>
          <w:p w14:paraId="04F0B77F">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tc>
      </w:tr>
      <w:tr w14:paraId="17FD31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Align w:val="center"/>
          </w:tcPr>
          <w:p w14:paraId="773B88AB">
            <w:pPr>
              <w:autoSpaceDE w:val="0"/>
              <w:autoSpaceDN w:val="0"/>
              <w:adjustRightInd w:val="0"/>
              <w:snapToGrid w:val="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规划情况</w:t>
            </w:r>
          </w:p>
        </w:tc>
        <w:tc>
          <w:tcPr>
            <w:tcW w:w="8372" w:type="dxa"/>
            <w:gridSpan w:val="4"/>
            <w:vAlign w:val="center"/>
          </w:tcPr>
          <w:p w14:paraId="2EE200BE">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highlight w:val="none"/>
                <w14:textFill>
                  <w14:solidFill>
                    <w14:schemeClr w14:val="tx1"/>
                  </w14:solidFill>
                </w14:textFill>
              </w:rPr>
              <w:t>规划名称：《</w:t>
            </w:r>
            <w:r>
              <w:rPr>
                <w:rFonts w:hint="eastAsia" w:ascii="Times New Roman" w:hAnsi="Times New Roman" w:eastAsia="宋体" w:cs="Times New Roman"/>
                <w:color w:val="000000" w:themeColor="text1"/>
                <w:kern w:val="0"/>
                <w:sz w:val="24"/>
                <w:highlight w:val="none"/>
                <w14:textFill>
                  <w14:solidFill>
                    <w14:schemeClr w14:val="tx1"/>
                  </w14:solidFill>
                </w14:textFill>
              </w:rPr>
              <w:t>璧山高新技术产业开发区（国家级、市级）规划（2023年-2028年）</w:t>
            </w:r>
            <w:r>
              <w:rPr>
                <w:rFonts w:ascii="Times New Roman" w:hAnsi="Times New Roman" w:eastAsia="宋体" w:cs="Times New Roman"/>
                <w:color w:val="000000" w:themeColor="text1"/>
                <w:kern w:val="0"/>
                <w:sz w:val="24"/>
                <w:highlight w:val="none"/>
                <w14:textFill>
                  <w14:solidFill>
                    <w14:schemeClr w14:val="tx1"/>
                  </w14:solidFill>
                </w14:textFill>
              </w:rPr>
              <w:t>》</w:t>
            </w:r>
          </w:p>
          <w:p w14:paraId="78EC3227">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highlight w:val="none"/>
                <w14:textFill>
                  <w14:solidFill>
                    <w14:schemeClr w14:val="tx1"/>
                  </w14:solidFill>
                </w14:textFill>
              </w:rPr>
              <w:t>审查文件名称及文号：</w:t>
            </w:r>
            <w:r>
              <w:rPr>
                <w:rFonts w:hint="eastAsia" w:ascii="Times New Roman" w:hAnsi="Times New Roman" w:eastAsia="宋体" w:cs="Times New Roman"/>
                <w:color w:val="000000" w:themeColor="text1"/>
                <w:kern w:val="0"/>
                <w:sz w:val="24"/>
                <w:highlight w:val="none"/>
                <w14:textFill>
                  <w14:solidFill>
                    <w14:schemeClr w14:val="tx1"/>
                  </w14:solidFill>
                </w14:textFill>
              </w:rPr>
              <w:t>渝环函〔202</w:t>
            </w:r>
            <w:r>
              <w:rPr>
                <w:rFonts w:hint="eastAsia" w:cs="Times New Roman"/>
                <w:color w:val="000000" w:themeColor="text1"/>
                <w:kern w:val="0"/>
                <w:sz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kern w:val="0"/>
                <w:sz w:val="24"/>
                <w:highlight w:val="none"/>
                <w14:textFill>
                  <w14:solidFill>
                    <w14:schemeClr w14:val="tx1"/>
                  </w14:solidFill>
                </w14:textFill>
              </w:rPr>
              <w:t>〕256号</w:t>
            </w:r>
          </w:p>
        </w:tc>
      </w:tr>
      <w:tr w14:paraId="55F529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Align w:val="center"/>
          </w:tcPr>
          <w:p w14:paraId="4F81152A">
            <w:pPr>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规划环境影响</w:t>
            </w:r>
          </w:p>
          <w:p w14:paraId="671ADFDE">
            <w:pPr>
              <w:adjustRightInd w:val="0"/>
              <w:snapToGrid w:val="0"/>
              <w:jc w:val="center"/>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评价情况</w:t>
            </w:r>
          </w:p>
        </w:tc>
        <w:tc>
          <w:tcPr>
            <w:tcW w:w="8372" w:type="dxa"/>
            <w:gridSpan w:val="4"/>
            <w:vAlign w:val="center"/>
          </w:tcPr>
          <w:p w14:paraId="096FEF3D">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highlight w:val="none"/>
                <w14:textFill>
                  <w14:solidFill>
                    <w14:schemeClr w14:val="tx1"/>
                  </w14:solidFill>
                </w14:textFill>
              </w:rPr>
              <w:t>规划环评名称：《</w:t>
            </w:r>
            <w:r>
              <w:rPr>
                <w:rFonts w:hint="eastAsia" w:ascii="Times New Roman" w:hAnsi="Times New Roman" w:eastAsia="宋体" w:cs="Times New Roman"/>
                <w:color w:val="000000" w:themeColor="text1"/>
                <w:kern w:val="0"/>
                <w:sz w:val="24"/>
                <w:highlight w:val="none"/>
                <w14:textFill>
                  <w14:solidFill>
                    <w14:schemeClr w14:val="tx1"/>
                  </w14:solidFill>
                </w14:textFill>
              </w:rPr>
              <w:t>璧山高新技术产业开发区（国家级、市级）规划（2023年-2028年）</w:t>
            </w:r>
            <w:r>
              <w:rPr>
                <w:rFonts w:ascii="Times New Roman" w:hAnsi="Times New Roman" w:eastAsia="宋体" w:cs="Times New Roman"/>
                <w:color w:val="000000" w:themeColor="text1"/>
                <w:kern w:val="0"/>
                <w:sz w:val="24"/>
                <w:highlight w:val="none"/>
                <w14:textFill>
                  <w14:solidFill>
                    <w14:schemeClr w14:val="tx1"/>
                  </w14:solidFill>
                </w14:textFill>
              </w:rPr>
              <w:t>环境影响报告书》</w:t>
            </w:r>
          </w:p>
          <w:p w14:paraId="5BCDC7FD">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ascii="Times New Roman" w:hAnsi="Times New Roman" w:eastAsia="宋体" w:cs="Times New Roman"/>
                <w:color w:val="000000" w:themeColor="text1"/>
                <w:kern w:val="0"/>
                <w:sz w:val="24"/>
                <w:highlight w:val="none"/>
                <w14:textFill>
                  <w14:solidFill>
                    <w14:schemeClr w14:val="tx1"/>
                  </w14:solidFill>
                </w14:textFill>
              </w:rPr>
              <w:t>审查机关：</w:t>
            </w:r>
            <w:r>
              <w:rPr>
                <w:rFonts w:hint="eastAsia" w:cs="Times New Roman"/>
                <w:color w:val="000000" w:themeColor="text1"/>
                <w:kern w:val="0"/>
                <w:sz w:val="24"/>
                <w:highlight w:val="none"/>
                <w:lang w:val="en-US" w:eastAsia="zh-CN"/>
                <w14:textFill>
                  <w14:solidFill>
                    <w14:schemeClr w14:val="tx1"/>
                  </w14:solidFill>
                </w14:textFill>
              </w:rPr>
              <w:t>重庆市生态环境局</w:t>
            </w:r>
          </w:p>
          <w:p w14:paraId="0D117F0D">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Times New Roman" w:hAnsi="Times New Roman" w:eastAsia="宋体" w:cs="Times New Roman"/>
                <w:color w:val="000000" w:themeColor="text1"/>
                <w:kern w:val="0"/>
                <w:sz w:val="24"/>
                <w:highlight w:val="none"/>
                <w14:textFill>
                  <w14:solidFill>
                    <w14:schemeClr w14:val="tx1"/>
                  </w14:solidFill>
                </w14:textFill>
              </w:rPr>
            </w:pPr>
            <w:r>
              <w:rPr>
                <w:rFonts w:ascii="Times New Roman" w:hAnsi="Times New Roman" w:eastAsia="宋体" w:cs="Times New Roman"/>
                <w:color w:val="000000" w:themeColor="text1"/>
                <w:kern w:val="0"/>
                <w:sz w:val="24"/>
                <w:highlight w:val="none"/>
                <w14:textFill>
                  <w14:solidFill>
                    <w14:schemeClr w14:val="tx1"/>
                  </w14:solidFill>
                </w14:textFill>
              </w:rPr>
              <w:t>审查文件名称：</w:t>
            </w:r>
            <w:r>
              <w:rPr>
                <w:rFonts w:hint="eastAsia" w:cs="Times New Roman"/>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14:textFill>
                  <w14:solidFill>
                    <w14:schemeClr w14:val="tx1"/>
                  </w14:solidFill>
                </w14:textFill>
              </w:rPr>
              <w:t>重庆市生态环境局关于璧山高新技术产业开发区</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14:textFill>
                  <w14:solidFill>
                    <w14:schemeClr w14:val="tx1"/>
                  </w14:solidFill>
                </w14:textFill>
              </w:rPr>
              <w:t>国家级、市级</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14:textFill>
                  <w14:solidFill>
                    <w14:schemeClr w14:val="tx1"/>
                  </w14:solidFill>
                </w14:textFill>
              </w:rPr>
              <w:t>规划</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14:textFill>
                  <w14:solidFill>
                    <w14:schemeClr w14:val="tx1"/>
                  </w14:solidFill>
                </w14:textFill>
              </w:rPr>
              <w:t>2023-2028年</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14:textFill>
                  <w14:solidFill>
                    <w14:schemeClr w14:val="tx1"/>
                  </w14:solidFill>
                </w14:textFill>
              </w:rPr>
              <w:t>环境影响报告书审查意见的函</w:t>
            </w:r>
            <w:r>
              <w:rPr>
                <w:rFonts w:hint="eastAsia" w:cs="Times New Roman"/>
                <w:color w:val="000000" w:themeColor="text1"/>
                <w:kern w:val="0"/>
                <w:sz w:val="24"/>
                <w:highlight w:val="none"/>
                <w:lang w:eastAsia="zh-CN"/>
                <w14:textFill>
                  <w14:solidFill>
                    <w14:schemeClr w14:val="tx1"/>
                  </w14:solidFill>
                </w14:textFill>
              </w:rPr>
              <w:t>》</w:t>
            </w:r>
          </w:p>
          <w:p w14:paraId="76EE851A">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highlight w:val="none"/>
                <w14:textFill>
                  <w14:solidFill>
                    <w14:schemeClr w14:val="tx1"/>
                  </w14:solidFill>
                </w14:textFill>
              </w:rPr>
              <w:t>文号：</w:t>
            </w:r>
            <w:r>
              <w:rPr>
                <w:rFonts w:hint="eastAsia" w:ascii="Times New Roman" w:hAnsi="Times New Roman" w:eastAsia="宋体" w:cs="Times New Roman"/>
                <w:color w:val="000000" w:themeColor="text1"/>
                <w:kern w:val="0"/>
                <w:sz w:val="24"/>
                <w:highlight w:val="none"/>
                <w14:textFill>
                  <w14:solidFill>
                    <w14:schemeClr w14:val="tx1"/>
                  </w14:solidFill>
                </w14:textFill>
              </w:rPr>
              <w:t>渝环函〔202</w:t>
            </w:r>
            <w:r>
              <w:rPr>
                <w:rFonts w:hint="eastAsia" w:cs="Times New Roman"/>
                <w:color w:val="000000" w:themeColor="text1"/>
                <w:kern w:val="0"/>
                <w:sz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kern w:val="0"/>
                <w:sz w:val="24"/>
                <w:highlight w:val="none"/>
                <w14:textFill>
                  <w14:solidFill>
                    <w14:schemeClr w14:val="tx1"/>
                  </w14:solidFill>
                </w14:textFill>
              </w:rPr>
              <w:t>〕256号</w:t>
            </w:r>
          </w:p>
        </w:tc>
      </w:tr>
      <w:tr w14:paraId="0CF56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699" w:type="dxa"/>
            <w:vAlign w:val="center"/>
          </w:tcPr>
          <w:p w14:paraId="335E7317">
            <w:pPr>
              <w:adjustRightInd w:val="0"/>
              <w:snapToGrid w:val="0"/>
              <w:jc w:val="center"/>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规划及规划环境影响评价符合性分析</w:t>
            </w:r>
          </w:p>
        </w:tc>
        <w:tc>
          <w:tcPr>
            <w:tcW w:w="8372" w:type="dxa"/>
            <w:gridSpan w:val="4"/>
            <w:vAlign w:val="center"/>
          </w:tcPr>
          <w:p w14:paraId="1B91244C">
            <w:pPr>
              <w:pStyle w:val="2"/>
              <w:keepNext w:val="0"/>
              <w:keepLines w:val="0"/>
              <w:pageBreakBefore w:val="0"/>
              <w:widowControl w:val="0"/>
              <w:kinsoku/>
              <w:wordWrap/>
              <w:overflowPunct/>
              <w:topLinePunct w:val="0"/>
              <w:bidi w:val="0"/>
              <w:spacing w:line="360" w:lineRule="auto"/>
              <w:textAlignment w:val="auto"/>
              <w:rPr>
                <w:rFonts w:hint="default" w:eastAsia="宋体"/>
                <w:color w:val="000000" w:themeColor="text1"/>
                <w:lang w:val="en-US" w:eastAsia="zh-CN"/>
                <w14:textFill>
                  <w14:solidFill>
                    <w14:schemeClr w14:val="tx1"/>
                  </w14:solidFill>
                </w14:textFill>
              </w:rPr>
            </w:pPr>
            <w:r>
              <w:rPr>
                <w:rFonts w:hint="eastAsia" w:ascii="Times New Roman" w:cs="Times New Roman"/>
                <w:b/>
                <w:bCs/>
                <w:color w:val="000000" w:themeColor="text1"/>
                <w:kern w:val="2"/>
                <w:sz w:val="24"/>
                <w:szCs w:val="22"/>
                <w:highlight w:val="none"/>
                <w:lang w:val="en-US" w:eastAsia="zh-CN" w:bidi="ar-SA"/>
                <w14:textFill>
                  <w14:solidFill>
                    <w14:schemeClr w14:val="tx1"/>
                  </w14:solidFill>
                </w14:textFill>
              </w:rPr>
              <w:t>1、</w:t>
            </w:r>
            <w:r>
              <w:rPr>
                <w:rFonts w:ascii="Times New Roman" w:hAnsi="Times New Roman" w:eastAsia="宋体" w:cs="Times New Roman"/>
                <w:b/>
                <w:bCs/>
                <w:color w:val="000000" w:themeColor="text1"/>
                <w:kern w:val="2"/>
                <w:sz w:val="24"/>
                <w:szCs w:val="22"/>
                <w:highlight w:val="none"/>
                <w:lang w:val="en-US" w:eastAsia="zh-CN" w:bidi="ar-SA"/>
                <w14:textFill>
                  <w14:solidFill>
                    <w14:schemeClr w14:val="tx1"/>
                  </w14:solidFill>
                </w14:textFill>
              </w:rPr>
              <w:t>与《</w:t>
            </w:r>
            <w:r>
              <w:rPr>
                <w:rFonts w:hint="eastAsia" w:ascii="Times New Roman" w:hAnsi="Times New Roman" w:eastAsia="宋体" w:cs="Times New Roman"/>
                <w:b/>
                <w:bCs/>
                <w:color w:val="000000" w:themeColor="text1"/>
                <w:kern w:val="2"/>
                <w:sz w:val="24"/>
                <w:szCs w:val="22"/>
                <w:highlight w:val="none"/>
                <w:lang w:val="en-US" w:eastAsia="zh-CN" w:bidi="ar-SA"/>
                <w14:textFill>
                  <w14:solidFill>
                    <w14:schemeClr w14:val="tx1"/>
                  </w14:solidFill>
                </w14:textFill>
              </w:rPr>
              <w:t>璧山高新技术产业开发区（国家级、市级）规划（2023年-2028年）</w:t>
            </w:r>
            <w:r>
              <w:rPr>
                <w:rFonts w:ascii="Times New Roman" w:hAnsi="Times New Roman" w:eastAsia="宋体" w:cs="Times New Roman"/>
                <w:b/>
                <w:bCs/>
                <w:color w:val="000000" w:themeColor="text1"/>
                <w:kern w:val="2"/>
                <w:sz w:val="24"/>
                <w:szCs w:val="22"/>
                <w:highlight w:val="none"/>
                <w:lang w:val="en-US" w:eastAsia="zh-CN" w:bidi="ar-SA"/>
                <w14:textFill>
                  <w14:solidFill>
                    <w14:schemeClr w14:val="tx1"/>
                  </w14:solidFill>
                </w14:textFill>
              </w:rPr>
              <w:t>》的符合性分析</w:t>
            </w:r>
          </w:p>
          <w:p w14:paraId="34F5F5F1">
            <w:pPr>
              <w:pStyle w:val="27"/>
              <w:keepNext w:val="0"/>
              <w:keepLines w:val="0"/>
              <w:pageBreakBefore w:val="0"/>
              <w:widowControl w:val="0"/>
              <w:kinsoku/>
              <w:wordWrap/>
              <w:overflowPunct/>
              <w:topLinePunct w:val="0"/>
              <w:bidi w:val="0"/>
              <w:spacing w:line="360" w:lineRule="auto"/>
              <w:ind w:firstLine="480" w:firstLineChars="200"/>
              <w:textAlignment w:val="auto"/>
              <w:rPr>
                <w:rFonts w:hint="default" w:eastAsia="宋体"/>
                <w:color w:val="000000" w:themeColor="text1"/>
                <w:sz w:val="24"/>
                <w:lang w:val="en-US" w:eastAsia="zh-CN"/>
                <w14:textFill>
                  <w14:solidFill>
                    <w14:schemeClr w14:val="tx1"/>
                  </w14:solidFill>
                </w14:textFill>
              </w:rPr>
            </w:pPr>
            <w:r>
              <w:rPr>
                <w:rFonts w:hint="eastAsia" w:eastAsia="宋体"/>
                <w:color w:val="000000" w:themeColor="text1"/>
                <w:sz w:val="24"/>
                <w:lang w:val="en-US" w:eastAsia="zh-CN"/>
                <w14:textFill>
                  <w14:solidFill>
                    <w14:schemeClr w14:val="tx1"/>
                  </w14:solidFill>
                </w14:textFill>
              </w:rPr>
              <w:t>（1）规划范围</w:t>
            </w:r>
          </w:p>
          <w:p w14:paraId="03EE1F68">
            <w:pPr>
              <w:pStyle w:val="27"/>
              <w:keepNext w:val="0"/>
              <w:keepLines w:val="0"/>
              <w:pageBreakBefore w:val="0"/>
              <w:widowControl w:val="0"/>
              <w:kinsoku/>
              <w:wordWrap/>
              <w:overflowPunct/>
              <w:topLinePunct w:val="0"/>
              <w:bidi w:val="0"/>
              <w:spacing w:line="360" w:lineRule="auto"/>
              <w:ind w:firstLine="480" w:firstLineChars="200"/>
              <w:textAlignment w:val="auto"/>
              <w:rPr>
                <w:rFonts w:eastAsia="宋体"/>
                <w:color w:val="000000" w:themeColor="text1"/>
                <w:sz w:val="24"/>
                <w14:textFill>
                  <w14:solidFill>
                    <w14:schemeClr w14:val="tx1"/>
                  </w14:solidFill>
                </w14:textFill>
              </w:rPr>
            </w:pPr>
            <w:r>
              <w:rPr>
                <w:rFonts w:eastAsia="宋体"/>
                <w:color w:val="000000" w:themeColor="text1"/>
                <w:sz w:val="24"/>
                <w14:textFill>
                  <w14:solidFill>
                    <w14:schemeClr w14:val="tx1"/>
                  </w14:solidFill>
                </w14:textFill>
              </w:rPr>
              <w:t>根据《</w:t>
            </w:r>
            <w:r>
              <w:rPr>
                <w:rFonts w:hint="eastAsia" w:eastAsia="宋体"/>
                <w:color w:val="000000" w:themeColor="text1"/>
                <w:sz w:val="24"/>
                <w14:textFill>
                  <w14:solidFill>
                    <w14:schemeClr w14:val="tx1"/>
                  </w14:solidFill>
                </w14:textFill>
              </w:rPr>
              <w:t>璧山高新技术产业开发区（国家级、市级）规划（2023年-2028年）</w:t>
            </w:r>
            <w:r>
              <w:rPr>
                <w:rFonts w:eastAsia="宋体"/>
                <w:color w:val="000000" w:themeColor="text1"/>
                <w:sz w:val="24"/>
                <w14:textFill>
                  <w14:solidFill>
                    <w14:schemeClr w14:val="tx1"/>
                  </w14:solidFill>
                </w14:textFill>
              </w:rPr>
              <w:t>》，</w:t>
            </w:r>
            <w:r>
              <w:rPr>
                <w:rFonts w:hint="eastAsia" w:eastAsia="宋体"/>
                <w:color w:val="000000" w:themeColor="text1"/>
                <w:sz w:val="24"/>
                <w14:textFill>
                  <w14:solidFill>
                    <w14:schemeClr w14:val="tx1"/>
                  </w14:solidFill>
                </w14:textFill>
              </w:rPr>
              <w:t>璧山高新区范围包含璧泉组团、高铁站前组团、新能源装备产业组团部分地块（中小企业集聚组团）、青杠-来凤组团4个组团</w:t>
            </w:r>
            <w:r>
              <w:rPr>
                <w:rFonts w:hint="eastAsia" w:eastAsia="宋体"/>
                <w:color w:val="000000" w:themeColor="text1"/>
                <w:sz w:val="24"/>
                <w:lang w:eastAsia="zh-CN"/>
                <w14:textFill>
                  <w14:solidFill>
                    <w14:schemeClr w14:val="tx1"/>
                  </w14:solidFill>
                </w14:textFill>
              </w:rPr>
              <w:t>，</w:t>
            </w:r>
            <w:r>
              <w:rPr>
                <w:rFonts w:hint="eastAsia" w:eastAsia="宋体"/>
                <w:color w:val="000000" w:themeColor="text1"/>
                <w:sz w:val="24"/>
                <w14:textFill>
                  <w14:solidFill>
                    <w14:schemeClr w14:val="tx1"/>
                  </w14:solidFill>
                </w14:textFill>
              </w:rPr>
              <w:t>共计34.1404平方公里。其中国家级园区范围规划面积为1.4平方公里，位于璧泉组团内。</w:t>
            </w:r>
          </w:p>
          <w:p w14:paraId="05D28D1F">
            <w:pPr>
              <w:pStyle w:val="27"/>
              <w:keepNext w:val="0"/>
              <w:keepLines w:val="0"/>
              <w:pageBreakBefore w:val="0"/>
              <w:widowControl w:val="0"/>
              <w:kinsoku/>
              <w:wordWrap/>
              <w:overflowPunct/>
              <w:topLinePunct w:val="0"/>
              <w:bidi w:val="0"/>
              <w:spacing w:line="360" w:lineRule="auto"/>
              <w:ind w:firstLine="480" w:firstLineChars="200"/>
              <w:textAlignment w:val="auto"/>
              <w:rPr>
                <w:rFonts w:hint="default" w:eastAsia="宋体"/>
                <w:color w:val="000000" w:themeColor="text1"/>
                <w:sz w:val="24"/>
                <w:lang w:val="en-US" w:eastAsia="zh-CN"/>
                <w14:textFill>
                  <w14:solidFill>
                    <w14:schemeClr w14:val="tx1"/>
                  </w14:solidFill>
                </w14:textFill>
              </w:rPr>
            </w:pPr>
            <w:r>
              <w:rPr>
                <w:rFonts w:hint="eastAsia" w:eastAsia="宋体"/>
                <w:color w:val="000000" w:themeColor="text1"/>
                <w:sz w:val="24"/>
                <w:lang w:val="en-US" w:eastAsia="zh-CN"/>
                <w14:textFill>
                  <w14:solidFill>
                    <w14:schemeClr w14:val="tx1"/>
                  </w14:solidFill>
                </w14:textFill>
              </w:rPr>
              <w:t>（2）产业布局</w:t>
            </w:r>
          </w:p>
          <w:p w14:paraId="727CC5DC">
            <w:pPr>
              <w:pStyle w:val="27"/>
              <w:keepNext w:val="0"/>
              <w:keepLines w:val="0"/>
              <w:pageBreakBefore w:val="0"/>
              <w:widowControl w:val="0"/>
              <w:kinsoku/>
              <w:wordWrap/>
              <w:overflowPunct/>
              <w:topLinePunct w:val="0"/>
              <w:bidi w:val="0"/>
              <w:spacing w:line="360" w:lineRule="auto"/>
              <w:ind w:firstLine="480" w:firstLineChars="200"/>
              <w:textAlignment w:val="auto"/>
              <w:rPr>
                <w:rFonts w:hint="eastAsia"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璧山高新技术产业开发区（国家级、市级）主导产业</w:t>
            </w:r>
            <w:r>
              <w:rPr>
                <w:rFonts w:hint="eastAsia" w:eastAsia="宋体"/>
                <w:color w:val="000000" w:themeColor="text1"/>
                <w:sz w:val="24"/>
                <w:lang w:val="en-US" w:eastAsia="zh-CN"/>
                <w14:textFill>
                  <w14:solidFill>
                    <w14:schemeClr w14:val="tx1"/>
                  </w14:solidFill>
                </w14:textFill>
              </w:rPr>
              <w:t>为</w:t>
            </w:r>
            <w:r>
              <w:rPr>
                <w:rFonts w:hint="eastAsia" w:eastAsia="宋体"/>
                <w:color w:val="000000" w:themeColor="text1"/>
                <w:sz w:val="24"/>
                <w14:textFill>
                  <w14:solidFill>
                    <w14:schemeClr w14:val="tx1"/>
                  </w14:solidFill>
                </w14:textFill>
              </w:rPr>
              <w:t>智能网联新能源汽车产业、电子信息产业、智能装备产业：</w:t>
            </w:r>
          </w:p>
          <w:p w14:paraId="7B50FAE9">
            <w:pPr>
              <w:pStyle w:val="27"/>
              <w:keepNext w:val="0"/>
              <w:keepLines w:val="0"/>
              <w:pageBreakBefore w:val="0"/>
              <w:widowControl w:val="0"/>
              <w:kinsoku/>
              <w:wordWrap/>
              <w:overflowPunct/>
              <w:topLinePunct w:val="0"/>
              <w:bidi w:val="0"/>
              <w:spacing w:line="360" w:lineRule="auto"/>
              <w:ind w:firstLine="480" w:firstLineChars="200"/>
              <w:textAlignment w:val="auto"/>
              <w:rPr>
                <w:rFonts w:hint="eastAsia"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智能网联新能源汽车。主要围绕整车、动力电池、电驱总成、线控底盘、智能座舱、智能网联，加速构建具有影响力的“1+5” 汽车智能网联新能源汽车产业体系。</w:t>
            </w:r>
          </w:p>
          <w:p w14:paraId="7B729385">
            <w:pPr>
              <w:pStyle w:val="27"/>
              <w:keepNext w:val="0"/>
              <w:keepLines w:val="0"/>
              <w:pageBreakBefore w:val="0"/>
              <w:widowControl w:val="0"/>
              <w:kinsoku/>
              <w:wordWrap/>
              <w:overflowPunct/>
              <w:topLinePunct w:val="0"/>
              <w:bidi w:val="0"/>
              <w:spacing w:line="360" w:lineRule="auto"/>
              <w:ind w:firstLine="480" w:firstLineChars="200"/>
              <w:textAlignment w:val="auto"/>
              <w:rPr>
                <w:rFonts w:hint="eastAsia"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电子信息。围绕集成电路与半导体、新型显示、智能终端和新型电子元器件、软件与信息服务，加速构建具有带动力的“3+2”电子信息产业体系。</w:t>
            </w:r>
          </w:p>
          <w:p w14:paraId="07001837">
            <w:pPr>
              <w:pStyle w:val="27"/>
              <w:keepNext w:val="0"/>
              <w:keepLines w:val="0"/>
              <w:pageBreakBefore w:val="0"/>
              <w:widowControl w:val="0"/>
              <w:kinsoku/>
              <w:wordWrap/>
              <w:overflowPunct/>
              <w:topLinePunct w:val="0"/>
              <w:bidi w:val="0"/>
              <w:spacing w:line="360" w:lineRule="auto"/>
              <w:ind w:firstLine="480" w:firstLineChars="200"/>
              <w:textAlignment w:val="auto"/>
              <w:rPr>
                <w:rFonts w:eastAsia="宋体"/>
                <w:color w:val="000000" w:themeColor="text1"/>
                <w:sz w:val="24"/>
                <w14:textFill>
                  <w14:solidFill>
                    <w14:schemeClr w14:val="tx1"/>
                  </w14:solidFill>
                </w14:textFill>
              </w:rPr>
            </w:pPr>
            <w:r>
              <w:rPr>
                <w:rFonts w:hint="eastAsia" w:eastAsia="宋体"/>
                <w:color w:val="000000" w:themeColor="text1"/>
                <w:sz w:val="24"/>
                <w14:textFill>
                  <w14:solidFill>
                    <w14:schemeClr w14:val="tx1"/>
                  </w14:solidFill>
                </w14:textFill>
              </w:rPr>
              <w:t>智能装备。围绕军民融合和数控机床、工业机器人、特种装备，加速构建具有辨识度的“1+3”智能装备产业体系。</w:t>
            </w:r>
          </w:p>
          <w:p w14:paraId="02843B1D">
            <w:pPr>
              <w:pStyle w:val="27"/>
              <w:keepNext w:val="0"/>
              <w:keepLines w:val="0"/>
              <w:pageBreakBefore w:val="0"/>
              <w:widowControl w:val="0"/>
              <w:kinsoku/>
              <w:wordWrap/>
              <w:overflowPunct/>
              <w:topLinePunct w:val="0"/>
              <w:bidi w:val="0"/>
              <w:spacing w:line="360" w:lineRule="auto"/>
              <w:ind w:firstLine="480" w:firstLineChars="200"/>
              <w:textAlignment w:val="auto"/>
              <w:rPr>
                <w:rFonts w:eastAsia="宋体"/>
                <w:color w:val="000000" w:themeColor="text1"/>
                <w:sz w:val="24"/>
                <w14:textFill>
                  <w14:solidFill>
                    <w14:schemeClr w14:val="tx1"/>
                  </w14:solidFill>
                </w14:textFill>
              </w:rPr>
            </w:pPr>
            <w:r>
              <w:rPr>
                <w:rFonts w:hint="eastAsia" w:eastAsia="宋体"/>
                <w:color w:val="000000" w:themeColor="text1"/>
                <w:sz w:val="24"/>
                <w:lang w:val="en-US" w:eastAsia="zh-CN"/>
                <w14:textFill>
                  <w14:solidFill>
                    <w14:schemeClr w14:val="tx1"/>
                  </w14:solidFill>
                </w14:textFill>
              </w:rPr>
              <w:t>本</w:t>
            </w:r>
            <w:r>
              <w:rPr>
                <w:rFonts w:hint="eastAsia" w:eastAsia="宋体"/>
                <w:color w:val="000000" w:themeColor="text1"/>
                <w:sz w:val="24"/>
                <w:lang w:eastAsia="zh-CN"/>
                <w14:textFill>
                  <w14:solidFill>
                    <w14:schemeClr w14:val="tx1"/>
                  </w14:solidFill>
                </w14:textFill>
              </w:rPr>
              <w:t>项目</w:t>
            </w:r>
            <w:r>
              <w:rPr>
                <w:rFonts w:eastAsia="宋体"/>
                <w:color w:val="000000" w:themeColor="text1"/>
                <w:sz w:val="24"/>
                <w14:textFill>
                  <w14:solidFill>
                    <w14:schemeClr w14:val="tx1"/>
                  </w14:solidFill>
                </w14:textFill>
              </w:rPr>
              <w:t>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C3752 摩托车零部件及配件制造，</w:t>
            </w:r>
            <w:r>
              <w:rPr>
                <w:rFonts w:hint="eastAsia" w:eastAsia="宋体" w:cs="Times New Roman"/>
                <w:color w:val="000000" w:themeColor="text1"/>
                <w:sz w:val="24"/>
                <w:szCs w:val="24"/>
                <w:highlight w:val="none"/>
                <w:lang w:val="en-US" w:eastAsia="zh-CN"/>
                <w14:textFill>
                  <w14:solidFill>
                    <w14:schemeClr w14:val="tx1"/>
                  </w14:solidFill>
                </w14:textFill>
              </w:rPr>
              <w:t>生产摩托车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零部件</w:t>
            </w:r>
            <w:r>
              <w:rPr>
                <w:rFonts w:eastAsia="宋体"/>
                <w:color w:val="000000" w:themeColor="text1"/>
                <w:sz w:val="24"/>
                <w14:textFill>
                  <w14:solidFill>
                    <w14:schemeClr w14:val="tx1"/>
                  </w14:solidFill>
                </w14:textFill>
              </w:rPr>
              <w:t>，</w:t>
            </w:r>
            <w:r>
              <w:rPr>
                <w:rFonts w:hint="eastAsia" w:eastAsia="宋体" w:cs="Times New Roman"/>
                <w:color w:val="000000" w:themeColor="text1"/>
                <w:sz w:val="24"/>
                <w:szCs w:val="24"/>
                <w:highlight w:val="none"/>
                <w:lang w:val="en-US" w:eastAsia="zh-CN"/>
                <w14:textFill>
                  <w14:solidFill>
                    <w14:schemeClr w14:val="tx1"/>
                  </w14:solidFill>
                </w14:textFill>
              </w:rPr>
              <w:t>位于</w:t>
            </w:r>
            <w:r>
              <w:rPr>
                <w:rFonts w:hint="eastAsia" w:eastAsia="宋体"/>
                <w:color w:val="000000" w:themeColor="text1"/>
                <w:sz w:val="24"/>
                <w14:textFill>
                  <w14:solidFill>
                    <w14:schemeClr w14:val="tx1"/>
                  </w14:solidFill>
                </w14:textFill>
              </w:rPr>
              <w:t>青杠-来凤组团</w:t>
            </w:r>
            <w:r>
              <w:rPr>
                <w:rFonts w:hint="eastAsia" w:eastAsia="宋体"/>
                <w:color w:val="000000" w:themeColor="text1"/>
                <w:sz w:val="24"/>
                <w:lang w:eastAsia="zh-CN"/>
                <w14:textFill>
                  <w14:solidFill>
                    <w14:schemeClr w14:val="tx1"/>
                  </w14:solidFill>
                </w14:textFill>
              </w:rPr>
              <w:t>，</w:t>
            </w:r>
            <w:r>
              <w:rPr>
                <w:rFonts w:eastAsia="宋体"/>
                <w:color w:val="000000" w:themeColor="text1"/>
                <w:sz w:val="24"/>
                <w14:textFill>
                  <w14:solidFill>
                    <w14:schemeClr w14:val="tx1"/>
                  </w14:solidFill>
                </w14:textFill>
              </w:rPr>
              <w:t>租用已建厂房，规划用地性质为工业用地，属于</w:t>
            </w:r>
            <w:r>
              <w:rPr>
                <w:rFonts w:hint="eastAsia" w:eastAsia="宋体"/>
                <w:color w:val="000000" w:themeColor="text1"/>
                <w:sz w:val="24"/>
                <w:lang w:val="en-US" w:eastAsia="zh-CN"/>
                <w14:textFill>
                  <w14:solidFill>
                    <w14:schemeClr w14:val="tx1"/>
                  </w14:solidFill>
                </w14:textFill>
              </w:rPr>
              <w:t>智能装备</w:t>
            </w:r>
            <w:r>
              <w:rPr>
                <w:rFonts w:eastAsia="宋体"/>
                <w:color w:val="000000" w:themeColor="text1"/>
                <w:sz w:val="24"/>
                <w14:textFill>
                  <w14:solidFill>
                    <w14:schemeClr w14:val="tx1"/>
                  </w14:solidFill>
                </w14:textFill>
              </w:rPr>
              <w:t>制造企业配套产业，</w:t>
            </w:r>
            <w:r>
              <w:rPr>
                <w:rFonts w:hint="eastAsia" w:eastAsia="宋体"/>
                <w:color w:val="000000" w:themeColor="text1"/>
                <w:sz w:val="24"/>
                <w:lang w:val="en-US" w:eastAsia="zh-CN"/>
                <w14:textFill>
                  <w14:solidFill>
                    <w14:schemeClr w14:val="tx1"/>
                  </w14:solidFill>
                </w14:textFill>
              </w:rPr>
              <w:t>与规划主导产业不冲突，</w:t>
            </w:r>
            <w:r>
              <w:rPr>
                <w:rFonts w:eastAsia="宋体"/>
                <w:color w:val="000000" w:themeColor="text1"/>
                <w:sz w:val="24"/>
                <w14:textFill>
                  <w14:solidFill>
                    <w14:schemeClr w14:val="tx1"/>
                  </w14:solidFill>
                </w14:textFill>
              </w:rPr>
              <w:t>符合</w:t>
            </w:r>
            <w:r>
              <w:rPr>
                <w:rFonts w:hint="eastAsia" w:eastAsia="宋体"/>
                <w:color w:val="000000" w:themeColor="text1"/>
                <w:sz w:val="24"/>
                <w14:textFill>
                  <w14:solidFill>
                    <w14:schemeClr w14:val="tx1"/>
                  </w14:solidFill>
                </w14:textFill>
              </w:rPr>
              <w:t>《璧山高新技术产业开发区（国家级、市级）规划（2023年-2028年）》</w:t>
            </w:r>
            <w:r>
              <w:rPr>
                <w:rFonts w:hint="eastAsia" w:eastAsia="宋体"/>
                <w:color w:val="000000" w:themeColor="text1"/>
                <w:sz w:val="24"/>
                <w:lang w:val="en-US" w:eastAsia="zh-CN"/>
                <w14:textFill>
                  <w14:solidFill>
                    <w14:schemeClr w14:val="tx1"/>
                  </w14:solidFill>
                </w14:textFill>
              </w:rPr>
              <w:t>相关要求</w:t>
            </w:r>
            <w:r>
              <w:rPr>
                <w:rFonts w:eastAsia="宋体"/>
                <w:color w:val="000000" w:themeColor="text1"/>
                <w:sz w:val="24"/>
                <w14:textFill>
                  <w14:solidFill>
                    <w14:schemeClr w14:val="tx1"/>
                  </w14:solidFill>
                </w14:textFill>
              </w:rPr>
              <w:t>。</w:t>
            </w:r>
          </w:p>
          <w:p w14:paraId="32D153C6">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cs="Times New Roman"/>
                <w:b/>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color w:val="000000" w:themeColor="text1"/>
                <w:sz w:val="24"/>
                <w:szCs w:val="24"/>
                <w14:textFill>
                  <w14:solidFill>
                    <w14:schemeClr w14:val="tx1"/>
                  </w14:solidFill>
                </w14:textFill>
              </w:rPr>
              <w:t>、</w:t>
            </w:r>
            <w:r>
              <w:rPr>
                <w:rFonts w:hint="default" w:ascii="Times New Roman" w:hAnsi="Times New Roman" w:cs="Times New Roman"/>
                <w:b/>
                <w:color w:val="000000" w:themeColor="text1"/>
                <w:sz w:val="24"/>
                <w:szCs w:val="24"/>
                <w14:textFill>
                  <w14:solidFill>
                    <w14:schemeClr w14:val="tx1"/>
                  </w14:solidFill>
                </w14:textFill>
              </w:rPr>
              <w:t>与《璧山高新技术产业开发区（国家级、市级）规划（2023年-2028年）环境影响报告书》符合性分析</w:t>
            </w:r>
          </w:p>
          <w:p w14:paraId="18547691">
            <w:pPr>
              <w:autoSpaceDE w:val="0"/>
              <w:autoSpaceDN w:val="0"/>
              <w:adjustRightInd w:val="0"/>
              <w:spacing w:line="360" w:lineRule="auto"/>
              <w:ind w:firstLine="480" w:firstLineChars="200"/>
              <w:jc w:val="both"/>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eastAsia" w:cs="Times New Roman"/>
                <w:color w:val="000000" w:themeColor="text1"/>
                <w:kern w:val="0"/>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kern w:val="0"/>
                <w:sz w:val="24"/>
                <w:szCs w:val="24"/>
                <w14:textFill>
                  <w14:solidFill>
                    <w14:schemeClr w14:val="tx1"/>
                  </w14:solidFill>
                </w14:textFill>
              </w:rPr>
              <w:t>项目与璧山高新技术产业开发区（国家级、市级）规划（2023年-2028年）规划环评的符合性分析详见表</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w:t>
            </w:r>
            <w:r>
              <w:rPr>
                <w:rFonts w:hint="eastAsia" w:cs="Times New Roman"/>
                <w:color w:val="000000" w:themeColor="text1"/>
                <w:kern w:val="0"/>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14:textFill>
                  <w14:solidFill>
                    <w14:schemeClr w14:val="tx1"/>
                  </w14:solidFill>
                </w14:textFill>
              </w:rPr>
              <w:t>。</w:t>
            </w:r>
          </w:p>
          <w:p w14:paraId="0CA1F6DE">
            <w:pPr>
              <w:spacing w:line="480" w:lineRule="exact"/>
              <w:ind w:firstLine="482"/>
              <w:jc w:val="center"/>
              <w:rPr>
                <w:rFonts w:hint="default" w:eastAsia="宋体" w:cs="Times New Roman"/>
                <w:b/>
                <w:color w:val="000000" w:themeColor="text1"/>
                <w:sz w:val="24"/>
                <w:szCs w:val="24"/>
                <w:lang w:val="en-US" w:eastAsia="zh-CN"/>
                <w14:textFill>
                  <w14:solidFill>
                    <w14:schemeClr w14:val="tx1"/>
                  </w14:solidFill>
                </w14:textFill>
              </w:rPr>
            </w:pPr>
            <w:r>
              <w:rPr>
                <w:rFonts w:hint="eastAsia" w:eastAsia="宋体" w:cs="Times New Roman"/>
                <w:b/>
                <w:color w:val="000000" w:themeColor="text1"/>
                <w:sz w:val="24"/>
                <w:szCs w:val="24"/>
                <w:lang w:val="en-US" w:eastAsia="zh-CN"/>
                <w14:textFill>
                  <w14:solidFill>
                    <w14:schemeClr w14:val="tx1"/>
                  </w14:solidFill>
                </w14:textFill>
              </w:rPr>
              <w:t>表1-</w:t>
            </w:r>
            <w:r>
              <w:rPr>
                <w:rFonts w:hint="eastAsia" w:cs="Times New Roman"/>
                <w:b/>
                <w:color w:val="000000" w:themeColor="text1"/>
                <w:sz w:val="24"/>
                <w:szCs w:val="24"/>
                <w:lang w:val="en-US" w:eastAsia="zh-CN"/>
                <w14:textFill>
                  <w14:solidFill>
                    <w14:schemeClr w14:val="tx1"/>
                  </w14:solidFill>
                </w14:textFill>
              </w:rPr>
              <w:t>2</w:t>
            </w:r>
            <w:r>
              <w:rPr>
                <w:rFonts w:hint="eastAsia" w:eastAsia="宋体" w:cs="Times New Roman"/>
                <w:b/>
                <w:color w:val="000000" w:themeColor="text1"/>
                <w:sz w:val="24"/>
                <w:szCs w:val="24"/>
                <w:lang w:val="en-US" w:eastAsia="zh-CN"/>
                <w14:textFill>
                  <w14:solidFill>
                    <w14:schemeClr w14:val="tx1"/>
                  </w14:solidFill>
                </w14:textFill>
              </w:rPr>
              <w:t xml:space="preserve"> 与</w:t>
            </w:r>
            <w:r>
              <w:rPr>
                <w:rFonts w:eastAsia="宋体" w:cs="Times New Roman"/>
                <w:b/>
                <w:color w:val="000000" w:themeColor="text1"/>
                <w:sz w:val="24"/>
                <w:szCs w:val="24"/>
                <w14:textFill>
                  <w14:solidFill>
                    <w14:schemeClr w14:val="tx1"/>
                  </w14:solidFill>
                </w14:textFill>
              </w:rPr>
              <w:t>规划区生态环境准入清单</w:t>
            </w:r>
            <w:r>
              <w:rPr>
                <w:rFonts w:hint="eastAsia" w:eastAsia="宋体" w:cs="Times New Roman"/>
                <w:b/>
                <w:color w:val="000000" w:themeColor="text1"/>
                <w:sz w:val="24"/>
                <w:szCs w:val="24"/>
                <w:lang w:val="en-US" w:eastAsia="zh-CN"/>
                <w14:textFill>
                  <w14:solidFill>
                    <w14:schemeClr w14:val="tx1"/>
                  </w14:solidFill>
                </w14:textFill>
              </w:rPr>
              <w:t>符合性分析表</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3570"/>
              <w:gridCol w:w="3100"/>
              <w:gridCol w:w="617"/>
            </w:tblGrid>
            <w:tr w14:paraId="2732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50" w:type="dxa"/>
                  <w:vAlign w:val="center"/>
                </w:tcPr>
                <w:p w14:paraId="7809D215">
                  <w:pPr>
                    <w:pStyle w:val="44"/>
                    <w:rPr>
                      <w:b/>
                      <w:bCs w:val="0"/>
                      <w:color w:val="000000" w:themeColor="text1"/>
                      <w14:textFill>
                        <w14:solidFill>
                          <w14:schemeClr w14:val="tx1"/>
                        </w14:solidFill>
                      </w14:textFill>
                    </w:rPr>
                  </w:pPr>
                  <w:bookmarkStart w:id="1" w:name="_Hlk188020161"/>
                  <w:r>
                    <w:rPr>
                      <w:b/>
                      <w:bCs w:val="0"/>
                      <w:color w:val="000000" w:themeColor="text1"/>
                      <w14:textFill>
                        <w14:solidFill>
                          <w14:schemeClr w14:val="tx1"/>
                        </w14:solidFill>
                      </w14:textFill>
                    </w:rPr>
                    <w:t>管控类别</w:t>
                  </w:r>
                </w:p>
              </w:tc>
              <w:tc>
                <w:tcPr>
                  <w:tcW w:w="3570" w:type="dxa"/>
                  <w:vAlign w:val="center"/>
                </w:tcPr>
                <w:p w14:paraId="66707B14">
                  <w:pPr>
                    <w:pStyle w:val="44"/>
                    <w:rPr>
                      <w:b/>
                      <w:bCs w:val="0"/>
                      <w:color w:val="000000" w:themeColor="text1"/>
                      <w14:textFill>
                        <w14:solidFill>
                          <w14:schemeClr w14:val="tx1"/>
                        </w14:solidFill>
                      </w14:textFill>
                    </w:rPr>
                  </w:pPr>
                  <w:r>
                    <w:rPr>
                      <w:b/>
                      <w:bCs w:val="0"/>
                      <w:color w:val="000000" w:themeColor="text1"/>
                      <w14:textFill>
                        <w14:solidFill>
                          <w14:schemeClr w14:val="tx1"/>
                        </w14:solidFill>
                      </w14:textFill>
                    </w:rPr>
                    <w:t>清单内容</w:t>
                  </w:r>
                </w:p>
              </w:tc>
              <w:tc>
                <w:tcPr>
                  <w:tcW w:w="3100" w:type="dxa"/>
                  <w:vAlign w:val="center"/>
                </w:tcPr>
                <w:p w14:paraId="58018B35">
                  <w:pPr>
                    <w:pStyle w:val="44"/>
                    <w:rPr>
                      <w:rFonts w:hint="default" w:eastAsia="宋体"/>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本项目情况</w:t>
                  </w:r>
                </w:p>
              </w:tc>
              <w:tc>
                <w:tcPr>
                  <w:tcW w:w="617" w:type="dxa"/>
                  <w:vAlign w:val="center"/>
                </w:tcPr>
                <w:p w14:paraId="310F092B">
                  <w:pPr>
                    <w:pStyle w:val="44"/>
                    <w:jc w:val="center"/>
                    <w:rPr>
                      <w:rFonts w:hint="default"/>
                      <w:b/>
                      <w:bCs w:val="0"/>
                      <w:color w:val="000000" w:themeColor="text1"/>
                      <w:lang w:val="en-US" w:eastAsia="zh-CN"/>
                      <w14:textFill>
                        <w14:solidFill>
                          <w14:schemeClr w14:val="tx1"/>
                        </w14:solidFill>
                      </w14:textFill>
                    </w:rPr>
                  </w:pPr>
                  <w:r>
                    <w:rPr>
                      <w:rFonts w:hint="eastAsia"/>
                      <w:b/>
                      <w:bCs w:val="0"/>
                      <w:color w:val="000000" w:themeColor="text1"/>
                      <w:lang w:val="en-US" w:eastAsia="zh-CN"/>
                      <w14:textFill>
                        <w14:solidFill>
                          <w14:schemeClr w14:val="tx1"/>
                        </w14:solidFill>
                      </w14:textFill>
                    </w:rPr>
                    <w:t>符合性</w:t>
                  </w:r>
                </w:p>
              </w:tc>
            </w:tr>
            <w:tr w14:paraId="5373D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vAlign w:val="center"/>
                </w:tcPr>
                <w:p w14:paraId="5F00ED58">
                  <w:pPr>
                    <w:pStyle w:val="44"/>
                    <w:rPr>
                      <w:color w:val="000000" w:themeColor="text1"/>
                      <w14:textFill>
                        <w14:solidFill>
                          <w14:schemeClr w14:val="tx1"/>
                        </w14:solidFill>
                      </w14:textFill>
                    </w:rPr>
                  </w:pPr>
                  <w:r>
                    <w:rPr>
                      <w:color w:val="000000" w:themeColor="text1"/>
                      <w14:textFill>
                        <w14:solidFill>
                          <w14:schemeClr w14:val="tx1"/>
                        </w14:solidFill>
                      </w14:textFill>
                    </w:rPr>
                    <w:t>空间布局约束</w:t>
                  </w:r>
                </w:p>
              </w:tc>
              <w:tc>
                <w:tcPr>
                  <w:tcW w:w="3570" w:type="dxa"/>
                  <w:vAlign w:val="center"/>
                </w:tcPr>
                <w:p w14:paraId="1A5C4C0B">
                  <w:pPr>
                    <w:pStyle w:val="44"/>
                    <w:rPr>
                      <w:color w:val="000000" w:themeColor="text1"/>
                      <w14:textFill>
                        <w14:solidFill>
                          <w14:schemeClr w14:val="tx1"/>
                        </w14:solidFill>
                      </w14:textFill>
                    </w:rPr>
                  </w:pPr>
                  <w:r>
                    <w:rPr>
                      <w:color w:val="000000" w:themeColor="text1"/>
                      <w:szCs w:val="24"/>
                      <w14:textFill>
                        <w14:solidFill>
                          <w14:schemeClr w14:val="tx1"/>
                        </w14:solidFill>
                      </w14:textFill>
                    </w:rPr>
                    <w:t>1</w:t>
                  </w:r>
                  <w:r>
                    <w:rPr>
                      <w:rFonts w:hint="eastAsia"/>
                      <w:color w:val="000000" w:themeColor="text1"/>
                      <w:szCs w:val="24"/>
                      <w14:textFill>
                        <w14:solidFill>
                          <w14:schemeClr w14:val="tx1"/>
                        </w14:solidFill>
                      </w14:textFill>
                    </w:rPr>
                    <w:t>.</w:t>
                  </w:r>
                  <w:r>
                    <w:rPr>
                      <w:rFonts w:hint="eastAsia"/>
                      <w:color w:val="000000" w:themeColor="text1"/>
                      <w14:textFill>
                        <w14:solidFill>
                          <w14:schemeClr w14:val="tx1"/>
                        </w14:solidFill>
                      </w14:textFill>
                    </w:rPr>
                    <w:t xml:space="preserve"> </w:t>
                  </w:r>
                  <w:r>
                    <w:rPr>
                      <w:rFonts w:hint="eastAsia"/>
                      <w:color w:val="000000" w:themeColor="text1"/>
                      <w:szCs w:val="24"/>
                      <w14:textFill>
                        <w14:solidFill>
                          <w14:schemeClr w14:val="tx1"/>
                        </w14:solidFill>
                      </w14:textFill>
                    </w:rPr>
                    <w:t>国家级高新技术产业开发区规划用地范围内必须依法供地，以产业用地为主，严禁新增房地产开发项目。</w:t>
                  </w:r>
                </w:p>
              </w:tc>
              <w:tc>
                <w:tcPr>
                  <w:tcW w:w="3100" w:type="dxa"/>
                  <w:vAlign w:val="center"/>
                </w:tcPr>
                <w:p w14:paraId="670352E0">
                  <w:pPr>
                    <w:pStyle w:val="44"/>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项目租赁已建成厂房，用地类型为工业用地，项目为摩托车零部件及配件制造，不涉及房地产开发</w:t>
                  </w:r>
                </w:p>
              </w:tc>
              <w:tc>
                <w:tcPr>
                  <w:tcW w:w="617" w:type="dxa"/>
                  <w:vAlign w:val="center"/>
                </w:tcPr>
                <w:p w14:paraId="6EF35ACE">
                  <w:pPr>
                    <w:pStyle w:val="44"/>
                    <w:jc w:val="center"/>
                    <w:rPr>
                      <w:rFonts w:hint="eastAsia"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符合</w:t>
                  </w:r>
                </w:p>
              </w:tc>
            </w:tr>
            <w:tr w14:paraId="0ECD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vAlign w:val="center"/>
                </w:tcPr>
                <w:p w14:paraId="4A33A933">
                  <w:pPr>
                    <w:pStyle w:val="44"/>
                    <w:rPr>
                      <w:color w:val="000000" w:themeColor="text1"/>
                      <w14:textFill>
                        <w14:solidFill>
                          <w14:schemeClr w14:val="tx1"/>
                        </w14:solidFill>
                      </w14:textFill>
                    </w:rPr>
                  </w:pPr>
                </w:p>
              </w:tc>
              <w:tc>
                <w:tcPr>
                  <w:tcW w:w="3570" w:type="dxa"/>
                  <w:vAlign w:val="center"/>
                </w:tcPr>
                <w:p w14:paraId="4AB628E7">
                  <w:pPr>
                    <w:pStyle w:val="44"/>
                    <w:rPr>
                      <w:color w:val="000000" w:themeColor="text1"/>
                      <w14:textFill>
                        <w14:solidFill>
                          <w14:schemeClr w14:val="tx1"/>
                        </w14:solidFill>
                      </w14:textFill>
                    </w:rPr>
                  </w:pPr>
                  <w:bookmarkStart w:id="2" w:name="_Hlk175689903"/>
                  <w:r>
                    <w:rPr>
                      <w:rFonts w:hint="eastAsia"/>
                      <w:color w:val="000000" w:themeColor="text1"/>
                      <w14:textFill>
                        <w14:solidFill>
                          <w14:schemeClr w14:val="tx1"/>
                        </w14:solidFill>
                      </w14:textFill>
                    </w:rPr>
                    <w:t>2.</w:t>
                  </w:r>
                  <w:r>
                    <w:rPr>
                      <w:rFonts w:hint="eastAsia" w:hAnsi="微软雅黑" w:eastAsia="微软雅黑"/>
                      <w:color w:val="000000" w:themeColor="text1"/>
                      <w:spacing w:val="-20"/>
                      <w:kern w:val="24"/>
                      <w:sz w:val="24"/>
                      <w:szCs w:val="24"/>
                      <w14:textFill>
                        <w14:solidFill>
                          <w14:schemeClr w14:val="tx1"/>
                        </w14:solidFill>
                      </w14:textFill>
                    </w:rPr>
                    <w:t xml:space="preserve"> </w:t>
                  </w:r>
                  <w:r>
                    <w:rPr>
                      <w:rFonts w:hint="eastAsia"/>
                      <w:color w:val="000000" w:themeColor="text1"/>
                      <w14:textFill>
                        <w14:solidFill>
                          <w14:schemeClr w14:val="tx1"/>
                        </w14:solidFill>
                      </w14:textFill>
                    </w:rPr>
                    <w:t>C16-3/02、C15-1/01、C24-1/01、C25-1/01、D08-1/01、D09-1/02、D02-2/01、D02-1/01、B07-2/02、B09-1-1/03、B09-3/02、D13-1/03、D19-1/02、TF05-04/01、TF13-09/01、TF13-07/01以上地块不得新引入高噪声以及涉及喷涂、印刷、酸洗、铸造、鞣制、屠宰、畜禽养殖等大气污染较重或异味明显的工业项目。</w:t>
                  </w:r>
                  <w:bookmarkEnd w:id="2"/>
                </w:p>
              </w:tc>
              <w:tc>
                <w:tcPr>
                  <w:tcW w:w="3100" w:type="dxa"/>
                  <w:vAlign w:val="center"/>
                </w:tcPr>
                <w:p w14:paraId="0B1A3225">
                  <w:pPr>
                    <w:pStyle w:val="4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本项目位于QM10-01/01地块，不涉及左述地块。</w:t>
                  </w:r>
                </w:p>
              </w:tc>
              <w:tc>
                <w:tcPr>
                  <w:tcW w:w="617" w:type="dxa"/>
                  <w:vAlign w:val="center"/>
                </w:tcPr>
                <w:p w14:paraId="5AB67F36">
                  <w:pPr>
                    <w:pStyle w:val="44"/>
                    <w:jc w:val="center"/>
                    <w:rPr>
                      <w:rFonts w:hint="eastAsia"/>
                      <w:color w:val="000000" w:themeColor="text1"/>
                      <w14:textFill>
                        <w14:solidFill>
                          <w14:schemeClr w14:val="tx1"/>
                        </w14:solidFill>
                      </w14:textFill>
                    </w:rPr>
                  </w:pPr>
                  <w:r>
                    <w:rPr>
                      <w:rFonts w:hint="eastAsia"/>
                      <w:color w:val="000000" w:themeColor="text1"/>
                      <w:szCs w:val="24"/>
                      <w:lang w:val="en-US" w:eastAsia="zh-CN"/>
                      <w14:textFill>
                        <w14:solidFill>
                          <w14:schemeClr w14:val="tx1"/>
                        </w14:solidFill>
                      </w14:textFill>
                    </w:rPr>
                    <w:t>符合</w:t>
                  </w:r>
                </w:p>
              </w:tc>
            </w:tr>
            <w:tr w14:paraId="7C9A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vAlign w:val="center"/>
                </w:tcPr>
                <w:p w14:paraId="67001DFE">
                  <w:pPr>
                    <w:pStyle w:val="44"/>
                    <w:rPr>
                      <w:color w:val="000000" w:themeColor="text1"/>
                      <w14:textFill>
                        <w14:solidFill>
                          <w14:schemeClr w14:val="tx1"/>
                        </w14:solidFill>
                      </w14:textFill>
                    </w:rPr>
                  </w:pPr>
                </w:p>
              </w:tc>
              <w:tc>
                <w:tcPr>
                  <w:tcW w:w="3570" w:type="dxa"/>
                  <w:vAlign w:val="center"/>
                </w:tcPr>
                <w:p w14:paraId="0B39EB48">
                  <w:pPr>
                    <w:pStyle w:val="4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优化环境防护距离设置，后续入驻项目环境防护距离优化控制在园区规划边界或用地红线以内。</w:t>
                  </w:r>
                </w:p>
              </w:tc>
              <w:tc>
                <w:tcPr>
                  <w:tcW w:w="3100" w:type="dxa"/>
                  <w:vAlign w:val="center"/>
                </w:tcPr>
                <w:p w14:paraId="372AE2F6">
                  <w:pPr>
                    <w:pStyle w:val="44"/>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本项目不涉及环境防护距离的设置。</w:t>
                  </w:r>
                </w:p>
              </w:tc>
              <w:tc>
                <w:tcPr>
                  <w:tcW w:w="617" w:type="dxa"/>
                  <w:vAlign w:val="center"/>
                </w:tcPr>
                <w:p w14:paraId="2E3A8E85">
                  <w:pPr>
                    <w:pStyle w:val="44"/>
                    <w:jc w:val="center"/>
                    <w:rPr>
                      <w:rFonts w:hint="eastAsia"/>
                      <w:color w:val="000000" w:themeColor="text1"/>
                      <w14:textFill>
                        <w14:solidFill>
                          <w14:schemeClr w14:val="tx1"/>
                        </w14:solidFill>
                      </w14:textFill>
                    </w:rPr>
                  </w:pPr>
                  <w:r>
                    <w:rPr>
                      <w:rFonts w:hint="eastAsia"/>
                      <w:color w:val="000000" w:themeColor="text1"/>
                      <w:szCs w:val="24"/>
                      <w:lang w:val="en-US" w:eastAsia="zh-CN"/>
                      <w14:textFill>
                        <w14:solidFill>
                          <w14:schemeClr w14:val="tx1"/>
                        </w14:solidFill>
                      </w14:textFill>
                    </w:rPr>
                    <w:t>符合</w:t>
                  </w:r>
                </w:p>
              </w:tc>
            </w:tr>
            <w:tr w14:paraId="257D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vAlign w:val="center"/>
                </w:tcPr>
                <w:p w14:paraId="3BE88496">
                  <w:pPr>
                    <w:pStyle w:val="44"/>
                    <w:rPr>
                      <w:color w:val="000000" w:themeColor="text1"/>
                      <w14:textFill>
                        <w14:solidFill>
                          <w14:schemeClr w14:val="tx1"/>
                        </w14:solidFill>
                      </w14:textFill>
                    </w:rPr>
                  </w:pPr>
                </w:p>
              </w:tc>
              <w:tc>
                <w:tcPr>
                  <w:tcW w:w="3570" w:type="dxa"/>
                  <w:vAlign w:val="center"/>
                </w:tcPr>
                <w:p w14:paraId="17A2162B">
                  <w:pPr>
                    <w:pStyle w:val="4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4.璧南河河道保护线外侧城镇规划建设用地内尚未建设的区域应当控制不少于三十米</w:t>
                  </w:r>
                  <w:r>
                    <w:rPr>
                      <w:color w:val="000000" w:themeColor="text1"/>
                      <w14:textFill>
                        <w14:solidFill>
                          <w14:schemeClr w14:val="tx1"/>
                        </w14:solidFill>
                      </w14:textFill>
                    </w:rPr>
                    <w:t>的</w:t>
                  </w:r>
                  <w:r>
                    <w:rPr>
                      <w:rFonts w:hint="eastAsia"/>
                      <w:color w:val="000000" w:themeColor="text1"/>
                      <w14:textFill>
                        <w14:solidFill>
                          <w14:schemeClr w14:val="tx1"/>
                        </w14:solidFill>
                      </w14:textFill>
                    </w:rPr>
                    <w:t>绿化缓冲带。</w:t>
                  </w:r>
                </w:p>
              </w:tc>
              <w:tc>
                <w:tcPr>
                  <w:tcW w:w="3100" w:type="dxa"/>
                  <w:vAlign w:val="center"/>
                </w:tcPr>
                <w:p w14:paraId="48005577">
                  <w:pPr>
                    <w:pStyle w:val="44"/>
                    <w:jc w:val="both"/>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本项目租赁已建成的厂房，不涉及</w:t>
                  </w:r>
                  <w:r>
                    <w:rPr>
                      <w:rFonts w:hint="eastAsia"/>
                      <w:color w:val="000000" w:themeColor="text1"/>
                      <w14:textFill>
                        <w14:solidFill>
                          <w14:schemeClr w14:val="tx1"/>
                        </w14:solidFill>
                      </w14:textFill>
                    </w:rPr>
                    <w:t>璧南河河道保护线外侧城镇规划建设用地内尚未建设的区域</w:t>
                  </w:r>
                  <w:r>
                    <w:rPr>
                      <w:rFonts w:hint="eastAsia"/>
                      <w:color w:val="000000" w:themeColor="text1"/>
                      <w:lang w:eastAsia="zh-CN"/>
                      <w14:textFill>
                        <w14:solidFill>
                          <w14:schemeClr w14:val="tx1"/>
                        </w14:solidFill>
                      </w14:textFill>
                    </w:rPr>
                    <w:t>。</w:t>
                  </w:r>
                </w:p>
              </w:tc>
              <w:tc>
                <w:tcPr>
                  <w:tcW w:w="617" w:type="dxa"/>
                  <w:vAlign w:val="center"/>
                </w:tcPr>
                <w:p w14:paraId="434D6F50">
                  <w:pPr>
                    <w:pStyle w:val="44"/>
                    <w:jc w:val="center"/>
                    <w:rPr>
                      <w:rFonts w:hint="eastAsia"/>
                      <w:color w:val="000000" w:themeColor="text1"/>
                      <w14:textFill>
                        <w14:solidFill>
                          <w14:schemeClr w14:val="tx1"/>
                        </w14:solidFill>
                      </w14:textFill>
                    </w:rPr>
                  </w:pPr>
                  <w:r>
                    <w:rPr>
                      <w:rFonts w:hint="eastAsia"/>
                      <w:color w:val="000000" w:themeColor="text1"/>
                      <w:szCs w:val="24"/>
                      <w:lang w:val="en-US" w:eastAsia="zh-CN"/>
                      <w14:textFill>
                        <w14:solidFill>
                          <w14:schemeClr w14:val="tx1"/>
                        </w14:solidFill>
                      </w14:textFill>
                    </w:rPr>
                    <w:t>符合</w:t>
                  </w:r>
                </w:p>
              </w:tc>
            </w:tr>
            <w:tr w14:paraId="69E0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650" w:type="dxa"/>
                  <w:vMerge w:val="continue"/>
                  <w:vAlign w:val="center"/>
                </w:tcPr>
                <w:p w14:paraId="5865F011">
                  <w:pPr>
                    <w:pStyle w:val="44"/>
                    <w:rPr>
                      <w:color w:val="000000" w:themeColor="text1"/>
                      <w14:textFill>
                        <w14:solidFill>
                          <w14:schemeClr w14:val="tx1"/>
                        </w14:solidFill>
                      </w14:textFill>
                    </w:rPr>
                  </w:pPr>
                </w:p>
              </w:tc>
              <w:tc>
                <w:tcPr>
                  <w:tcW w:w="3570" w:type="dxa"/>
                  <w:vAlign w:val="center"/>
                </w:tcPr>
                <w:p w14:paraId="77FE74A6">
                  <w:pPr>
                    <w:pStyle w:val="44"/>
                    <w:jc w:val="both"/>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5.</w:t>
                  </w:r>
                  <w:r>
                    <w:rPr>
                      <w:rFonts w:hint="eastAsia"/>
                      <w:color w:val="000000" w:themeColor="text1"/>
                      <w14:textFill>
                        <w14:solidFill>
                          <w14:schemeClr w14:val="tx1"/>
                        </w14:solidFill>
                      </w14:textFill>
                    </w:rPr>
                    <w:t xml:space="preserve"> </w:t>
                  </w:r>
                  <w:bookmarkStart w:id="3" w:name="_Hlk188025787"/>
                  <w:r>
                    <w:rPr>
                      <w:rFonts w:hint="eastAsia"/>
                      <w:color w:val="000000" w:themeColor="text1"/>
                      <w14:textFill>
                        <w14:solidFill>
                          <w14:schemeClr w14:val="tx1"/>
                        </w14:solidFill>
                      </w14:textFill>
                    </w:rPr>
                    <w:t>严禁在电镀集中加工区外新增电镀企业。</w:t>
                  </w:r>
                  <w:bookmarkEnd w:id="3"/>
                </w:p>
              </w:tc>
              <w:tc>
                <w:tcPr>
                  <w:tcW w:w="3100" w:type="dxa"/>
                  <w:vAlign w:val="center"/>
                </w:tcPr>
                <w:p w14:paraId="0C57C590">
                  <w:pPr>
                    <w:pStyle w:val="44"/>
                    <w:jc w:val="both"/>
                    <w:rPr>
                      <w:rFonts w:hint="default" w:eastAsia="宋体"/>
                      <w:color w:val="000000" w:themeColor="text1"/>
                      <w:szCs w:val="24"/>
                      <w:lang w:val="en-US" w:eastAsia="zh-CN"/>
                      <w14:textFill>
                        <w14:solidFill>
                          <w14:schemeClr w14:val="tx1"/>
                        </w14:solidFill>
                      </w14:textFill>
                    </w:rPr>
                  </w:pPr>
                  <w:r>
                    <w:rPr>
                      <w:rFonts w:hint="eastAsia"/>
                      <w:color w:val="000000" w:themeColor="text1"/>
                      <w:szCs w:val="24"/>
                      <w:lang w:val="en-US" w:eastAsia="zh-CN"/>
                      <w14:textFill>
                        <w14:solidFill>
                          <w14:schemeClr w14:val="tx1"/>
                        </w14:solidFill>
                      </w14:textFill>
                    </w:rPr>
                    <w:t>本项目为摩托车零部件及配件制造，不涉及电镀，不位于电镀集中加工区。</w:t>
                  </w:r>
                </w:p>
              </w:tc>
              <w:tc>
                <w:tcPr>
                  <w:tcW w:w="617" w:type="dxa"/>
                  <w:vAlign w:val="center"/>
                </w:tcPr>
                <w:p w14:paraId="1FE10880">
                  <w:pPr>
                    <w:pStyle w:val="44"/>
                    <w:jc w:val="center"/>
                    <w:rPr>
                      <w:rFonts w:hint="eastAsia"/>
                      <w:color w:val="000000" w:themeColor="text1"/>
                      <w:szCs w:val="24"/>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49AC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vAlign w:val="center"/>
                </w:tcPr>
                <w:p w14:paraId="12984912">
                  <w:pPr>
                    <w:pStyle w:val="44"/>
                    <w:rPr>
                      <w:color w:val="000000" w:themeColor="text1"/>
                      <w14:textFill>
                        <w14:solidFill>
                          <w14:schemeClr w14:val="tx1"/>
                        </w14:solidFill>
                      </w14:textFill>
                    </w:rPr>
                  </w:pPr>
                  <w:r>
                    <w:rPr>
                      <w:color w:val="000000" w:themeColor="text1"/>
                      <w14:textFill>
                        <w14:solidFill>
                          <w14:schemeClr w14:val="tx1"/>
                        </w14:solidFill>
                      </w14:textFill>
                    </w:rPr>
                    <w:t>污染物排放管控</w:t>
                  </w:r>
                </w:p>
              </w:tc>
              <w:tc>
                <w:tcPr>
                  <w:tcW w:w="3570" w:type="dxa"/>
                  <w:vAlign w:val="center"/>
                </w:tcPr>
                <w:p w14:paraId="2159FFD4">
                  <w:pPr>
                    <w:pStyle w:val="4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6.涉及VOCs排放的工业企业应加强源头控制，使用低（无）VOCs含量的原辅料，加强废气收集减少无组织排放，并安装高效治理设施；严格执行大气污染物特别排放限值。</w:t>
                  </w:r>
                </w:p>
              </w:tc>
              <w:tc>
                <w:tcPr>
                  <w:tcW w:w="3100" w:type="dxa"/>
                  <w:vAlign w:val="center"/>
                </w:tcPr>
                <w:p w14:paraId="37A2AFCE">
                  <w:pPr>
                    <w:pStyle w:val="44"/>
                    <w:jc w:val="both"/>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本项目使用的原辅料为低（无）VOCs含量的原辅料，产生的废气经收集、处理后达标排放。</w:t>
                  </w:r>
                </w:p>
              </w:tc>
              <w:tc>
                <w:tcPr>
                  <w:tcW w:w="617" w:type="dxa"/>
                  <w:vAlign w:val="center"/>
                </w:tcPr>
                <w:p w14:paraId="4B6AF642">
                  <w:pPr>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74BB8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vAlign w:val="center"/>
                </w:tcPr>
                <w:p w14:paraId="7217AF18">
                  <w:pPr>
                    <w:pStyle w:val="44"/>
                    <w:rPr>
                      <w:color w:val="000000" w:themeColor="text1"/>
                      <w14:textFill>
                        <w14:solidFill>
                          <w14:schemeClr w14:val="tx1"/>
                        </w14:solidFill>
                      </w14:textFill>
                    </w:rPr>
                  </w:pPr>
                </w:p>
              </w:tc>
              <w:tc>
                <w:tcPr>
                  <w:tcW w:w="3570" w:type="dxa"/>
                  <w:vAlign w:val="center"/>
                </w:tcPr>
                <w:p w14:paraId="37EA4E64">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7.</w:t>
                  </w:r>
                  <w:bookmarkStart w:id="4" w:name="_Hlk188025812"/>
                  <w:r>
                    <w:rPr>
                      <w:rFonts w:hint="eastAsia"/>
                      <w:color w:val="000000" w:themeColor="text1"/>
                      <w14:textFill>
                        <w14:solidFill>
                          <w14:schemeClr w14:val="tx1"/>
                        </w14:solidFill>
                      </w14:textFill>
                    </w:rPr>
                    <w:t>新、改、扩建重点行业（电镀行业）重点重金属污染物排放执行“等量替代”原则。</w:t>
                  </w:r>
                  <w:bookmarkEnd w:id="4"/>
                </w:p>
              </w:tc>
              <w:tc>
                <w:tcPr>
                  <w:tcW w:w="3100" w:type="dxa"/>
                  <w:vAlign w:val="center"/>
                </w:tcPr>
                <w:p w14:paraId="564AFB2F">
                  <w:pPr>
                    <w:pStyle w:val="44"/>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本项目为</w:t>
                  </w:r>
                  <w:r>
                    <w:rPr>
                      <w:rFonts w:hint="eastAsia"/>
                      <w:color w:val="000000" w:themeColor="text1"/>
                      <w:szCs w:val="24"/>
                      <w:lang w:val="en-US" w:eastAsia="zh-CN"/>
                      <w14:textFill>
                        <w14:solidFill>
                          <w14:schemeClr w14:val="tx1"/>
                        </w14:solidFill>
                      </w14:textFill>
                    </w:rPr>
                    <w:t>摩托车零部件及配件制造，不涉及重点行业。</w:t>
                  </w:r>
                </w:p>
              </w:tc>
              <w:tc>
                <w:tcPr>
                  <w:tcW w:w="617" w:type="dxa"/>
                  <w:vAlign w:val="center"/>
                </w:tcPr>
                <w:p w14:paraId="51B69C1B">
                  <w:pPr>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3DDD3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vAlign w:val="center"/>
                </w:tcPr>
                <w:p w14:paraId="7C7CF6BB">
                  <w:pPr>
                    <w:pStyle w:val="44"/>
                    <w:rPr>
                      <w:color w:val="000000" w:themeColor="text1"/>
                      <w14:textFill>
                        <w14:solidFill>
                          <w14:schemeClr w14:val="tx1"/>
                        </w14:solidFill>
                      </w14:textFill>
                    </w:rPr>
                  </w:pPr>
                </w:p>
              </w:tc>
              <w:tc>
                <w:tcPr>
                  <w:tcW w:w="3570" w:type="dxa"/>
                  <w:vAlign w:val="center"/>
                </w:tcPr>
                <w:p w14:paraId="1C49B6CA">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8.</w:t>
                  </w:r>
                  <w:bookmarkStart w:id="5" w:name="OLE_LINK6"/>
                  <w:r>
                    <w:rPr>
                      <w:rFonts w:hint="eastAsia"/>
                      <w:color w:val="000000" w:themeColor="text1"/>
                      <w14:textFill>
                        <w14:solidFill>
                          <w14:schemeClr w14:val="tx1"/>
                        </w14:solidFill>
                      </w14:textFill>
                    </w:rPr>
                    <w:t>电镀集中加工区应控制电镀规模，保证加工区废水放量不突破7960m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bookmarkEnd w:id="5"/>
                </w:p>
              </w:tc>
              <w:tc>
                <w:tcPr>
                  <w:tcW w:w="3100" w:type="dxa"/>
                  <w:vAlign w:val="center"/>
                </w:tcPr>
                <w:p w14:paraId="446A2F89">
                  <w:pPr>
                    <w:pStyle w:val="44"/>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本项目为</w:t>
                  </w:r>
                  <w:r>
                    <w:rPr>
                      <w:rFonts w:hint="eastAsia"/>
                      <w:color w:val="000000" w:themeColor="text1"/>
                      <w:szCs w:val="24"/>
                      <w:lang w:val="en-US" w:eastAsia="zh-CN"/>
                      <w14:textFill>
                        <w14:solidFill>
                          <w14:schemeClr w14:val="tx1"/>
                        </w14:solidFill>
                      </w14:textFill>
                    </w:rPr>
                    <w:t>摩托车零部件及配件制造，不涉及电镀。</w:t>
                  </w:r>
                </w:p>
              </w:tc>
              <w:tc>
                <w:tcPr>
                  <w:tcW w:w="617" w:type="dxa"/>
                  <w:vAlign w:val="center"/>
                </w:tcPr>
                <w:p w14:paraId="54F57F59">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4C1E9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vAlign w:val="center"/>
                </w:tcPr>
                <w:p w14:paraId="2E728426">
                  <w:pPr>
                    <w:pStyle w:val="44"/>
                    <w:rPr>
                      <w:color w:val="000000" w:themeColor="text1"/>
                      <w14:textFill>
                        <w14:solidFill>
                          <w14:schemeClr w14:val="tx1"/>
                        </w14:solidFill>
                      </w14:textFill>
                    </w:rPr>
                  </w:pPr>
                </w:p>
              </w:tc>
              <w:tc>
                <w:tcPr>
                  <w:tcW w:w="3570" w:type="dxa"/>
                  <w:vAlign w:val="center"/>
                </w:tcPr>
                <w:p w14:paraId="51C3F2F5">
                  <w:pPr>
                    <w:pStyle w:val="44"/>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rFonts w:cstheme="minorBidi"/>
                      <w:color w:val="000000" w:themeColor="text1"/>
                      <w14:textFill>
                        <w14:solidFill>
                          <w14:schemeClr w14:val="tx1"/>
                        </w14:solidFill>
                      </w14:textFill>
                    </w:rPr>
                    <w:t xml:space="preserve"> 规划实施排放的主要污染物及特征污染物排放量不得突破</w:t>
                  </w:r>
                  <w:r>
                    <w:rPr>
                      <w:rFonts w:hint="eastAsia" w:cstheme="minorBidi"/>
                      <w:color w:val="000000" w:themeColor="text1"/>
                      <w14:textFill>
                        <w14:solidFill>
                          <w14:schemeClr w14:val="tx1"/>
                        </w14:solidFill>
                      </w14:textFill>
                    </w:rPr>
                    <w:t>本</w:t>
                  </w:r>
                  <w:r>
                    <w:rPr>
                      <w:rFonts w:cstheme="minorBidi"/>
                      <w:color w:val="000000" w:themeColor="text1"/>
                      <w14:textFill>
                        <w14:solidFill>
                          <w14:schemeClr w14:val="tx1"/>
                        </w14:solidFill>
                      </w14:textFill>
                    </w:rPr>
                    <w:t>《报告书》确定的总量管控</w:t>
                  </w:r>
                  <w:r>
                    <w:rPr>
                      <w:rFonts w:hint="eastAsia" w:cstheme="minorBidi"/>
                      <w:color w:val="000000" w:themeColor="text1"/>
                      <w14:textFill>
                        <w14:solidFill>
                          <w14:schemeClr w14:val="tx1"/>
                        </w14:solidFill>
                      </w14:textFill>
                    </w:rPr>
                    <w:t>限值</w:t>
                  </w:r>
                  <w:r>
                    <w:rPr>
                      <w:rFonts w:cstheme="minorBidi"/>
                      <w:color w:val="000000" w:themeColor="text1"/>
                      <w14:textFill>
                        <w14:solidFill>
                          <w14:schemeClr w14:val="tx1"/>
                        </w14:solidFill>
                      </w14:textFill>
                    </w:rPr>
                    <w:t>。</w:t>
                  </w:r>
                </w:p>
              </w:tc>
              <w:tc>
                <w:tcPr>
                  <w:tcW w:w="3100" w:type="dxa"/>
                  <w:vAlign w:val="center"/>
                </w:tcPr>
                <w:p w14:paraId="45469F8C">
                  <w:pPr>
                    <w:pStyle w:val="44"/>
                    <w:jc w:val="both"/>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本项目</w:t>
                  </w:r>
                  <w:r>
                    <w:rPr>
                      <w:rFonts w:hint="eastAsia"/>
                      <w:color w:val="000000" w:themeColor="text1"/>
                      <w14:textFill>
                        <w14:solidFill>
                          <w14:schemeClr w14:val="tx1"/>
                        </w14:solidFill>
                      </w14:textFill>
                    </w:rPr>
                    <w:t>全厂排放的总量为COD</w:t>
                  </w:r>
                  <w:r>
                    <w:rPr>
                      <w:rFonts w:hint="eastAsia"/>
                      <w:color w:val="000000" w:themeColor="text1"/>
                      <w:lang w:val="en-US" w:eastAsia="zh-CN"/>
                      <w14:textFill>
                        <w14:solidFill>
                          <w14:schemeClr w14:val="tx1"/>
                        </w14:solidFill>
                      </w14:textFill>
                    </w:rPr>
                    <w:t>0.0095</w:t>
                  </w:r>
                  <w:r>
                    <w:rPr>
                      <w:rFonts w:hint="eastAsia"/>
                      <w:color w:val="000000" w:themeColor="text1"/>
                      <w14:textFill>
                        <w14:solidFill>
                          <w14:schemeClr w14:val="tx1"/>
                        </w14:solidFill>
                      </w14:textFill>
                    </w:rPr>
                    <w:t>t/a、NH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 0.000</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t/a、TP0.0001t/a，VOCs</w:t>
                  </w:r>
                  <w:r>
                    <w:rPr>
                      <w:rFonts w:hint="eastAsia"/>
                      <w:color w:val="000000" w:themeColor="text1"/>
                      <w:lang w:val="en-US" w:eastAsia="zh-CN"/>
                      <w14:textFill>
                        <w14:solidFill>
                          <w14:schemeClr w14:val="tx1"/>
                        </w14:solidFill>
                      </w14:textFill>
                    </w:rPr>
                    <w:t>0.554</w:t>
                  </w:r>
                  <w:r>
                    <w:rPr>
                      <w:rFonts w:hint="eastAsia"/>
                      <w:color w:val="000000" w:themeColor="text1"/>
                      <w14:textFill>
                        <w14:solidFill>
                          <w14:schemeClr w14:val="tx1"/>
                        </w14:solidFill>
                      </w14:textFill>
                    </w:rPr>
                    <w:t>t/a、颗粒</w:t>
                  </w:r>
                  <w:r>
                    <w:rPr>
                      <w:rFonts w:hint="eastAsia"/>
                      <w:color w:val="000000" w:themeColor="text1"/>
                      <w:lang w:val="en-US" w:eastAsia="zh-CN"/>
                      <w14:textFill>
                        <w14:solidFill>
                          <w14:schemeClr w14:val="tx1"/>
                        </w14:solidFill>
                      </w14:textFill>
                    </w:rPr>
                    <w:t>物0338</w:t>
                  </w:r>
                  <w:r>
                    <w:rPr>
                      <w:rFonts w:hint="eastAsia"/>
                      <w:color w:val="000000" w:themeColor="text1"/>
                      <w14:textFill>
                        <w14:solidFill>
                          <w14:schemeClr w14:val="tx1"/>
                        </w14:solidFill>
                      </w14:textFill>
                    </w:rPr>
                    <w:t>t/a</w:t>
                  </w:r>
                  <w:r>
                    <w:rPr>
                      <w:rFonts w:hint="eastAsia"/>
                      <w:color w:val="000000" w:themeColor="text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SO</w:t>
                  </w:r>
                  <w:r>
                    <w:rPr>
                      <w:rFonts w:hint="eastAsia"/>
                      <w:color w:val="000000" w:themeColor="text1"/>
                      <w:sz w:val="21"/>
                      <w:szCs w:val="21"/>
                      <w:vertAlign w:val="subscript"/>
                      <w:lang w:val="en-US" w:eastAsia="zh-CN"/>
                      <w14:textFill>
                        <w14:solidFill>
                          <w14:schemeClr w14:val="tx1"/>
                        </w14:solidFill>
                      </w14:textFill>
                    </w:rPr>
                    <w:t>2</w:t>
                  </w:r>
                  <w:r>
                    <w:rPr>
                      <w:rFonts w:hint="eastAsia"/>
                      <w:color w:val="000000" w:themeColor="text1"/>
                      <w:sz w:val="21"/>
                      <w:szCs w:val="21"/>
                      <w:vertAlign w:val="baseline"/>
                      <w:lang w:val="en-US" w:eastAsia="zh-CN"/>
                      <w14:textFill>
                        <w14:solidFill>
                          <w14:schemeClr w14:val="tx1"/>
                        </w14:solidFill>
                      </w14:textFill>
                    </w:rPr>
                    <w:t>0.030</w:t>
                  </w:r>
                  <w:r>
                    <w:rPr>
                      <w:rFonts w:hint="eastAsia"/>
                      <w:color w:val="000000" w:themeColor="text1"/>
                      <w14:textFill>
                        <w14:solidFill>
                          <w14:schemeClr w14:val="tx1"/>
                        </w14:solidFill>
                      </w14:textFill>
                    </w:rPr>
                    <w:t>t/a</w:t>
                  </w:r>
                  <w:r>
                    <w:rPr>
                      <w:rFonts w:hint="eastAsia"/>
                      <w:color w:val="000000" w:themeColor="text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NO</w:t>
                  </w:r>
                  <w:r>
                    <w:rPr>
                      <w:rFonts w:hint="eastAsia"/>
                      <w:color w:val="000000" w:themeColor="text1"/>
                      <w:sz w:val="21"/>
                      <w:szCs w:val="21"/>
                      <w:vertAlign w:val="subscript"/>
                      <w:lang w:val="en-US" w:eastAsia="zh-CN"/>
                      <w14:textFill>
                        <w14:solidFill>
                          <w14:schemeClr w14:val="tx1"/>
                        </w14:solidFill>
                      </w14:textFill>
                    </w:rPr>
                    <w:t>X</w:t>
                  </w:r>
                  <w:r>
                    <w:rPr>
                      <w:rFonts w:hint="eastAsia"/>
                      <w:color w:val="000000" w:themeColor="text1"/>
                      <w:lang w:eastAsia="zh-CN"/>
                      <w14:textFill>
                        <w14:solidFill>
                          <w14:schemeClr w14:val="tx1"/>
                        </w14:solidFill>
                      </w14:textFill>
                    </w:rPr>
                    <w:t>0.</w:t>
                  </w:r>
                  <w:r>
                    <w:rPr>
                      <w:rFonts w:hint="eastAsia"/>
                      <w:color w:val="000000" w:themeColor="text1"/>
                      <w:lang w:val="en-US" w:eastAsia="zh-CN"/>
                      <w14:textFill>
                        <w14:solidFill>
                          <w14:schemeClr w14:val="tx1"/>
                        </w14:solidFill>
                      </w14:textFill>
                    </w:rPr>
                    <w:t>014</w:t>
                  </w:r>
                  <w:r>
                    <w:rPr>
                      <w:rFonts w:hint="eastAsia"/>
                      <w:color w:val="000000" w:themeColor="text1"/>
                      <w14:textFill>
                        <w14:solidFill>
                          <w14:schemeClr w14:val="tx1"/>
                        </w14:solidFill>
                      </w14:textFill>
                    </w:rPr>
                    <w:t>t/a，满足璧山高新技术产业开发区污染物排放总量管控限值要求。</w:t>
                  </w:r>
                </w:p>
              </w:tc>
              <w:tc>
                <w:tcPr>
                  <w:tcW w:w="617" w:type="dxa"/>
                  <w:vAlign w:val="center"/>
                </w:tcPr>
                <w:p w14:paraId="208952FB">
                  <w:pPr>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0708C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F215F31">
                  <w:pPr>
                    <w:pStyle w:val="44"/>
                    <w:rPr>
                      <w:color w:val="000000" w:themeColor="text1"/>
                      <w14:textFill>
                        <w14:solidFill>
                          <w14:schemeClr w14:val="tx1"/>
                        </w14:solidFill>
                      </w14:textFill>
                    </w:rPr>
                  </w:pPr>
                  <w:r>
                    <w:rPr>
                      <w:color w:val="000000" w:themeColor="text1"/>
                      <w14:textFill>
                        <w14:solidFill>
                          <w14:schemeClr w14:val="tx1"/>
                        </w14:solidFill>
                      </w14:textFill>
                    </w:rPr>
                    <w:t>环境风险防控</w:t>
                  </w:r>
                </w:p>
              </w:tc>
              <w:tc>
                <w:tcPr>
                  <w:tcW w:w="3570" w:type="dxa"/>
                  <w:vAlign w:val="center"/>
                </w:tcPr>
                <w:p w14:paraId="4E0CBA1E">
                  <w:pPr>
                    <w:pStyle w:val="44"/>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10.结合各组团环境风险物质存量，完善</w:t>
                  </w:r>
                  <w:r>
                    <w:rPr>
                      <w:color w:val="000000" w:themeColor="text1"/>
                      <w14:textFill>
                        <w14:solidFill>
                          <w14:schemeClr w14:val="tx1"/>
                        </w14:solidFill>
                      </w14:textFill>
                    </w:rPr>
                    <w:t>园区</w:t>
                  </w:r>
                  <w:r>
                    <w:rPr>
                      <w:rFonts w:hint="eastAsia"/>
                      <w:color w:val="000000" w:themeColor="text1"/>
                      <w14:textFill>
                        <w14:solidFill>
                          <w14:schemeClr w14:val="tx1"/>
                        </w14:solidFill>
                      </w14:textFill>
                    </w:rPr>
                    <w:t>“单元级-企业级-园区级”三级</w:t>
                  </w:r>
                  <w:r>
                    <w:rPr>
                      <w:color w:val="000000" w:themeColor="text1"/>
                      <w14:textFill>
                        <w14:solidFill>
                          <w14:schemeClr w14:val="tx1"/>
                        </w14:solidFill>
                      </w14:textFill>
                    </w:rPr>
                    <w:t>环境</w:t>
                  </w:r>
                  <w:r>
                    <w:rPr>
                      <w:rFonts w:hint="eastAsia"/>
                      <w:color w:val="000000" w:themeColor="text1"/>
                      <w14:textFill>
                        <w14:solidFill>
                          <w14:schemeClr w14:val="tx1"/>
                        </w14:solidFill>
                      </w14:textFill>
                    </w:rPr>
                    <w:t>风险防范</w:t>
                  </w:r>
                  <w:r>
                    <w:rPr>
                      <w:color w:val="000000" w:themeColor="text1"/>
                      <w14:textFill>
                        <w14:solidFill>
                          <w14:schemeClr w14:val="tx1"/>
                        </w14:solidFill>
                      </w14:textFill>
                    </w:rPr>
                    <w:t>体系</w:t>
                  </w:r>
                  <w:r>
                    <w:rPr>
                      <w:rFonts w:hint="eastAsia"/>
                      <w:color w:val="000000" w:themeColor="text1"/>
                      <w14:textFill>
                        <w14:solidFill>
                          <w14:schemeClr w14:val="tx1"/>
                        </w14:solidFill>
                      </w14:textFill>
                    </w:rPr>
                    <w:t>，结合园区现有管网分片区建立事故池及事故废水收集系统，确保事故废水不排入地表水体。园区风险防范体系完善前，《建设项目环境风险评价技术导则》（</w:t>
                  </w:r>
                  <w:r>
                    <w:rPr>
                      <w:color w:val="000000" w:themeColor="text1"/>
                      <w14:textFill>
                        <w14:solidFill>
                          <w14:schemeClr w14:val="tx1"/>
                        </w14:solidFill>
                      </w14:textFill>
                    </w:rPr>
                    <w:t>HJ169-2018</w:t>
                  </w:r>
                  <w:r>
                    <w:rPr>
                      <w:rFonts w:hint="eastAsia"/>
                      <w:color w:val="000000" w:themeColor="text1"/>
                      <w14:textFill>
                        <w14:solidFill>
                          <w14:schemeClr w14:val="tx1"/>
                        </w14:solidFill>
                      </w14:textFill>
                    </w:rPr>
                    <w:t>）地表水环境风险潜势</w:t>
                  </w:r>
                  <w:r>
                    <w:rPr>
                      <w:color w:val="000000" w:themeColor="text1"/>
                      <w14:textFill>
                        <w14:solidFill>
                          <w14:schemeClr w14:val="tx1"/>
                        </w14:solidFill>
                      </w14:textFill>
                    </w:rPr>
                    <w:t>II</w:t>
                  </w:r>
                  <w:r>
                    <w:rPr>
                      <w:rFonts w:hint="eastAsia"/>
                      <w:color w:val="000000" w:themeColor="text1"/>
                      <w14:textFill>
                        <w14:solidFill>
                          <w14:schemeClr w14:val="tx1"/>
                        </w14:solidFill>
                      </w14:textFill>
                    </w:rPr>
                    <w:t>级以上的项目不可投产。</w:t>
                  </w:r>
                </w:p>
              </w:tc>
              <w:tc>
                <w:tcPr>
                  <w:tcW w:w="3100" w:type="dxa"/>
                  <w:vAlign w:val="center"/>
                </w:tcPr>
                <w:p w14:paraId="5D40EF0C">
                  <w:pPr>
                    <w:pStyle w:val="44"/>
                    <w:jc w:val="both"/>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项目不属于重大环境安全隐患的工业项目，涉水风险物质Q＜1，地表水环境风险潜势I级。项目建成后将按要求落实环评提出的环境风险防范措施，建立环境风险防范制度，对周围环境风险影响较小。</w:t>
                  </w:r>
                </w:p>
              </w:tc>
              <w:tc>
                <w:tcPr>
                  <w:tcW w:w="617" w:type="dxa"/>
                  <w:vAlign w:val="center"/>
                </w:tcPr>
                <w:p w14:paraId="6BDBA621">
                  <w:pPr>
                    <w:jc w:val="center"/>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21216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restart"/>
                  <w:vAlign w:val="center"/>
                </w:tcPr>
                <w:p w14:paraId="2C45C693">
                  <w:pPr>
                    <w:pStyle w:val="44"/>
                    <w:rPr>
                      <w:color w:val="000000" w:themeColor="text1"/>
                      <w14:textFill>
                        <w14:solidFill>
                          <w14:schemeClr w14:val="tx1"/>
                        </w14:solidFill>
                      </w14:textFill>
                    </w:rPr>
                  </w:pPr>
                  <w:r>
                    <w:rPr>
                      <w:color w:val="000000" w:themeColor="text1"/>
                      <w14:textFill>
                        <w14:solidFill>
                          <w14:schemeClr w14:val="tx1"/>
                        </w14:solidFill>
                      </w14:textFill>
                    </w:rPr>
                    <w:t>资源开发效率要求</w:t>
                  </w:r>
                </w:p>
              </w:tc>
              <w:tc>
                <w:tcPr>
                  <w:tcW w:w="3570" w:type="dxa"/>
                  <w:vAlign w:val="center"/>
                </w:tcPr>
                <w:p w14:paraId="556A4967">
                  <w:pPr>
                    <w:pStyle w:val="44"/>
                    <w:jc w:val="both"/>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1.</w:t>
                  </w:r>
                  <w:bookmarkStart w:id="6" w:name="_Hlk175690032"/>
                  <w:r>
                    <w:rPr>
                      <w:rFonts w:hint="eastAsia"/>
                      <w:color w:val="000000" w:themeColor="text1"/>
                      <w14:textFill>
                        <w14:solidFill>
                          <w14:schemeClr w14:val="tx1"/>
                        </w14:solidFill>
                      </w14:textFill>
                    </w:rPr>
                    <w:t>新建和改造的工业项目清洁生产水平应达到国内先进水平。</w:t>
                  </w:r>
                  <w:bookmarkEnd w:id="6"/>
                </w:p>
              </w:tc>
              <w:tc>
                <w:tcPr>
                  <w:tcW w:w="3100" w:type="dxa"/>
                  <w:vAlign w:val="center"/>
                </w:tcPr>
                <w:p w14:paraId="07E6952A">
                  <w:pPr>
                    <w:pStyle w:val="44"/>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本项目清洁生产水平达到国内先进水平。</w:t>
                  </w:r>
                </w:p>
              </w:tc>
              <w:tc>
                <w:tcPr>
                  <w:tcW w:w="617" w:type="dxa"/>
                  <w:vAlign w:val="center"/>
                </w:tcPr>
                <w:p w14:paraId="31147B08">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3E85C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Merge w:val="continue"/>
                  <w:vAlign w:val="center"/>
                </w:tcPr>
                <w:p w14:paraId="0472329E">
                  <w:pPr>
                    <w:pStyle w:val="44"/>
                    <w:rPr>
                      <w:color w:val="000000" w:themeColor="text1"/>
                      <w14:textFill>
                        <w14:solidFill>
                          <w14:schemeClr w14:val="tx1"/>
                        </w14:solidFill>
                      </w14:textFill>
                    </w:rPr>
                  </w:pPr>
                </w:p>
              </w:tc>
              <w:tc>
                <w:tcPr>
                  <w:tcW w:w="3570" w:type="dxa"/>
                  <w:vAlign w:val="center"/>
                </w:tcPr>
                <w:p w14:paraId="43B43A9F">
                  <w:pPr>
                    <w:pStyle w:val="44"/>
                    <w:jc w:val="both"/>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禁止新建、改建、扩建一切使用燃煤等高污染燃料的项目和设施。</w:t>
                  </w:r>
                </w:p>
              </w:tc>
              <w:tc>
                <w:tcPr>
                  <w:tcW w:w="3100" w:type="dxa"/>
                  <w:vAlign w:val="center"/>
                </w:tcPr>
                <w:p w14:paraId="3429F544">
                  <w:pPr>
                    <w:pStyle w:val="44"/>
                    <w:jc w:val="both"/>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本项目烘干使用燃料为天然气，不涉及高污染燃料的使用。</w:t>
                  </w:r>
                </w:p>
              </w:tc>
              <w:tc>
                <w:tcPr>
                  <w:tcW w:w="617" w:type="dxa"/>
                  <w:vAlign w:val="center"/>
                </w:tcPr>
                <w:p w14:paraId="7365E845">
                  <w:pPr>
                    <w:pStyle w:val="44"/>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bookmarkEnd w:id="1"/>
          </w:tbl>
          <w:p w14:paraId="31177084">
            <w:pPr>
              <w:pStyle w:val="27"/>
              <w:keepNext w:val="0"/>
              <w:keepLines w:val="0"/>
              <w:pageBreakBefore w:val="0"/>
              <w:widowControl w:val="0"/>
              <w:kinsoku/>
              <w:wordWrap/>
              <w:overflowPunct/>
              <w:topLinePunct w:val="0"/>
              <w:bidi w:val="0"/>
              <w:spacing w:line="360" w:lineRule="auto"/>
              <w:ind w:firstLine="480" w:firstLineChars="200"/>
              <w:textAlignment w:val="auto"/>
              <w:rPr>
                <w:rFonts w:hint="eastAsia" w:ascii="Times New Roman" w:hAnsi="Times New Roman" w:cs="Times New Roman"/>
                <w:color w:val="000000" w:themeColor="text1"/>
                <w:kern w:val="0"/>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根据上表可知，本项目</w:t>
            </w:r>
            <w:r>
              <w:rPr>
                <w:rFonts w:hint="eastAsia" w:ascii="Times New Roman" w:hAnsi="Times New Roman" w:cs="Times New Roman"/>
                <w:color w:val="000000" w:themeColor="text1"/>
                <w:kern w:val="0"/>
                <w:sz w:val="24"/>
                <w:szCs w:val="24"/>
                <w:lang w:val="en-US" w:eastAsia="zh-CN"/>
                <w14:textFill>
                  <w14:solidFill>
                    <w14:schemeClr w14:val="tx1"/>
                  </w14:solidFill>
                </w14:textFill>
              </w:rPr>
              <w:t>与</w:t>
            </w:r>
            <w:r>
              <w:rPr>
                <w:rFonts w:hint="default" w:ascii="Times New Roman" w:hAnsi="Times New Roman" w:cs="Times New Roman"/>
                <w:color w:val="000000" w:themeColor="text1"/>
                <w:kern w:val="0"/>
                <w:sz w:val="24"/>
                <w:szCs w:val="24"/>
                <w14:textFill>
                  <w14:solidFill>
                    <w14:schemeClr w14:val="tx1"/>
                  </w14:solidFill>
                </w14:textFill>
              </w:rPr>
              <w:t>规划区生态环境准入清单</w:t>
            </w:r>
            <w:r>
              <w:rPr>
                <w:rFonts w:hint="eastAsia" w:ascii="Times New Roman" w:hAnsi="Times New Roman" w:cs="Times New Roman"/>
                <w:color w:val="000000" w:themeColor="text1"/>
                <w:kern w:val="0"/>
                <w:sz w:val="24"/>
                <w:szCs w:val="24"/>
                <w:lang w:val="en-US" w:eastAsia="zh-CN"/>
                <w14:textFill>
                  <w14:solidFill>
                    <w14:schemeClr w14:val="tx1"/>
                  </w14:solidFill>
                </w14:textFill>
              </w:rPr>
              <w:t>是相符的</w:t>
            </w:r>
            <w:r>
              <w:rPr>
                <w:rFonts w:hint="eastAsia" w:ascii="Times New Roman" w:hAnsi="Times New Roman" w:cs="Times New Roman"/>
                <w:color w:val="000000" w:themeColor="text1"/>
                <w:kern w:val="0"/>
                <w:sz w:val="24"/>
                <w:szCs w:val="24"/>
                <w:lang w:eastAsia="zh-CN"/>
                <w14:textFill>
                  <w14:solidFill>
                    <w14:schemeClr w14:val="tx1"/>
                  </w14:solidFill>
                </w14:textFill>
              </w:rPr>
              <w:t>。</w:t>
            </w:r>
          </w:p>
          <w:p w14:paraId="461A6F37">
            <w:pPr>
              <w:keepNext w:val="0"/>
              <w:keepLines w:val="0"/>
              <w:numPr>
                <w:ilvl w:val="0"/>
                <w:numId w:val="0"/>
              </w:numPr>
              <w:suppressLineNumbers w:val="0"/>
              <w:adjustRightInd w:val="0"/>
              <w:snapToGrid w:val="0"/>
              <w:spacing w:before="0" w:beforeAutospacing="0" w:after="0" w:afterAutospacing="0" w:line="360" w:lineRule="auto"/>
              <w:ind w:left="0" w:leftChars="0" w:right="0" w:rightChars="0"/>
              <w:rPr>
                <w:rFonts w:hint="default" w:ascii="Times New Roman" w:hAnsi="Times New Roman" w:cs="Times New Roman"/>
                <w:b/>
                <w:bCs/>
                <w:color w:val="000000" w:themeColor="text1"/>
                <w:kern w:val="0"/>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t>3、</w:t>
            </w:r>
            <w:r>
              <w:rPr>
                <w:rFonts w:hint="default" w:ascii="Times New Roman" w:hAnsi="Times New Roman" w:cs="Times New Roman"/>
                <w:b/>
                <w:bCs/>
                <w:color w:val="000000" w:themeColor="text1"/>
                <w:kern w:val="0"/>
                <w:sz w:val="24"/>
                <w:szCs w:val="24"/>
                <w14:textFill>
                  <w14:solidFill>
                    <w14:schemeClr w14:val="tx1"/>
                  </w14:solidFill>
                </w14:textFill>
              </w:rPr>
              <w:t>与</w:t>
            </w:r>
            <w:r>
              <w:rPr>
                <w:rFonts w:hint="default"/>
                <w:b/>
                <w:bCs/>
                <w:color w:val="000000" w:themeColor="text1"/>
                <w:kern w:val="0"/>
                <w:sz w:val="24"/>
                <w14:textFill>
                  <w14:solidFill>
                    <w14:schemeClr w14:val="tx1"/>
                  </w14:solidFill>
                </w14:textFill>
              </w:rPr>
              <w:t>《重庆市生态环境局关于璧山高新技术产业开发区（国家级、市级）规划（2023年-2028年）环境影响报告书审查意见的函》（渝环函〔2025〕256号）</w:t>
            </w:r>
            <w:r>
              <w:rPr>
                <w:rFonts w:hint="default" w:ascii="Times New Roman" w:hAnsi="Times New Roman" w:cs="Times New Roman"/>
                <w:b/>
                <w:bCs/>
                <w:color w:val="000000" w:themeColor="text1"/>
                <w:kern w:val="0"/>
                <w:sz w:val="24"/>
                <w:szCs w:val="24"/>
                <w14:textFill>
                  <w14:solidFill>
                    <w14:schemeClr w14:val="tx1"/>
                  </w14:solidFill>
                </w14:textFill>
              </w:rPr>
              <w:t>符合性分析</w:t>
            </w:r>
          </w:p>
          <w:p w14:paraId="03AB09C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eastAsia"/>
                <w:b w:val="0"/>
                <w:bCs w:val="0"/>
                <w:color w:val="000000" w:themeColor="text1"/>
                <w:kern w:val="0"/>
                <w:sz w:val="24"/>
                <w:szCs w:val="24"/>
                <w:lang w:val="en-US" w:eastAsia="zh-CN"/>
                <w14:textFill>
                  <w14:solidFill>
                    <w14:schemeClr w14:val="tx1"/>
                  </w14:solidFill>
                </w14:textFill>
              </w:rPr>
              <w:t>本</w:t>
            </w:r>
            <w:r>
              <w:rPr>
                <w:rFonts w:hint="default"/>
                <w:color w:val="000000" w:themeColor="text1"/>
                <w:sz w:val="24"/>
                <w:szCs w:val="24"/>
                <w14:textFill>
                  <w14:solidFill>
                    <w14:schemeClr w14:val="tx1"/>
                  </w14:solidFill>
                </w14:textFill>
              </w:rPr>
              <w:t>项目建设与《重庆市生态环境局关于璧山高新技术产业开发区（国家级、市级）规划（2023年-2028年）环境影响报告书审查意见的函》（渝环函〔2025〕256号）的符合性分析见下表。</w:t>
            </w:r>
          </w:p>
          <w:p w14:paraId="0D40FCFA">
            <w:pPr>
              <w:keepNext w:val="0"/>
              <w:keepLines w:val="0"/>
              <w:widowControl/>
              <w:suppressLineNumbers w:val="0"/>
              <w:adjustRightInd w:val="0"/>
              <w:snapToGrid w:val="0"/>
              <w:spacing w:before="0" w:beforeAutospacing="0" w:after="0" w:afterAutospacing="0"/>
              <w:ind w:left="482"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表1-</w:t>
            </w:r>
            <w:r>
              <w:rPr>
                <w:rFonts w:hint="eastAsia"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14:textFill>
                  <w14:solidFill>
                    <w14:schemeClr w14:val="tx1"/>
                  </w14:solidFill>
                </w14:textFill>
              </w:rPr>
              <w:t xml:space="preserve">  本项目</w:t>
            </w:r>
            <w:r>
              <w:rPr>
                <w:rFonts w:hint="default" w:ascii="Times New Roman" w:hAnsi="Times New Roman" w:cs="Times New Roman"/>
                <w:b/>
                <w:bCs/>
                <w:color w:val="000000" w:themeColor="text1"/>
                <w:kern w:val="0"/>
                <w:sz w:val="24"/>
                <w:szCs w:val="24"/>
                <w14:textFill>
                  <w14:solidFill>
                    <w14:schemeClr w14:val="tx1"/>
                  </w14:solidFill>
                </w14:textFill>
              </w:rPr>
              <w:t>与</w:t>
            </w:r>
            <w:r>
              <w:rPr>
                <w:rFonts w:hint="default" w:ascii="Times New Roman" w:hAnsi="Times New Roman" w:cs="Times New Roman"/>
                <w:b/>
                <w:bCs/>
                <w:color w:val="000000" w:themeColor="text1"/>
                <w:sz w:val="24"/>
                <w:szCs w:val="24"/>
                <w14:textFill>
                  <w14:solidFill>
                    <w14:schemeClr w14:val="tx1"/>
                  </w14:solidFill>
                </w14:textFill>
              </w:rPr>
              <w:t>规划环评审查意见函符合性分析</w:t>
            </w:r>
          </w:p>
          <w:tbl>
            <w:tblPr>
              <w:tblStyle w:val="21"/>
              <w:tblW w:w="48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4"/>
              <w:gridCol w:w="2350"/>
              <w:gridCol w:w="522"/>
            </w:tblGrid>
            <w:tr w14:paraId="2E864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4" w:type="dxa"/>
                  <w:vAlign w:val="center"/>
                </w:tcPr>
                <w:p w14:paraId="4962C2FB">
                  <w:pPr>
                    <w:pStyle w:val="36"/>
                    <w:keepNext w:val="0"/>
                    <w:keepLines w:val="0"/>
                    <w:pageBreakBefore w:val="0"/>
                    <w:widowControl w:val="0"/>
                    <w:kinsoku/>
                    <w:wordWrap/>
                    <w:overflowPunct/>
                    <w:topLinePunct w:val="0"/>
                    <w:bidi w:val="0"/>
                    <w:adjustRightInd w:val="0"/>
                    <w:snapToGrid w:val="0"/>
                    <w:spacing w:line="240" w:lineRule="auto"/>
                    <w:ind w:left="0" w:leftChars="0" w:firstLine="0" w:firstLineChars="0"/>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相关要求</w:t>
                  </w:r>
                </w:p>
              </w:tc>
              <w:tc>
                <w:tcPr>
                  <w:tcW w:w="1480" w:type="pct"/>
                  <w:vAlign w:val="center"/>
                </w:tcPr>
                <w:p w14:paraId="732D6CA4">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val="0"/>
                      <w:bCs/>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本项目情况</w:t>
                  </w:r>
                </w:p>
              </w:tc>
              <w:tc>
                <w:tcPr>
                  <w:tcW w:w="328" w:type="pct"/>
                  <w:vAlign w:val="center"/>
                </w:tcPr>
                <w:p w14:paraId="19A7F560">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符合性</w:t>
                  </w:r>
                </w:p>
              </w:tc>
            </w:tr>
            <w:tr w14:paraId="527A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4" w:type="dxa"/>
                  <w:shd w:val="clear" w:color="auto" w:fill="auto"/>
                  <w:vAlign w:val="center"/>
                </w:tcPr>
                <w:p w14:paraId="701FD682">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强化规划环评与生态环境分区管控的联动，主要管控措施应符合重庆市及璧山区生态环境分区管控要求。严格建设项目环境准入，入驻工业项目应符合国家和重庆市相关产业和环境准入要求以及《报告书》制定的生态环境管控要求。</w:t>
                  </w:r>
                </w:p>
              </w:tc>
              <w:tc>
                <w:tcPr>
                  <w:tcW w:w="1480" w:type="pct"/>
                  <w:vAlign w:val="center"/>
                </w:tcPr>
                <w:p w14:paraId="1DBB221F">
                  <w:pPr>
                    <w:keepNext w:val="0"/>
                    <w:keepLines w:val="0"/>
                    <w:suppressLineNumbers w:val="0"/>
                    <w:adjustRightInd w:val="0"/>
                    <w:snapToGrid w:val="0"/>
                    <w:spacing w:before="0" w:beforeLines="50" w:beforeAutospacing="0" w:after="0" w:afterAutospacing="0"/>
                    <w:ind w:left="0" w:right="0"/>
                    <w:jc w:val="both"/>
                    <w:rPr>
                      <w:rFonts w:hint="default" w:ascii="Times New Roman" w:hAnsi="Times New Roman" w:cs="Times New Roman"/>
                      <w:b w:val="0"/>
                      <w:bCs/>
                      <w:color w:val="000000" w:themeColor="text1"/>
                      <w:sz w:val="21"/>
                      <w:szCs w:val="21"/>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本</w:t>
                  </w:r>
                  <w:r>
                    <w:rPr>
                      <w:rFonts w:hint="default" w:ascii="Times New Roman" w:hAnsi="Times New Roman" w:cs="Times New Roman"/>
                      <w:b w:val="0"/>
                      <w:bCs/>
                      <w:color w:val="000000" w:themeColor="text1"/>
                      <w:sz w:val="21"/>
                      <w:szCs w:val="21"/>
                      <w14:textFill>
                        <w14:solidFill>
                          <w14:schemeClr w14:val="tx1"/>
                        </w14:solidFill>
                      </w14:textFill>
                    </w:rPr>
                    <w:t>项目符合重庆市及璧山区生态环境分区管控要求及《报告书》提出的生态环境管控要求。</w:t>
                  </w:r>
                </w:p>
              </w:tc>
              <w:tc>
                <w:tcPr>
                  <w:tcW w:w="328" w:type="pct"/>
                  <w:vAlign w:val="center"/>
                </w:tcPr>
                <w:p w14:paraId="6F1B51CE">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564F5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4" w:type="dxa"/>
                  <w:shd w:val="clear" w:color="auto" w:fill="auto"/>
                  <w:vAlign w:val="center"/>
                </w:tcPr>
                <w:p w14:paraId="05327BA4">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规划区部分区域位于璧山区城镇开发边界外，其后续开发建设应严格执行《自然资源部关于做好城镇开发边界管理的通知（试行）》等文件要求。合理布局有环境防护距离要求的工业企业，其环境防护距离包络线原则上应控制在规划边界或用地红线内。规划区内璧南河两侧应按照《重庆市水污染防治条例》要求设置绿化缓冲带。规划区国家级高新区范围内严禁房地产开发。严禁在电镀集中加工区外新增电镀企业。电镀集中加工区周边200米范围内地块不得作为居住等用途。邻近居住、教育等用地的工业用地不得新引入高噪声以及涉及喷涂、印刷、酸洗、铸造、鞣制、屠宰等大气污染较重或异味明显的工业项目。</w:t>
                  </w:r>
                </w:p>
              </w:tc>
              <w:tc>
                <w:tcPr>
                  <w:tcW w:w="1480" w:type="pct"/>
                  <w:vAlign w:val="center"/>
                </w:tcPr>
                <w:p w14:paraId="073698B9">
                  <w:pPr>
                    <w:keepNext w:val="0"/>
                    <w:keepLines w:val="0"/>
                    <w:suppressLineNumbers w:val="0"/>
                    <w:adjustRightInd w:val="0"/>
                    <w:snapToGrid w:val="0"/>
                    <w:spacing w:before="0" w:beforeLines="50" w:beforeAutospacing="0" w:after="0" w:afterAutospacing="0"/>
                    <w:ind w:left="0" w:right="0"/>
                    <w:jc w:val="both"/>
                    <w:rPr>
                      <w:rFonts w:hint="default" w:ascii="Times New Roman" w:hAnsi="Times New Roman" w:cs="Times New Roman"/>
                      <w:b w:val="0"/>
                      <w:bCs/>
                      <w:color w:val="000000" w:themeColor="text1"/>
                      <w:sz w:val="21"/>
                      <w:szCs w:val="21"/>
                      <w14:textFill>
                        <w14:solidFill>
                          <w14:schemeClr w14:val="tx1"/>
                        </w14:solidFill>
                      </w14:textFill>
                    </w:rPr>
                  </w:pPr>
                  <w:r>
                    <w:rPr>
                      <w:rFonts w:hint="eastAsia"/>
                      <w:color w:val="000000" w:themeColor="text1"/>
                      <w:lang w:eastAsia="zh-CN"/>
                      <w14:textFill>
                        <w14:solidFill>
                          <w14:schemeClr w14:val="tx1"/>
                        </w14:solidFill>
                      </w14:textFill>
                    </w:rPr>
                    <w:t>本项目不涉及环境防护距离的设置；</w:t>
                  </w:r>
                  <w:r>
                    <w:rPr>
                      <w:rFonts w:hint="eastAsia" w:cs="Times New Roman"/>
                      <w:b w:val="0"/>
                      <w:bCs/>
                      <w:color w:val="000000" w:themeColor="text1"/>
                      <w:sz w:val="21"/>
                      <w:szCs w:val="21"/>
                      <w:lang w:val="en-US" w:eastAsia="zh-CN"/>
                      <w14:textFill>
                        <w14:solidFill>
                          <w14:schemeClr w14:val="tx1"/>
                        </w14:solidFill>
                      </w14:textFill>
                    </w:rPr>
                    <w:t>本</w:t>
                  </w:r>
                  <w:r>
                    <w:rPr>
                      <w:rFonts w:hint="default" w:ascii="Times New Roman" w:hAnsi="Times New Roman" w:cs="Times New Roman"/>
                      <w:b w:val="0"/>
                      <w:bCs/>
                      <w:color w:val="000000" w:themeColor="text1"/>
                      <w:sz w:val="21"/>
                      <w:szCs w:val="21"/>
                      <w14:textFill>
                        <w14:solidFill>
                          <w14:schemeClr w14:val="tx1"/>
                        </w14:solidFill>
                      </w14:textFill>
                    </w:rPr>
                    <w:t>项目</w:t>
                  </w:r>
                  <w:r>
                    <w:rPr>
                      <w:rFonts w:hint="eastAsia" w:cs="Times New Roman"/>
                      <w:b w:val="0"/>
                      <w:bCs/>
                      <w:color w:val="000000" w:themeColor="text1"/>
                      <w:sz w:val="21"/>
                      <w:szCs w:val="21"/>
                      <w:lang w:val="en-US" w:eastAsia="zh-CN"/>
                      <w14:textFill>
                        <w14:solidFill>
                          <w14:schemeClr w14:val="tx1"/>
                        </w14:solidFill>
                      </w14:textFill>
                    </w:rPr>
                    <w:t>位于青杠-来凤组团内</w:t>
                  </w:r>
                  <w:r>
                    <w:rPr>
                      <w:rFonts w:hint="default" w:ascii="Times New Roman" w:hAnsi="Times New Roman" w:cs="Times New Roman"/>
                      <w:b w:val="0"/>
                      <w:bCs/>
                      <w:color w:val="000000" w:themeColor="text1"/>
                      <w:sz w:val="21"/>
                      <w:szCs w:val="21"/>
                      <w14:textFill>
                        <w14:solidFill>
                          <w14:schemeClr w14:val="tx1"/>
                        </w14:solidFill>
                      </w14:textFill>
                    </w:rPr>
                    <w:t>，不在管控范围内；</w:t>
                  </w:r>
                  <w:r>
                    <w:rPr>
                      <w:rFonts w:hint="default"/>
                      <w:bCs/>
                      <w:color w:val="000000" w:themeColor="text1"/>
                      <w:szCs w:val="21"/>
                      <w14:textFill>
                        <w14:solidFill>
                          <w14:schemeClr w14:val="tx1"/>
                        </w14:solidFill>
                      </w14:textFill>
                    </w:rPr>
                    <w:t>本项目不涉及房地产开发</w:t>
                  </w:r>
                  <w:r>
                    <w:rPr>
                      <w:rFonts w:hint="eastAsia"/>
                      <w:bCs/>
                      <w:color w:val="000000" w:themeColor="text1"/>
                      <w:szCs w:val="21"/>
                      <w:lang w:eastAsia="zh-CN"/>
                      <w14:textFill>
                        <w14:solidFill>
                          <w14:schemeClr w14:val="tx1"/>
                        </w14:solidFill>
                      </w14:textFill>
                    </w:rPr>
                    <w:t>；</w:t>
                  </w:r>
                  <w:r>
                    <w:rPr>
                      <w:rFonts w:hint="eastAsia"/>
                      <w:color w:val="000000" w:themeColor="text1"/>
                      <w14:textFill>
                        <w14:solidFill>
                          <w14:schemeClr w14:val="tx1"/>
                        </w14:solidFill>
                      </w14:textFill>
                    </w:rPr>
                    <w:t>本项目不属于电镀企业</w:t>
                  </w:r>
                  <w:r>
                    <w:rPr>
                      <w:rFonts w:hint="eastAsia"/>
                      <w:color w:val="000000" w:themeColor="text1"/>
                      <w:lang w:eastAsia="zh-CN"/>
                      <w14:textFill>
                        <w14:solidFill>
                          <w14:schemeClr w14:val="tx1"/>
                        </w14:solidFill>
                      </w14:textFill>
                    </w:rPr>
                    <w:t>；</w:t>
                  </w:r>
                  <w:r>
                    <w:rPr>
                      <w:rFonts w:hint="eastAsia" w:cs="Times New Roman"/>
                      <w:b w:val="0"/>
                      <w:bCs/>
                      <w:color w:val="000000" w:themeColor="text1"/>
                      <w:sz w:val="21"/>
                      <w:szCs w:val="21"/>
                      <w:lang w:eastAsia="zh-CN"/>
                      <w14:textFill>
                        <w14:solidFill>
                          <w14:schemeClr w14:val="tx1"/>
                        </w14:solidFill>
                      </w14:textFill>
                    </w:rPr>
                    <w:t>本</w:t>
                  </w:r>
                  <w:r>
                    <w:rPr>
                      <w:rFonts w:hint="default" w:ascii="Times New Roman" w:hAnsi="Times New Roman" w:cs="Times New Roman"/>
                      <w:b w:val="0"/>
                      <w:bCs/>
                      <w:color w:val="000000" w:themeColor="text1"/>
                      <w:sz w:val="21"/>
                      <w:szCs w:val="21"/>
                      <w14:textFill>
                        <w14:solidFill>
                          <w14:schemeClr w14:val="tx1"/>
                        </w14:solidFill>
                      </w14:textFill>
                    </w:rPr>
                    <w:t>项目</w:t>
                  </w:r>
                  <w:r>
                    <w:rPr>
                      <w:rFonts w:hint="eastAsia" w:cs="Times New Roman"/>
                      <w:b w:val="0"/>
                      <w:bCs/>
                      <w:color w:val="000000" w:themeColor="text1"/>
                      <w:sz w:val="21"/>
                      <w:szCs w:val="21"/>
                      <w:lang w:val="en-US" w:eastAsia="zh-CN"/>
                      <w14:textFill>
                        <w14:solidFill>
                          <w14:schemeClr w14:val="tx1"/>
                        </w14:solidFill>
                      </w14:textFill>
                    </w:rPr>
                    <w:t>周边为工业用地，</w:t>
                  </w:r>
                  <w:r>
                    <w:rPr>
                      <w:rFonts w:hint="default" w:ascii="Times New Roman" w:hAnsi="Times New Roman" w:cs="Times New Roman"/>
                      <w:b w:val="0"/>
                      <w:bCs/>
                      <w:color w:val="000000" w:themeColor="text1"/>
                      <w:sz w:val="21"/>
                      <w:szCs w:val="21"/>
                      <w14:textFill>
                        <w14:solidFill>
                          <w14:schemeClr w14:val="tx1"/>
                        </w14:solidFill>
                      </w14:textFill>
                    </w:rPr>
                    <w:t>不紧邻居住用地、教育用地</w:t>
                  </w:r>
                  <w:r>
                    <w:rPr>
                      <w:rFonts w:hint="eastAsia" w:cs="Times New Roman"/>
                      <w:b w:val="0"/>
                      <w:bCs/>
                      <w:color w:val="000000" w:themeColor="text1"/>
                      <w:sz w:val="21"/>
                      <w:szCs w:val="21"/>
                      <w:lang w:eastAsia="zh-CN"/>
                      <w14:textFill>
                        <w14:solidFill>
                          <w14:schemeClr w14:val="tx1"/>
                        </w14:solidFill>
                      </w14:textFill>
                    </w:rPr>
                    <w:t>。</w:t>
                  </w:r>
                </w:p>
              </w:tc>
              <w:tc>
                <w:tcPr>
                  <w:tcW w:w="328" w:type="pct"/>
                  <w:vAlign w:val="center"/>
                </w:tcPr>
                <w:p w14:paraId="2396EAF9">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3A9DA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64" w:type="dxa"/>
                  <w:shd w:val="clear" w:color="auto" w:fill="auto"/>
                  <w:vAlign w:val="center"/>
                </w:tcPr>
                <w:p w14:paraId="7F4755BC">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规划实施排放的主要污染物及特征污染物排放量不得突破《报告书》确定的总量管控指标。</w:t>
                  </w:r>
                </w:p>
                <w:p w14:paraId="746696A2">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1.大气污染物排放管控</w:t>
                  </w:r>
                </w:p>
                <w:p w14:paraId="394D6C5D">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规划区采用天然气、电力等清洁能源，禁止高污染燃料。入驻企业生产废气应采用高效的收集措施和先进的污染防治措施，确保工艺废气稳定达标排放。涉及挥发性有机物排放的项目应从源头加强控制，优先使用低（无）VOCs含量的原辅料，并严格按照国家及重庆市关于挥发性有机物治理的相关要求落实污染防治措施。严格控制工业企业粉尘无组织排放，加强工业企业臭气、异味的污染防治，确保厂界达标，减轻对周边环境敏感目标的影响。</w:t>
                  </w:r>
                </w:p>
                <w:p w14:paraId="0AB719CD">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2.水污染物排放管控</w:t>
                  </w:r>
                </w:p>
                <w:p w14:paraId="72BFCBC7">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规划区实施雨污分流制，完善雨污水管网建设，确保污废水得到有效收集处理。工业企业应采用先进的生产工艺，减少新鲜水消耗和废水排放。规划区内电镀集中加工区污废水经分质分类收集至电镀废水集中处理厂处理后，第一类污染物和五类重金属（汞、铬、镉、铅和砷）达到《重庆市电镀行业废水污染物自愿性排放标准》（T/CQSES02-2017），其余污染物达到《电镀污染物排放标准》（GB219002008）表3标准后排入璧南河；其余区域各企业污废水应自行预处理达到行业排放标准或《污水综合排放标准》（GB8978-1996）三级标准后再进入集中污水处理厂进一步处理后，COD、BOD</w:t>
                  </w:r>
                  <w:r>
                    <w:rPr>
                      <w:rFonts w:hint="eastAsia" w:ascii="Times New Roman" w:hAnsi="Times New Roman" w:eastAsia="宋体" w:cs="Times New Roman"/>
                      <w:color w:val="000000" w:themeColor="text1"/>
                      <w:kern w:val="2"/>
                      <w:sz w:val="21"/>
                      <w:szCs w:val="21"/>
                      <w:vertAlign w:val="subscript"/>
                      <w:lang w:val="en-US" w:eastAsia="zh-CN" w:bidi="zh-CN"/>
                      <w14:textFill>
                        <w14:solidFill>
                          <w14:schemeClr w14:val="tx1"/>
                        </w14:solidFill>
                      </w14:textFill>
                    </w:rPr>
                    <w:t>5</w:t>
                  </w: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、NH</w:t>
                  </w:r>
                  <w:r>
                    <w:rPr>
                      <w:rFonts w:hint="eastAsia" w:ascii="Times New Roman" w:hAnsi="Times New Roman" w:eastAsia="宋体" w:cs="Times New Roman"/>
                      <w:color w:val="000000" w:themeColor="text1"/>
                      <w:kern w:val="2"/>
                      <w:sz w:val="21"/>
                      <w:szCs w:val="21"/>
                      <w:vertAlign w:val="subscript"/>
                      <w:lang w:val="en-US" w:eastAsia="zh-CN" w:bidi="zh-CN"/>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-N、TP应达到《地表水环境质量标准》（</w:t>
                  </w:r>
                  <w:r>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t>GB3838-2002）Ⅳ类</w:t>
                  </w: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标准限值要求，其余污染物达到《城镇污水处理厂污染物排放标准》（GB18918-2002）中一级A标准后排入璧南河。</w:t>
                  </w:r>
                </w:p>
                <w:p w14:paraId="6F34210C">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3.噪声污染管控</w:t>
                  </w:r>
                </w:p>
                <w:p w14:paraId="6E7F4761">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合理布局企业噪声源，高噪声源企业选址和布局尽量远离居住等声环境敏感目标；入驻企业应优先选择低噪声设备，采取消声、隔声、减振等措施，确保厂界噪声达标。加强运输车辆的管理，合理规划区域运输线路和时间，减轻运输过程对沿线居民的影响。</w:t>
                  </w:r>
                </w:p>
                <w:p w14:paraId="64A81044">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4.固体废物管控</w:t>
                  </w:r>
                </w:p>
                <w:p w14:paraId="210D8CE1">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鼓励企业自行回收利用一般工业固体废物，按照减量化、资源化、无害化原则，加强一般工业固体废物综合利用和处置。危险废物产生单位应严格落实危险废物环境管理制度，做好危险废物管理计划和管理台账，对项目危险废物收集、贮存、运输、利用、处置各环节进行全过程环境监管。严格按照《危险废物贮存污染控制标准》（GB18597-2023）等有关规定，设置危险废物暂存场所。危险废物转移应严格执行《危险废物转移管理办法》等相关要求。生活垃圾经分类收集后交由市政环卫部门统一清运处置。</w:t>
                  </w:r>
                </w:p>
                <w:p w14:paraId="51ACCB7C">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5.土壤、地下水污染防控</w:t>
                  </w:r>
                </w:p>
                <w:p w14:paraId="27F6A32F">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按源头防控的原则，可能产生地下水、土壤污染的企业，应严格落实分区、分级防渗措施，防范规划实施对土壤、地下水环境造成污染。定期开展土壤、地下水跟踪监测，根据监测结果完善污染防控措施，确保规划区土壤、地下水环境质量稳定达标。</w:t>
                  </w:r>
                </w:p>
                <w:p w14:paraId="195C6422">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规划区用于生产、经营、使用、贮存危废化学品，堆放、处理、处置生活垃圾、危险废物等固体废物，以及其他工业企业生产经营期间产生有毒有害物质的地块，用途变更为商服用地、特殊用地、交通运输用地、水工建筑用地、空闲地的，应按照《重庆市建设用地土壤污染防治办法》等相关要求，开展土壤污染状况调查等工作。</w:t>
                  </w:r>
                </w:p>
              </w:tc>
              <w:tc>
                <w:tcPr>
                  <w:tcW w:w="1480" w:type="pct"/>
                  <w:vAlign w:val="center"/>
                </w:tcPr>
                <w:p w14:paraId="2E26C62A">
                  <w:pPr>
                    <w:pStyle w:val="5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1.</w:t>
                  </w:r>
                  <w:r>
                    <w:rPr>
                      <w:rFonts w:hint="eastAsia" w:cs="Times New Roman"/>
                      <w:color w:val="000000" w:themeColor="text1"/>
                      <w:szCs w:val="21"/>
                      <w:highlight w:val="none"/>
                      <w:lang w:eastAsia="zh-CN"/>
                      <w14:textFill>
                        <w14:solidFill>
                          <w14:schemeClr w14:val="tx1"/>
                        </w14:solidFill>
                      </w14:textFill>
                    </w:rPr>
                    <w:t>本</w:t>
                  </w:r>
                  <w:r>
                    <w:rPr>
                      <w:rFonts w:hint="default" w:ascii="Times New Roman" w:hAnsi="Times New Roman" w:cs="Times New Roman"/>
                      <w:color w:val="000000" w:themeColor="text1"/>
                      <w:szCs w:val="21"/>
                      <w:highlight w:val="none"/>
                      <w:lang w:eastAsia="zh-CN"/>
                      <w14:textFill>
                        <w14:solidFill>
                          <w14:schemeClr w14:val="tx1"/>
                        </w14:solidFill>
                      </w14:textFill>
                    </w:rPr>
                    <w:t>项目</w:t>
                  </w:r>
                  <w:r>
                    <w:rPr>
                      <w:rFonts w:hint="eastAsia" w:ascii="Times New Roman" w:hAnsi="Times New Roman" w:cs="Times New Roman"/>
                      <w:color w:val="000000" w:themeColor="text1"/>
                      <w:szCs w:val="21"/>
                      <w:highlight w:val="none"/>
                      <w:lang w:val="en-US" w:eastAsia="zh-CN"/>
                      <w14:textFill>
                        <w14:solidFill>
                          <w14:schemeClr w14:val="tx1"/>
                        </w14:solidFill>
                      </w14:textFill>
                    </w:rPr>
                    <w:t>采用电</w:t>
                  </w:r>
                  <w:r>
                    <w:rPr>
                      <w:rFonts w:hint="eastAsia" w:cs="Times New Roman"/>
                      <w:color w:val="000000" w:themeColor="text1"/>
                      <w:szCs w:val="21"/>
                      <w:highlight w:val="none"/>
                      <w:lang w:val="en-US" w:eastAsia="zh-CN"/>
                      <w14:textFill>
                        <w14:solidFill>
                          <w14:schemeClr w14:val="tx1"/>
                        </w14:solidFill>
                      </w14:textFill>
                    </w:rPr>
                    <w:t>、天然气作为能源，</w:t>
                  </w:r>
                  <w:r>
                    <w:rPr>
                      <w:rFonts w:hint="eastAsia" w:ascii="Times New Roman" w:hAnsi="Times New Roman" w:cs="Times New Roman"/>
                      <w:color w:val="000000" w:themeColor="text1"/>
                      <w:szCs w:val="21"/>
                      <w:highlight w:val="none"/>
                      <w:lang w:val="en-US" w:eastAsia="zh-CN"/>
                      <w14:textFill>
                        <w14:solidFill>
                          <w14:schemeClr w14:val="tx1"/>
                        </w14:solidFill>
                      </w14:textFill>
                    </w:rPr>
                    <w:t>为清洁能源；项目</w:t>
                  </w:r>
                  <w:r>
                    <w:rPr>
                      <w:rFonts w:hint="default" w:ascii="Times New Roman" w:hAnsi="Times New Roman" w:cs="Times New Roman"/>
                      <w:color w:val="000000" w:themeColor="text1"/>
                      <w:szCs w:val="21"/>
                      <w:highlight w:val="none"/>
                      <w14:textFill>
                        <w14:solidFill>
                          <w14:schemeClr w14:val="tx1"/>
                        </w14:solidFill>
                      </w14:textFill>
                    </w:rPr>
                    <w:t>使用的</w:t>
                  </w:r>
                  <w:r>
                    <w:rPr>
                      <w:rFonts w:hint="default" w:ascii="Times New Roman" w:hAnsi="Times New Roman" w:eastAsia="宋体" w:cs="Times New Roman"/>
                      <w:color w:val="000000" w:themeColor="text1"/>
                      <w:sz w:val="21"/>
                      <w:szCs w:val="21"/>
                      <w14:textFill>
                        <w14:solidFill>
                          <w14:schemeClr w14:val="tx1"/>
                        </w14:solidFill>
                      </w14:textFill>
                    </w:rPr>
                    <w:t>原辅料为低（无）VOCs含量的原辅料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，产生的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挥发性有机物采取严格的无组织控制措施，对收集的挥发性有机物采取高效集中处理措施，喷涂废气经收集，通过“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水帘湿式漆雾净化+</w:t>
                  </w:r>
                  <w:r>
                    <w:rPr>
                      <w:rFonts w:hint="eastAsia" w:cs="Times New Roman"/>
                      <w:color w:val="000000" w:themeColor="text1"/>
                      <w:sz w:val="21"/>
                      <w:szCs w:val="21"/>
                      <w:lang w:val="en-US" w:eastAsia="zh-CN"/>
                      <w14:textFill>
                        <w14:solidFill>
                          <w14:schemeClr w14:val="tx1"/>
                        </w14:solidFill>
                      </w14:textFill>
                    </w:rPr>
                    <w:t>高分子过滤盒</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+干式过滤棉+二级活性炭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”处理，废气经处理后达标排放。</w:t>
                  </w:r>
                </w:p>
                <w:p w14:paraId="157CB6D7">
                  <w:pPr>
                    <w:pStyle w:val="59"/>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Chars="0"/>
                    <w:jc w:val="both"/>
                    <w:textAlignment w:val="auto"/>
                    <w:rPr>
                      <w:rFonts w:hint="eastAsia" w:ascii="Times New Roman" w:hAnsi="Times New Roman"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洗枪废水</w:t>
                  </w:r>
                  <w:r>
                    <w:rPr>
                      <w:rFonts w:hint="eastAsia" w:cs="Times New Roman"/>
                      <w:color w:val="000000" w:themeColor="text1"/>
                      <w:sz w:val="21"/>
                      <w:szCs w:val="21"/>
                      <w:lang w:val="en-US" w:eastAsia="zh-CN"/>
                      <w14:textFill>
                        <w14:solidFill>
                          <w14:schemeClr w14:val="tx1"/>
                        </w14:solidFill>
                      </w14:textFill>
                    </w:rPr>
                    <w:t>回用于调漆；</w:t>
                  </w:r>
                  <w:r>
                    <w:rPr>
                      <w:rFonts w:hint="default" w:ascii="Times New Roman" w:hAnsi="Times New Roman" w:cs="Times New Roman"/>
                      <w:color w:val="000000" w:themeColor="text1"/>
                      <w:sz w:val="21"/>
                      <w:szCs w:val="21"/>
                      <w:lang w:val="en-US" w:eastAsia="zh-CN"/>
                      <w14:textFill>
                        <w14:solidFill>
                          <w14:schemeClr w14:val="tx1"/>
                        </w14:solidFill>
                      </w14:textFill>
                    </w:rPr>
                    <w:t>洗手废水经油水分离器预处理</w:t>
                  </w:r>
                  <w:r>
                    <w:rPr>
                      <w:rFonts w:hint="eastAsia" w:cs="Times New Roman"/>
                      <w:color w:val="000000" w:themeColor="text1"/>
                      <w:sz w:val="21"/>
                      <w:szCs w:val="21"/>
                      <w:lang w:val="en-US" w:eastAsia="zh-CN"/>
                      <w14:textFill>
                        <w14:solidFill>
                          <w14:schemeClr w14:val="tx1"/>
                        </w14:solidFill>
                      </w14:textFill>
                    </w:rPr>
                    <w:t>后</w:t>
                  </w:r>
                  <w:r>
                    <w:rPr>
                      <w:rFonts w:hint="default" w:ascii="Times New Roman" w:hAnsi="Times New Roman" w:cs="Times New Roman"/>
                      <w:color w:val="000000" w:themeColor="text1"/>
                      <w:sz w:val="21"/>
                      <w:szCs w:val="21"/>
                      <w:lang w:val="en-US" w:eastAsia="zh-CN"/>
                      <w14:textFill>
                        <w14:solidFill>
                          <w14:schemeClr w14:val="tx1"/>
                        </w14:solidFill>
                      </w14:textFill>
                    </w:rPr>
                    <w:t>；水帘湿式漆雾净化废水经</w:t>
                  </w:r>
                  <w:r>
                    <w:rPr>
                      <w:rFonts w:hint="eastAsia" w:cs="Times New Roman"/>
                      <w:color w:val="000000" w:themeColor="text1"/>
                      <w:sz w:val="21"/>
                      <w:szCs w:val="21"/>
                      <w:lang w:val="en-US" w:eastAsia="zh-CN"/>
                      <w14:textFill>
                        <w14:solidFill>
                          <w14:schemeClr w14:val="tx1"/>
                        </w14:solidFill>
                      </w14:textFill>
                    </w:rPr>
                    <w:t>一体化生产废水处理站</w:t>
                  </w:r>
                  <w:r>
                    <w:rPr>
                      <w:rFonts w:hint="default" w:ascii="Times New Roman" w:hAnsi="Times New Roman" w:cs="Times New Roman"/>
                      <w:color w:val="000000" w:themeColor="text1"/>
                      <w:sz w:val="21"/>
                      <w:szCs w:val="21"/>
                      <w:lang w:val="en-US" w:eastAsia="zh-CN"/>
                      <w14:textFill>
                        <w14:solidFill>
                          <w14:schemeClr w14:val="tx1"/>
                        </w14:solidFill>
                      </w14:textFill>
                    </w:rPr>
                    <w:t>预处理</w:t>
                  </w:r>
                  <w:r>
                    <w:rPr>
                      <w:rFonts w:hint="eastAsia" w:cs="Times New Roman"/>
                      <w:color w:val="000000" w:themeColor="text1"/>
                      <w:sz w:val="21"/>
                      <w:szCs w:val="21"/>
                      <w:lang w:val="en-US" w:eastAsia="zh-CN"/>
                      <w14:textFill>
                        <w14:solidFill>
                          <w14:schemeClr w14:val="tx1"/>
                        </w14:solidFill>
                      </w14:textFill>
                    </w:rPr>
                    <w:t>后</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与生活污水</w:t>
                  </w:r>
                  <w:r>
                    <w:rPr>
                      <w:rFonts w:hint="default" w:ascii="Times New Roman" w:hAnsi="Times New Roman" w:cs="Times New Roman"/>
                      <w:color w:val="000000" w:themeColor="text1"/>
                      <w:sz w:val="21"/>
                      <w:szCs w:val="21"/>
                      <w:lang w:val="en-US" w:eastAsia="zh-CN"/>
                      <w14:textFill>
                        <w14:solidFill>
                          <w14:schemeClr w14:val="tx1"/>
                        </w14:solidFill>
                      </w14:textFill>
                    </w:rPr>
                    <w:t>一并经生化池处理</w:t>
                  </w:r>
                  <w:r>
                    <w:rPr>
                      <w:rFonts w:hint="default" w:ascii="Times New Roman" w:hAnsi="Times New Roman" w:cs="Times New Roman"/>
                      <w:color w:val="000000" w:themeColor="text1"/>
                      <w:szCs w:val="21"/>
                      <w:highlight w:val="none"/>
                      <w14:textFill>
                        <w14:solidFill>
                          <w14:schemeClr w14:val="tx1"/>
                        </w14:solidFill>
                      </w14:textFill>
                    </w:rPr>
                    <w:t>达《污水综合排放标准》（GB8978-1996）三级标准，</w:t>
                  </w:r>
                  <w:r>
                    <w:rPr>
                      <w:rFonts w:hint="eastAsia" w:ascii="Times New Roman" w:hAnsi="Times New Roman" w:cs="Times New Roman"/>
                      <w:color w:val="000000" w:themeColor="text1"/>
                      <w:szCs w:val="21"/>
                      <w:highlight w:val="none"/>
                      <w:lang w:val="en-US" w:eastAsia="zh-CN"/>
                      <w14:textFill>
                        <w14:solidFill>
                          <w14:schemeClr w14:val="tx1"/>
                        </w14:solidFill>
                      </w14:textFill>
                    </w:rPr>
                    <w:t>经废水总排口（DW001）</w:t>
                  </w:r>
                  <w:r>
                    <w:rPr>
                      <w:rFonts w:hint="default" w:ascii="Times New Roman" w:hAnsi="Times New Roman" w:cs="Times New Roman"/>
                      <w:color w:val="000000" w:themeColor="text1"/>
                      <w:szCs w:val="21"/>
                      <w:highlight w:val="none"/>
                      <w14:textFill>
                        <w14:solidFill>
                          <w14:schemeClr w14:val="tx1"/>
                        </w14:solidFill>
                      </w14:textFill>
                    </w:rPr>
                    <w:t>排入</w:t>
                  </w:r>
                  <w:r>
                    <w:rPr>
                      <w:rFonts w:hint="default" w:ascii="Times New Roman" w:hAnsi="Times New Roman" w:cs="Times New Roman"/>
                      <w:color w:val="000000" w:themeColor="text1"/>
                      <w14:textFill>
                        <w14:solidFill>
                          <w14:schemeClr w14:val="tx1"/>
                        </w14:solidFill>
                      </w14:textFill>
                    </w:rPr>
                    <w:t>青杠污水处理厂</w:t>
                  </w:r>
                  <w:r>
                    <w:rPr>
                      <w:rFonts w:hint="default" w:ascii="Times New Roman" w:hAnsi="Times New Roman" w:cs="Times New Roman"/>
                      <w:color w:val="000000" w:themeColor="text1"/>
                      <w:szCs w:val="21"/>
                      <w:highlight w:val="none"/>
                      <w14:textFill>
                        <w14:solidFill>
                          <w14:schemeClr w14:val="tx1"/>
                        </w14:solidFill>
                      </w14:textFill>
                    </w:rPr>
                    <w:t>进一步处理，</w:t>
                  </w: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COD、BOD</w:t>
                  </w:r>
                  <w:r>
                    <w:rPr>
                      <w:rFonts w:hint="eastAsia" w:ascii="Times New Roman" w:hAnsi="Times New Roman" w:eastAsia="宋体" w:cs="Times New Roman"/>
                      <w:color w:val="000000" w:themeColor="text1"/>
                      <w:kern w:val="2"/>
                      <w:sz w:val="21"/>
                      <w:szCs w:val="21"/>
                      <w:vertAlign w:val="subscript"/>
                      <w:lang w:val="en-US" w:eastAsia="zh-CN" w:bidi="zh-CN"/>
                      <w14:textFill>
                        <w14:solidFill>
                          <w14:schemeClr w14:val="tx1"/>
                        </w14:solidFill>
                      </w14:textFill>
                    </w:rPr>
                    <w:t>5</w:t>
                  </w: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、NH</w:t>
                  </w:r>
                  <w:r>
                    <w:rPr>
                      <w:rFonts w:hint="eastAsia" w:ascii="Times New Roman" w:hAnsi="Times New Roman" w:eastAsia="宋体" w:cs="Times New Roman"/>
                      <w:color w:val="000000" w:themeColor="text1"/>
                      <w:kern w:val="2"/>
                      <w:sz w:val="21"/>
                      <w:szCs w:val="21"/>
                      <w:vertAlign w:val="subscript"/>
                      <w:lang w:val="en-US" w:eastAsia="zh-CN" w:bidi="zh-CN"/>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-N、TP应达到《地表水环境质量标准》（</w:t>
                  </w:r>
                  <w:r>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t>GB3838-2002）Ⅳ类</w:t>
                  </w: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标准限值</w:t>
                  </w:r>
                  <w:r>
                    <w:rPr>
                      <w:rFonts w:hint="eastAsia" w:cs="Times New Roman"/>
                      <w:color w:val="000000" w:themeColor="text1"/>
                      <w:kern w:val="2"/>
                      <w:sz w:val="21"/>
                      <w:szCs w:val="21"/>
                      <w:lang w:val="en-US" w:eastAsia="zh-CN" w:bidi="zh-CN"/>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t>其余污染物达到《城镇污水处理厂污染物排放标准》（GB18918-2002）中一级A标准后排入璧南河。</w:t>
                  </w:r>
                  <w:r>
                    <w:rPr>
                      <w:rFonts w:hint="eastAsia" w:ascii="Times New Roman" w:hAnsi="Times New Roman" w:eastAsia="宋体" w:cs="Times New Roman"/>
                      <w:color w:val="000000" w:themeColor="text1"/>
                      <w:kern w:val="2"/>
                      <w:sz w:val="21"/>
                      <w:szCs w:val="21"/>
                      <w:lang w:val="en-US" w:eastAsia="zh-CN" w:bidi="zh-CN"/>
                      <w14:textFill>
                        <w14:solidFill>
                          <w14:schemeClr w14:val="tx1"/>
                        </w14:solidFill>
                      </w14:textFill>
                    </w:rPr>
                    <w:br w:type="textWrapping"/>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3.</w:t>
                  </w:r>
                  <w:r>
                    <w:rPr>
                      <w:rFonts w:hint="eastAsia" w:cs="Times New Roman"/>
                      <w:color w:val="000000" w:themeColor="text1"/>
                      <w:kern w:val="0"/>
                      <w:szCs w:val="21"/>
                      <w:highlight w:val="none"/>
                      <w:lang w:val="en-US" w:eastAsia="zh-CN"/>
                      <w14:textFill>
                        <w14:solidFill>
                          <w14:schemeClr w14:val="tx1"/>
                        </w14:solidFill>
                      </w14:textFill>
                    </w:rPr>
                    <w:t>本</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项目选择低噪声设备，采取隔声、减振等措施，厂界噪声达标排放。</w:t>
                  </w:r>
                </w:p>
                <w:p w14:paraId="7F51C324">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ascii="Times New Roman" w:hAnsi="Times New Roman" w:eastAsia="宋体" w:cs="Times New Roman"/>
                      <w:color w:val="000000" w:themeColor="text1"/>
                      <w:kern w:val="2"/>
                      <w:sz w:val="21"/>
                      <w:szCs w:val="24"/>
                      <w:highlight w:val="none"/>
                      <w:lang w:val="en-US" w:eastAsia="zh-CN" w:bidi="zh-CN"/>
                      <w14:textFill>
                        <w14:solidFill>
                          <w14:schemeClr w14:val="tx1"/>
                        </w14:solidFill>
                      </w14:textFill>
                    </w:rPr>
                  </w:pP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4.</w:t>
                  </w:r>
                  <w:r>
                    <w:rPr>
                      <w:rFonts w:hint="eastAsia" w:cs="Times New Roman"/>
                      <w:color w:val="000000" w:themeColor="text1"/>
                      <w:kern w:val="0"/>
                      <w:szCs w:val="21"/>
                      <w:highlight w:val="none"/>
                      <w:lang w:val="en-US" w:eastAsia="zh-CN"/>
                      <w14:textFill>
                        <w14:solidFill>
                          <w14:schemeClr w14:val="tx1"/>
                        </w14:solidFill>
                      </w14:textFill>
                    </w:rPr>
                    <w:t>本</w:t>
                  </w:r>
                  <w:r>
                    <w:rPr>
                      <w:rFonts w:hint="eastAsia" w:ascii="Times New Roman" w:hAnsi="Times New Roman" w:eastAsia="宋体" w:cs="Times New Roman"/>
                      <w:color w:val="000000" w:themeColor="text1"/>
                      <w:kern w:val="2"/>
                      <w:sz w:val="21"/>
                      <w:szCs w:val="24"/>
                      <w:highlight w:val="none"/>
                      <w:lang w:val="en-US" w:eastAsia="zh-CN" w:bidi="zh-CN"/>
                      <w14:textFill>
                        <w14:solidFill>
                          <w14:schemeClr w14:val="tx1"/>
                        </w14:solidFill>
                      </w14:textFill>
                    </w:rPr>
                    <w:t>项目采取分区防渗措施，按照《一般工业固体废物贮存和填埋污染控制标准》(</w:t>
                  </w:r>
                  <w:r>
                    <w:rPr>
                      <w:rFonts w:hint="default" w:ascii="Times New Roman" w:hAnsi="Times New Roman" w:eastAsia="宋体" w:cs="Times New Roman"/>
                      <w:color w:val="000000" w:themeColor="text1"/>
                      <w:kern w:val="2"/>
                      <w:sz w:val="21"/>
                      <w:szCs w:val="24"/>
                      <w:highlight w:val="none"/>
                      <w:lang w:val="en-US" w:eastAsia="zh-CN" w:bidi="zh-CN"/>
                      <w14:textFill>
                        <w14:solidFill>
                          <w14:schemeClr w14:val="tx1"/>
                        </w14:solidFill>
                      </w14:textFill>
                    </w:rPr>
                    <w:t>GB18599-2020</w:t>
                  </w:r>
                  <w:r>
                    <w:rPr>
                      <w:rFonts w:hint="eastAsia" w:ascii="Times New Roman" w:hAnsi="Times New Roman" w:eastAsia="宋体" w:cs="Times New Roman"/>
                      <w:color w:val="000000" w:themeColor="text1"/>
                      <w:kern w:val="2"/>
                      <w:sz w:val="21"/>
                      <w:szCs w:val="24"/>
                      <w:highlight w:val="none"/>
                      <w:lang w:val="en-US" w:eastAsia="zh-CN" w:bidi="zh-CN"/>
                      <w14:textFill>
                        <w14:solidFill>
                          <w14:schemeClr w14:val="tx1"/>
                        </w14:solidFill>
                      </w14:textFill>
                    </w:rPr>
                    <w:t>)、《环境影响评价技术导则地下水环境》（</w:t>
                  </w:r>
                  <w:r>
                    <w:rPr>
                      <w:rFonts w:hint="default" w:ascii="Times New Roman" w:hAnsi="Times New Roman" w:eastAsia="宋体" w:cs="Times New Roman"/>
                      <w:color w:val="000000" w:themeColor="text1"/>
                      <w:kern w:val="2"/>
                      <w:sz w:val="21"/>
                      <w:szCs w:val="24"/>
                      <w:highlight w:val="none"/>
                      <w:lang w:val="en-US" w:eastAsia="zh-CN" w:bidi="zh-CN"/>
                      <w14:textFill>
                        <w14:solidFill>
                          <w14:schemeClr w14:val="tx1"/>
                        </w14:solidFill>
                      </w14:textFill>
                    </w:rPr>
                    <w:t>HJ610-2016</w:t>
                  </w:r>
                  <w:r>
                    <w:rPr>
                      <w:rFonts w:hint="eastAsia" w:ascii="Times New Roman" w:hAnsi="Times New Roman" w:eastAsia="宋体" w:cs="Times New Roman"/>
                      <w:color w:val="000000" w:themeColor="text1"/>
                      <w:kern w:val="2"/>
                      <w:sz w:val="21"/>
                      <w:szCs w:val="24"/>
                      <w:highlight w:val="none"/>
                      <w:lang w:val="en-US" w:eastAsia="zh-CN" w:bidi="zh-CN"/>
                      <w14:textFill>
                        <w14:solidFill>
                          <w14:schemeClr w14:val="tx1"/>
                        </w14:solidFill>
                      </w14:textFill>
                    </w:rPr>
                    <w:t>）中的相关要求进行防渗；项目一般工业固体废物贮存过程中满足“防渗漏、防雨淋、防扬尘等环境保护要求”并按要求进行处置；危险废物按《危险废物贮存污染控制标准》（</w:t>
                  </w:r>
                  <w:r>
                    <w:rPr>
                      <w:rFonts w:hint="default" w:ascii="Times New Roman" w:hAnsi="Times New Roman" w:eastAsia="宋体" w:cs="Times New Roman"/>
                      <w:color w:val="000000" w:themeColor="text1"/>
                      <w:kern w:val="2"/>
                      <w:sz w:val="21"/>
                      <w:szCs w:val="24"/>
                      <w:highlight w:val="none"/>
                      <w:lang w:val="en-US" w:eastAsia="zh-CN" w:bidi="zh-CN"/>
                      <w14:textFill>
                        <w14:solidFill>
                          <w14:schemeClr w14:val="tx1"/>
                        </w14:solidFill>
                      </w14:textFill>
                    </w:rPr>
                    <w:t>GB18597-2023</w:t>
                  </w:r>
                  <w:r>
                    <w:rPr>
                      <w:rFonts w:hint="eastAsia" w:ascii="Times New Roman" w:hAnsi="Times New Roman" w:eastAsia="宋体" w:cs="Times New Roman"/>
                      <w:color w:val="000000" w:themeColor="text1"/>
                      <w:kern w:val="2"/>
                      <w:sz w:val="21"/>
                      <w:szCs w:val="24"/>
                      <w:highlight w:val="none"/>
                      <w:lang w:val="en-US" w:eastAsia="zh-CN" w:bidi="zh-CN"/>
                      <w14:textFill>
                        <w14:solidFill>
                          <w14:schemeClr w14:val="tx1"/>
                        </w14:solidFill>
                      </w14:textFill>
                    </w:rPr>
                    <w:t>）收集和暂存，定期交由有危险废物处置资质的单位进行处置。各类固体废物均能得到合法合规妥善处置。</w:t>
                  </w:r>
                </w:p>
                <w:p w14:paraId="38ACC117">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cs="Times New Roman"/>
                      <w:b w:val="0"/>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4"/>
                      <w:highlight w:val="none"/>
                      <w:lang w:val="en-US" w:eastAsia="zh-CN" w:bidi="zh-CN"/>
                      <w14:textFill>
                        <w14:solidFill>
                          <w14:schemeClr w14:val="tx1"/>
                        </w14:solidFill>
                      </w14:textFill>
                    </w:rPr>
                    <w:t>5.项目采用分区防渗措施，防范土壤、地下水环境污染。</w:t>
                  </w:r>
                </w:p>
              </w:tc>
              <w:tc>
                <w:tcPr>
                  <w:tcW w:w="328" w:type="pct"/>
                  <w:vAlign w:val="center"/>
                </w:tcPr>
                <w:p w14:paraId="650A258E">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4BC14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4" w:type="dxa"/>
                  <w:shd w:val="clear" w:color="auto" w:fill="auto"/>
                  <w:vAlign w:val="center"/>
                </w:tcPr>
                <w:p w14:paraId="019E6687">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000000" w:themeColor="text1"/>
                      <w:kern w:val="2"/>
                      <w:sz w:val="21"/>
                      <w:szCs w:val="21"/>
                      <w:lang w:val="en-US" w:eastAsia="zh-CN" w:bidi="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规划区应建立健全“单元级—企业级—园区级”三级环境风险防范体系，按要求修订突发环境事件风险评估和应急预案，定期开展应急演练，全面提升环境风险防范和事故应急处置能力。完善各组团相应雨水排口切换阀等水环境风险防范设施的建设，防止污水和事故废水直接进入外环境。规划区环境风险防范体系建成前，新建、扩建《建设项目环境风险评价技术导则》（HJ169-2018）中地表水、地下水环境风险潜势Ⅱ级以上项目不得投入运行。加强对企业环境风险源的监督管理，相关企业应严格落实各项环境风险防范措施，防范突发性环境风险事故发生。</w:t>
                  </w:r>
                </w:p>
              </w:tc>
              <w:tc>
                <w:tcPr>
                  <w:tcW w:w="1480" w:type="pct"/>
                  <w:vAlign w:val="center"/>
                </w:tcPr>
                <w:p w14:paraId="7BB366FC">
                  <w:pPr>
                    <w:keepNext w:val="0"/>
                    <w:keepLines w:val="0"/>
                    <w:suppressLineNumbers w:val="0"/>
                    <w:adjustRightInd w:val="0"/>
                    <w:snapToGrid w:val="0"/>
                    <w:spacing w:before="0" w:beforeLines="50" w:beforeAutospacing="0" w:after="0" w:afterAutospacing="0"/>
                    <w:ind w:left="0" w:right="0"/>
                    <w:jc w:val="both"/>
                    <w:rPr>
                      <w:rFonts w:hint="default" w:ascii="Times New Roman" w:hAnsi="Times New Roman" w:cs="Times New Roman"/>
                      <w:b w:val="0"/>
                      <w:bCs/>
                      <w:color w:val="000000" w:themeColor="text1"/>
                      <w:sz w:val="21"/>
                      <w:szCs w:val="21"/>
                      <w14:textFill>
                        <w14:solidFill>
                          <w14:schemeClr w14:val="tx1"/>
                        </w14:solidFill>
                      </w14:textFill>
                    </w:rPr>
                  </w:pPr>
                  <w:r>
                    <w:rPr>
                      <w:rFonts w:hint="eastAsia" w:cs="Times New Roman"/>
                      <w:b w:val="0"/>
                      <w:bCs/>
                      <w:color w:val="000000" w:themeColor="text1"/>
                      <w:sz w:val="21"/>
                      <w:szCs w:val="21"/>
                      <w:lang w:eastAsia="zh-CN"/>
                      <w14:textFill>
                        <w14:solidFill>
                          <w14:schemeClr w14:val="tx1"/>
                        </w14:solidFill>
                      </w14:textFill>
                    </w:rPr>
                    <w:t>本</w:t>
                  </w:r>
                  <w:r>
                    <w:rPr>
                      <w:rFonts w:hint="default" w:ascii="Times New Roman" w:hAnsi="Times New Roman" w:cs="Times New Roman"/>
                      <w:b w:val="0"/>
                      <w:bCs/>
                      <w:color w:val="000000" w:themeColor="text1"/>
                      <w:sz w:val="21"/>
                      <w:szCs w:val="21"/>
                      <w14:textFill>
                        <w14:solidFill>
                          <w14:schemeClr w14:val="tx1"/>
                        </w14:solidFill>
                      </w14:textFill>
                    </w:rPr>
                    <w:t>项目风险物质未突破其贮存量暂存量，Q值＜1，按本次环评提出的各项环境风险防范措施，可有效防范突发性环境风险事故发生。</w:t>
                  </w:r>
                </w:p>
              </w:tc>
              <w:tc>
                <w:tcPr>
                  <w:tcW w:w="328" w:type="pct"/>
                  <w:vAlign w:val="center"/>
                </w:tcPr>
                <w:p w14:paraId="65622B5C">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6DB3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4" w:type="dxa"/>
                  <w:shd w:val="clear" w:color="auto" w:fill="auto"/>
                  <w:vAlign w:val="center"/>
                </w:tcPr>
                <w:p w14:paraId="0A133A00">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按照碳达峰、碳中和相关政策要求，统筹抓好碳排放控制管理和生态环境保护工作，推动实现减污降碳协同共治。加快近零碳园区试点建设工作，督促规划区企业采用先进的生产工艺，提高能源综合利用效率，从源头减少和控制温室气体排放，促进规划区产业绿色低碳循环发展。</w:t>
                  </w:r>
                </w:p>
              </w:tc>
              <w:tc>
                <w:tcPr>
                  <w:tcW w:w="1480" w:type="pct"/>
                  <w:vAlign w:val="center"/>
                </w:tcPr>
                <w:p w14:paraId="080A2DBA">
                  <w:pPr>
                    <w:keepNext w:val="0"/>
                    <w:keepLines w:val="0"/>
                    <w:suppressLineNumbers w:val="0"/>
                    <w:adjustRightInd w:val="0"/>
                    <w:snapToGrid w:val="0"/>
                    <w:spacing w:before="0" w:beforeLines="50" w:beforeAutospacing="0" w:after="0" w:afterAutospacing="0"/>
                    <w:ind w:left="0" w:right="0"/>
                    <w:jc w:val="both"/>
                    <w:rPr>
                      <w:rFonts w:hint="default" w:ascii="Times New Roman" w:hAnsi="Times New Roman" w:cs="Times New Roman"/>
                      <w:b w:val="0"/>
                      <w:bCs/>
                      <w:color w:val="000000" w:themeColor="text1"/>
                      <w:sz w:val="21"/>
                      <w:szCs w:val="21"/>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本</w:t>
                  </w:r>
                  <w:r>
                    <w:rPr>
                      <w:rFonts w:hint="default" w:ascii="Times New Roman" w:hAnsi="Times New Roman" w:cs="Times New Roman"/>
                      <w:b w:val="0"/>
                      <w:bCs/>
                      <w:color w:val="000000" w:themeColor="text1"/>
                      <w:sz w:val="21"/>
                      <w:szCs w:val="21"/>
                      <w14:textFill>
                        <w14:solidFill>
                          <w14:schemeClr w14:val="tx1"/>
                        </w14:solidFill>
                      </w14:textFill>
                    </w:rPr>
                    <w:t>项目主要以电</w:t>
                  </w:r>
                  <w:r>
                    <w:rPr>
                      <w:rFonts w:hint="eastAsia" w:cs="Times New Roman"/>
                      <w:b w:val="0"/>
                      <w:bCs/>
                      <w:color w:val="000000" w:themeColor="text1"/>
                      <w:sz w:val="21"/>
                      <w:szCs w:val="21"/>
                      <w:lang w:eastAsia="zh-CN"/>
                      <w14:textFill>
                        <w14:solidFill>
                          <w14:schemeClr w14:val="tx1"/>
                        </w14:solidFill>
                      </w14:textFill>
                    </w:rPr>
                    <w:t>、</w:t>
                  </w:r>
                  <w:r>
                    <w:rPr>
                      <w:rFonts w:hint="eastAsia" w:cs="Times New Roman"/>
                      <w:b w:val="0"/>
                      <w:bCs/>
                      <w:color w:val="000000" w:themeColor="text1"/>
                      <w:sz w:val="21"/>
                      <w:szCs w:val="21"/>
                      <w:lang w:val="en-US" w:eastAsia="zh-CN"/>
                      <w14:textFill>
                        <w14:solidFill>
                          <w14:schemeClr w14:val="tx1"/>
                        </w14:solidFill>
                      </w14:textFill>
                    </w:rPr>
                    <w:t>天然气</w:t>
                  </w:r>
                  <w:r>
                    <w:rPr>
                      <w:rFonts w:hint="default" w:ascii="Times New Roman" w:hAnsi="Times New Roman" w:cs="Times New Roman"/>
                      <w:b w:val="0"/>
                      <w:bCs/>
                      <w:color w:val="000000" w:themeColor="text1"/>
                      <w:sz w:val="21"/>
                      <w:szCs w:val="21"/>
                      <w14:textFill>
                        <w14:solidFill>
                          <w14:schemeClr w14:val="tx1"/>
                        </w14:solidFill>
                      </w14:textFill>
                    </w:rPr>
                    <w:t>为能源，符合绿色低碳发展要求。</w:t>
                  </w:r>
                </w:p>
              </w:tc>
              <w:tc>
                <w:tcPr>
                  <w:tcW w:w="328" w:type="pct"/>
                  <w:vAlign w:val="center"/>
                </w:tcPr>
                <w:p w14:paraId="3B0B75E3">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r w14:paraId="0B1C2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64" w:type="dxa"/>
                  <w:shd w:val="clear" w:color="auto" w:fill="auto"/>
                  <w:vAlign w:val="center"/>
                </w:tcPr>
                <w:p w14:paraId="64D5DBB2">
                  <w:pPr>
                    <w:pStyle w:val="59"/>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both"/>
                    <w:textAlignment w:val="auto"/>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加强日常环境监管，严格执行建设项目环境影响评价和固定污染源排污许可制度。规划区应建立环境空气、地表水、地下水、土壤等环境要素的监控体系，落实环境跟踪监测计划，适时开展环境影响跟踪评价。规划范围、规划期限、规模及结构、布局等方面发生重大调整或修订的，应重新或补充进行环境影响评价。</w:t>
                  </w:r>
                </w:p>
              </w:tc>
              <w:tc>
                <w:tcPr>
                  <w:tcW w:w="1480" w:type="pct"/>
                  <w:vAlign w:val="center"/>
                </w:tcPr>
                <w:p w14:paraId="0E23F8FC">
                  <w:pPr>
                    <w:keepNext w:val="0"/>
                    <w:keepLines w:val="0"/>
                    <w:suppressLineNumbers w:val="0"/>
                    <w:adjustRightInd w:val="0"/>
                    <w:snapToGrid w:val="0"/>
                    <w:spacing w:before="0" w:beforeLines="50" w:beforeAutospacing="0" w:after="0" w:afterAutospacing="0"/>
                    <w:ind w:left="0" w:right="0"/>
                    <w:jc w:val="both"/>
                    <w:rPr>
                      <w:rFonts w:hint="eastAsia" w:ascii="Times New Roman" w:hAnsi="Times New Roman" w:eastAsia="宋体" w:cs="Times New Roman"/>
                      <w:b w:val="0"/>
                      <w:bCs/>
                      <w:color w:val="000000" w:themeColor="text1"/>
                      <w:sz w:val="21"/>
                      <w:szCs w:val="21"/>
                      <w:lang w:eastAsia="zh-CN"/>
                      <w14:textFill>
                        <w14:solidFill>
                          <w14:schemeClr w14:val="tx1"/>
                        </w14:solidFill>
                      </w14:textFill>
                    </w:rPr>
                  </w:pPr>
                  <w:r>
                    <w:rPr>
                      <w:rFonts w:hint="eastAsia" w:cs="Times New Roman"/>
                      <w:b w:val="0"/>
                      <w:bCs/>
                      <w:color w:val="000000" w:themeColor="text1"/>
                      <w:sz w:val="21"/>
                      <w:szCs w:val="21"/>
                      <w:lang w:eastAsia="zh-CN"/>
                      <w14:textFill>
                        <w14:solidFill>
                          <w14:schemeClr w14:val="tx1"/>
                        </w14:solidFill>
                      </w14:textFill>
                    </w:rPr>
                    <w:t>本</w:t>
                  </w:r>
                  <w:r>
                    <w:rPr>
                      <w:rFonts w:hint="default" w:ascii="Times New Roman" w:hAnsi="Times New Roman" w:cs="Times New Roman"/>
                      <w:b w:val="0"/>
                      <w:bCs/>
                      <w:color w:val="000000" w:themeColor="text1"/>
                      <w:sz w:val="21"/>
                      <w:szCs w:val="21"/>
                      <w14:textFill>
                        <w14:solidFill>
                          <w14:schemeClr w14:val="tx1"/>
                        </w14:solidFill>
                      </w14:textFill>
                    </w:rPr>
                    <w:t>项目正在办理环评手续</w:t>
                  </w:r>
                  <w:r>
                    <w:rPr>
                      <w:rFonts w:hint="eastAsia" w:cs="Times New Roman"/>
                      <w:b w:val="0"/>
                      <w:bCs/>
                      <w:color w:val="000000" w:themeColor="text1"/>
                      <w:sz w:val="21"/>
                      <w:szCs w:val="21"/>
                      <w:lang w:eastAsia="zh-CN"/>
                      <w14:textFill>
                        <w14:solidFill>
                          <w14:schemeClr w14:val="tx1"/>
                        </w14:solidFill>
                      </w14:textFill>
                    </w:rPr>
                    <w:t>。</w:t>
                  </w:r>
                </w:p>
              </w:tc>
              <w:tc>
                <w:tcPr>
                  <w:tcW w:w="328" w:type="pct"/>
                  <w:vAlign w:val="center"/>
                </w:tcPr>
                <w:p w14:paraId="7E33B26D">
                  <w:pPr>
                    <w:keepNext w:val="0"/>
                    <w:keepLines w:val="0"/>
                    <w:suppressLineNumbers w:val="0"/>
                    <w:adjustRightInd w:val="0"/>
                    <w:snapToGrid w:val="0"/>
                    <w:spacing w:before="0" w:beforeLines="50" w:beforeAutospacing="0" w:after="0" w:afterAutospacing="0"/>
                    <w:ind w:left="0" w:right="0"/>
                    <w:jc w:val="center"/>
                    <w:rPr>
                      <w:rFonts w:hint="default" w:ascii="Times New Roman" w:hAnsi="Times New Roman" w:cs="Times New Roman"/>
                      <w:b/>
                      <w:color w:val="000000" w:themeColor="text1"/>
                      <w:sz w:val="21"/>
                      <w:szCs w:val="21"/>
                      <w14:textFill>
                        <w14:solidFill>
                          <w14:schemeClr w14:val="tx1"/>
                        </w14:solidFill>
                      </w14:textFill>
                    </w:rPr>
                  </w:pPr>
                  <w:r>
                    <w:rPr>
                      <w:rFonts w:hint="eastAsia"/>
                      <w:color w:val="000000" w:themeColor="text1"/>
                      <w:lang w:val="en-US" w:eastAsia="zh-CN"/>
                      <w14:textFill>
                        <w14:solidFill>
                          <w14:schemeClr w14:val="tx1"/>
                        </w14:solidFill>
                      </w14:textFill>
                    </w:rPr>
                    <w:t>符合</w:t>
                  </w:r>
                </w:p>
              </w:tc>
            </w:tr>
          </w:tbl>
          <w:p w14:paraId="3DB14E51">
            <w:pPr>
              <w:pStyle w:val="27"/>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综上，本项目建设符合</w:t>
            </w:r>
            <w:r>
              <w:rPr>
                <w:rFonts w:hint="default"/>
                <w:color w:val="000000" w:themeColor="text1"/>
                <w:sz w:val="24"/>
                <w14:textFill>
                  <w14:solidFill>
                    <w14:schemeClr w14:val="tx1"/>
                  </w14:solidFill>
                </w14:textFill>
              </w:rPr>
              <w:t>《重庆市生态环境局关于璧山高新技术产业开发区（国家级、市级）规划（2023年-2028年）环境影响报告书审查意见的函》（渝环函〔2025〕256号）</w:t>
            </w:r>
            <w:r>
              <w:rPr>
                <w:rFonts w:hint="default" w:ascii="Times New Roman" w:hAnsi="Times New Roman" w:cs="Times New Roman"/>
                <w:color w:val="000000" w:themeColor="text1"/>
                <w:sz w:val="24"/>
                <w:szCs w:val="24"/>
                <w14:textFill>
                  <w14:solidFill>
                    <w14:schemeClr w14:val="tx1"/>
                  </w14:solidFill>
                </w14:textFill>
              </w:rPr>
              <w:t>中相关要求。</w:t>
            </w:r>
          </w:p>
        </w:tc>
      </w:tr>
      <w:tr w14:paraId="50E429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99" w:type="dxa"/>
            <w:vAlign w:val="center"/>
          </w:tcPr>
          <w:p w14:paraId="5192468B">
            <w:pPr>
              <w:autoSpaceDE w:val="0"/>
              <w:autoSpaceDN w:val="0"/>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其他符合性分析</w:t>
            </w:r>
          </w:p>
        </w:tc>
        <w:tc>
          <w:tcPr>
            <w:tcW w:w="8372" w:type="dxa"/>
            <w:gridSpan w:val="4"/>
            <w:vAlign w:val="center"/>
          </w:tcPr>
          <w:p w14:paraId="777E3991">
            <w:pPr>
              <w:adjustRightInd w:val="0"/>
              <w:snapToGrid w:val="0"/>
              <w:spacing w:beforeLines="50" w:line="360" w:lineRule="auto"/>
              <w:rPr>
                <w:rFonts w:hint="default" w:ascii="Times New Roman" w:hAnsi="Times New Roman"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14:textFill>
                  <w14:solidFill>
                    <w14:schemeClr w14:val="tx1"/>
                  </w14:solidFill>
                </w14:textFill>
              </w:rPr>
              <w:t>、产业政策符合性分析</w:t>
            </w:r>
          </w:p>
          <w:p w14:paraId="3CEE28E6">
            <w:pPr>
              <w:autoSpaceDE w:val="0"/>
              <w:autoSpaceDN w:val="0"/>
              <w:adjustRightInd w:val="0"/>
              <w:snapToGrid w:val="0"/>
              <w:spacing w:line="360" w:lineRule="auto"/>
              <w:ind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本项目于C3752 摩托车零部件及配件制造，根据《产业结构调整指导目录》（2024年本）要求，本项目不属于鼓励类、限制类和淘汰类，符合国家有关法律、法规和政策规定，属于允许类。同时，本项目已在</w:t>
            </w:r>
            <w:r>
              <w:rPr>
                <w:rFonts w:hint="eastAsia" w:cs="Times New Roman"/>
                <w:color w:val="000000" w:themeColor="text1"/>
                <w:sz w:val="24"/>
                <w:szCs w:val="24"/>
                <w:lang w:val="en-US" w:eastAsia="zh-CN"/>
                <w14:textFill>
                  <w14:solidFill>
                    <w14:schemeClr w14:val="tx1"/>
                  </w14:solidFill>
                </w14:textFill>
              </w:rPr>
              <w:t>璧山区发展改革委</w:t>
            </w:r>
            <w:r>
              <w:rPr>
                <w:rFonts w:hint="default" w:ascii="Times New Roman" w:hAnsi="Times New Roman" w:cs="Times New Roman"/>
                <w:color w:val="000000" w:themeColor="text1"/>
                <w:sz w:val="24"/>
                <w:szCs w:val="24"/>
                <w14:textFill>
                  <w14:solidFill>
                    <w14:schemeClr w14:val="tx1"/>
                  </w14:solidFill>
                </w14:textFill>
              </w:rPr>
              <w:t>进行了备案，备案编码：</w:t>
            </w:r>
            <w:r>
              <w:rPr>
                <w:rFonts w:hint="eastAsia" w:cs="Times New Roman"/>
                <w:color w:val="000000" w:themeColor="text1"/>
                <w:sz w:val="24"/>
                <w:szCs w:val="24"/>
                <w:lang w:eastAsia="zh-CN"/>
                <w14:textFill>
                  <w14:solidFill>
                    <w14:schemeClr w14:val="tx1"/>
                  </w14:solidFill>
                </w14:textFill>
              </w:rPr>
              <w:t>2506-500120-04-01-767222</w:t>
            </w:r>
            <w:r>
              <w:rPr>
                <w:rFonts w:hint="default" w:ascii="Times New Roman" w:hAnsi="Times New Roman" w:cs="Times New Roman"/>
                <w:color w:val="000000" w:themeColor="text1"/>
                <w:sz w:val="24"/>
                <w:szCs w:val="24"/>
                <w14:textFill>
                  <w14:solidFill>
                    <w14:schemeClr w14:val="tx1"/>
                  </w14:solidFill>
                </w14:textFill>
              </w:rPr>
              <w:t>。</w:t>
            </w:r>
          </w:p>
          <w:p w14:paraId="78558D3C">
            <w:pPr>
              <w:widowControl/>
              <w:adjustRightInd w:val="0"/>
              <w:snapToGrid w:val="0"/>
              <w:spacing w:line="360" w:lineRule="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2、“三线一单”符合性分析</w:t>
            </w:r>
          </w:p>
          <w:p w14:paraId="66B718B3">
            <w:pPr>
              <w:autoSpaceDE w:val="0"/>
              <w:autoSpaceDN w:val="0"/>
              <w:adjustRightInd w:val="0"/>
              <w:spacing w:line="360" w:lineRule="auto"/>
              <w:ind w:firstLine="480" w:firstLineChars="200"/>
              <w:jc w:val="both"/>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通过在重庆市</w:t>
            </w:r>
            <w:r>
              <w:rPr>
                <w:rFonts w:hint="eastAsia"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三线一单</w:t>
            </w:r>
            <w:r>
              <w:rPr>
                <w:rFonts w:hint="eastAsia"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智检服务平台进行调查分析，项目所在区域位于璧山区工业城镇重点管控单元-城区片区，环境管控单元编码</w:t>
            </w:r>
            <w:r>
              <w:rPr>
                <w:rFonts w:hint="eastAsia"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ZH50012020001，</w:t>
            </w:r>
            <w:r>
              <w:rPr>
                <w:rFonts w:hint="default" w:ascii="Times New Roman" w:hAnsi="Times New Roman" w:cs="Times New Roman"/>
                <w:color w:val="000000" w:themeColor="text1"/>
                <w:sz w:val="24"/>
                <w:szCs w:val="24"/>
                <w14:textFill>
                  <w14:solidFill>
                    <w14:schemeClr w14:val="tx1"/>
                  </w14:solidFill>
                </w14:textFill>
              </w:rPr>
              <w:t>本项目与</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三线一单</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符合性分析见下表。</w:t>
            </w:r>
          </w:p>
        </w:tc>
      </w:tr>
    </w:tbl>
    <w:p w14:paraId="3C75445A">
      <w:pPr>
        <w:rPr>
          <w:color w:val="000000" w:themeColor="text1"/>
          <w14:textFill>
            <w14:solidFill>
              <w14:schemeClr w14:val="tx1"/>
            </w14:solidFill>
          </w14:textFill>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1"/>
        <w:tblW w:w="136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82"/>
        <w:gridCol w:w="13124"/>
      </w:tblGrid>
      <w:tr w14:paraId="66C71A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3" w:type="dxa"/>
            <w:vAlign w:val="center"/>
          </w:tcPr>
          <w:p w14:paraId="5CFE1364">
            <w:pPr>
              <w:pStyle w:val="12"/>
              <w:rPr>
                <w:color w:val="000000" w:themeColor="text1"/>
                <w14:textFill>
                  <w14:solidFill>
                    <w14:schemeClr w14:val="tx1"/>
                  </w14:solidFill>
                </w14:textFill>
              </w:rPr>
            </w:pPr>
            <w:r>
              <w:rPr>
                <w:color w:val="000000" w:themeColor="text1"/>
                <w:sz w:val="24"/>
                <w:szCs w:val="24"/>
                <w14:textFill>
                  <w14:solidFill>
                    <w14:schemeClr w14:val="tx1"/>
                  </w14:solidFill>
                </w14:textFill>
              </w:rPr>
              <w:t>其他符合性分析</w:t>
            </w:r>
          </w:p>
        </w:tc>
        <w:tc>
          <w:tcPr>
            <w:tcW w:w="13169" w:type="dxa"/>
            <w:vAlign w:val="center"/>
          </w:tcPr>
          <w:p w14:paraId="61425C09">
            <w:pPr>
              <w:widowControl/>
              <w:adjustRightInd w:val="0"/>
              <w:snapToGrid w:val="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表1-</w:t>
            </w:r>
            <w:r>
              <w:rPr>
                <w:rFonts w:hint="eastAsia" w:cs="Times New Roman"/>
                <w:b/>
                <w:bCs/>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14:textFill>
                  <w14:solidFill>
                    <w14:schemeClr w14:val="tx1"/>
                  </w14:solidFill>
                </w14:textFill>
              </w:rPr>
              <w:t xml:space="preserve">  本项目与“三线一单”管控要求的符合性分析表</w:t>
            </w:r>
          </w:p>
          <w:tbl>
            <w:tblPr>
              <w:tblStyle w:val="21"/>
              <w:tblW w:w="12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054"/>
              <w:gridCol w:w="7202"/>
              <w:gridCol w:w="2369"/>
              <w:gridCol w:w="987"/>
            </w:tblGrid>
            <w:tr w14:paraId="0227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914" w:type="dxa"/>
                  <w:gridSpan w:val="2"/>
                  <w:vAlign w:val="center"/>
                </w:tcPr>
                <w:p w14:paraId="20AEF766">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环境管控单元编码</w:t>
                  </w:r>
                </w:p>
              </w:tc>
              <w:tc>
                <w:tcPr>
                  <w:tcW w:w="7202" w:type="dxa"/>
                  <w:vAlign w:val="center"/>
                </w:tcPr>
                <w:p w14:paraId="74429159">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环境管控单元名称</w:t>
                  </w:r>
                </w:p>
              </w:tc>
              <w:tc>
                <w:tcPr>
                  <w:tcW w:w="3356" w:type="dxa"/>
                  <w:gridSpan w:val="2"/>
                  <w:vAlign w:val="center"/>
                </w:tcPr>
                <w:p w14:paraId="69ABE930">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环境管控单元类型</w:t>
                  </w:r>
                </w:p>
              </w:tc>
            </w:tr>
            <w:tr w14:paraId="6C91E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914" w:type="dxa"/>
                  <w:gridSpan w:val="2"/>
                  <w:vAlign w:val="center"/>
                </w:tcPr>
                <w:p w14:paraId="3D085720">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ZH50012020001</w:t>
                  </w:r>
                </w:p>
              </w:tc>
              <w:tc>
                <w:tcPr>
                  <w:tcW w:w="7202" w:type="dxa"/>
                  <w:vAlign w:val="center"/>
                </w:tcPr>
                <w:p w14:paraId="7B1B19A4">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璧山区工业城镇重点管控单元-城区片区</w:t>
                  </w:r>
                </w:p>
              </w:tc>
              <w:tc>
                <w:tcPr>
                  <w:tcW w:w="3356" w:type="dxa"/>
                  <w:gridSpan w:val="2"/>
                  <w:vAlign w:val="center"/>
                </w:tcPr>
                <w:p w14:paraId="33A7667D">
                  <w:pPr>
                    <w:snapToGrid w:val="0"/>
                    <w:spacing w:line="340" w:lineRule="exact"/>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重点管控单元</w:t>
                  </w:r>
                  <w:r>
                    <w:rPr>
                      <w:rFonts w:hint="eastAsia" w:cs="Times New Roman"/>
                      <w:color w:val="000000" w:themeColor="text1"/>
                      <w:kern w:val="0"/>
                      <w:sz w:val="21"/>
                      <w:szCs w:val="21"/>
                      <w:lang w:val="en-US" w:eastAsia="zh-CN"/>
                      <w14:textFill>
                        <w14:solidFill>
                          <w14:schemeClr w14:val="tx1"/>
                        </w14:solidFill>
                      </w14:textFill>
                    </w:rPr>
                    <w:t>1</w:t>
                  </w:r>
                </w:p>
              </w:tc>
            </w:tr>
            <w:tr w14:paraId="07B9F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Align w:val="center"/>
                </w:tcPr>
                <w:p w14:paraId="2802569B">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管控要求层级</w:t>
                  </w:r>
                </w:p>
              </w:tc>
              <w:tc>
                <w:tcPr>
                  <w:tcW w:w="1054" w:type="dxa"/>
                  <w:vAlign w:val="center"/>
                </w:tcPr>
                <w:p w14:paraId="37E8CEF5">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管控类型</w:t>
                  </w:r>
                </w:p>
              </w:tc>
              <w:tc>
                <w:tcPr>
                  <w:tcW w:w="7202" w:type="dxa"/>
                  <w:vAlign w:val="center"/>
                </w:tcPr>
                <w:p w14:paraId="38EF56C4">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管控要求</w:t>
                  </w:r>
                </w:p>
              </w:tc>
              <w:tc>
                <w:tcPr>
                  <w:tcW w:w="2369" w:type="dxa"/>
                  <w:vAlign w:val="center"/>
                </w:tcPr>
                <w:p w14:paraId="3959C0D4">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建设项目相关情况</w:t>
                  </w:r>
                </w:p>
              </w:tc>
              <w:tc>
                <w:tcPr>
                  <w:tcW w:w="987" w:type="dxa"/>
                  <w:vAlign w:val="center"/>
                </w:tcPr>
                <w:p w14:paraId="417330FE">
                  <w:pPr>
                    <w:adjustRightInd w:val="0"/>
                    <w:snapToGrid w:val="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符合性分析结论</w:t>
                  </w:r>
                </w:p>
              </w:tc>
            </w:tr>
            <w:tr w14:paraId="0C63C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restart"/>
                  <w:vAlign w:val="center"/>
                </w:tcPr>
                <w:p w14:paraId="21EDA72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全市总体管控要求</w:t>
                  </w:r>
                </w:p>
              </w:tc>
              <w:tc>
                <w:tcPr>
                  <w:tcW w:w="1054" w:type="dxa"/>
                  <w:vMerge w:val="restart"/>
                  <w:vAlign w:val="center"/>
                </w:tcPr>
                <w:p w14:paraId="5CE77577">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7202" w:type="dxa"/>
                  <w:vAlign w:val="center"/>
                </w:tcPr>
                <w:p w14:paraId="1FD472FE">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第一条 深入贯彻习近平生态文明思想，筑牢长江上游重要生态屏障，推动优势区域重点发展、生态功能区重点保护、城乡融合发展，优化重点区域、流域、产业的空间布局。</w:t>
                  </w:r>
                </w:p>
              </w:tc>
              <w:tc>
                <w:tcPr>
                  <w:tcW w:w="2369" w:type="dxa"/>
                  <w:vAlign w:val="center"/>
                </w:tcPr>
                <w:p w14:paraId="23197E81">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本项目所在地为</w:t>
                  </w:r>
                  <w:r>
                    <w:rPr>
                      <w:rFonts w:hint="eastAsia" w:cs="Times New Roman"/>
                      <w:color w:val="000000" w:themeColor="text1"/>
                      <w:sz w:val="21"/>
                      <w:szCs w:val="21"/>
                      <w:lang w:val="en-US" w:eastAsia="zh-CN"/>
                      <w14:textFill>
                        <w14:solidFill>
                          <w14:schemeClr w14:val="tx1"/>
                        </w14:solidFill>
                      </w14:textFill>
                    </w:rPr>
                    <w:t>璧山高新技术产业开发区青杠-来凤组团</w:t>
                  </w:r>
                  <w:r>
                    <w:rPr>
                      <w:rFonts w:hint="default" w:ascii="Times New Roman" w:hAnsi="Times New Roman" w:eastAsia="宋体" w:cs="Times New Roman"/>
                      <w:color w:val="000000" w:themeColor="text1"/>
                      <w:sz w:val="21"/>
                      <w:szCs w:val="21"/>
                      <w14:textFill>
                        <w14:solidFill>
                          <w14:schemeClr w14:val="tx1"/>
                        </w14:solidFill>
                      </w14:textFill>
                    </w:rPr>
                    <w:t>，属于璧山区工业城镇重点管控单元-城区片区。</w:t>
                  </w:r>
                </w:p>
              </w:tc>
              <w:tc>
                <w:tcPr>
                  <w:tcW w:w="987" w:type="dxa"/>
                  <w:vAlign w:val="center"/>
                </w:tcPr>
                <w:p w14:paraId="394B017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075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78F9F80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03229E2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719E89AA">
                  <w:pPr>
                    <w:widowControl/>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第二条 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长江、嘉陵江、乌江岸线一公里范围内布局新建重化工、纸浆制造、印染等存在环境风险的项目。</w:t>
                  </w:r>
                </w:p>
              </w:tc>
              <w:tc>
                <w:tcPr>
                  <w:tcW w:w="2369" w:type="dxa"/>
                  <w:vAlign w:val="center"/>
                </w:tcPr>
                <w:p w14:paraId="3EE27020">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14:textFill>
                        <w14:solidFill>
                          <w14:schemeClr w14:val="tx1"/>
                        </w14:solidFill>
                      </w14:textFill>
                    </w:rPr>
                    <w:t>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项目，不属于化工、尾矿库、冶炼渣库、磷石膏库类，不属于新建、改建、扩建尾矿库、冶炼渣库、磷石膏库，不属于重化工、纸浆制造、印染等项目</w:t>
                  </w: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987" w:type="dxa"/>
                  <w:vAlign w:val="center"/>
                </w:tcPr>
                <w:p w14:paraId="4160C94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BA0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60" w:type="dxa"/>
                  <w:vMerge w:val="continue"/>
                  <w:vAlign w:val="center"/>
                </w:tcPr>
                <w:p w14:paraId="1659F27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461ECFD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1F8452DC">
                  <w:pPr>
                    <w:widowControl/>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第三条 禁止在合规园区外新建、扩建钢铁、石化、化工、焦化、建材、有色、制浆造纸等高污染项目（高污染项目严格按照《环境保护综合名录》“高污染”产品名录执行）。禁止新建、扩建不符合国家石化、现代煤化工等产业布局规划的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2369" w:type="dxa"/>
                  <w:vAlign w:val="center"/>
                </w:tcPr>
                <w:p w14:paraId="447A5326">
                  <w:pPr>
                    <w:widowControl/>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本项目所在地为</w:t>
                  </w:r>
                  <w:r>
                    <w:rPr>
                      <w:rFonts w:hint="eastAsia" w:cs="Times New Roman"/>
                      <w:color w:val="000000" w:themeColor="text1"/>
                      <w:sz w:val="21"/>
                      <w:szCs w:val="21"/>
                      <w:lang w:val="en-US" w:eastAsia="zh-CN"/>
                      <w14:textFill>
                        <w14:solidFill>
                          <w14:schemeClr w14:val="tx1"/>
                        </w14:solidFill>
                      </w14:textFill>
                    </w:rPr>
                    <w:t>璧山高新技术产业开发区青杠-来凤组团</w:t>
                  </w:r>
                  <w:r>
                    <w:rPr>
                      <w:rFonts w:hint="default" w:ascii="Times New Roman" w:hAnsi="Times New Roman" w:eastAsia="宋体" w:cs="Times New Roman"/>
                      <w:color w:val="000000" w:themeColor="text1"/>
                      <w:kern w:val="0"/>
                      <w:sz w:val="21"/>
                      <w:szCs w:val="21"/>
                      <w14:textFill>
                        <w14:solidFill>
                          <w14:schemeClr w14:val="tx1"/>
                        </w14:solidFill>
                      </w14:textFill>
                    </w:rPr>
                    <w:t>，为合规产业园区。本项目</w:t>
                  </w:r>
                  <w:r>
                    <w:rPr>
                      <w:rFonts w:hint="eastAsia" w:cs="Times New Roman"/>
                      <w:color w:val="000000" w:themeColor="text1"/>
                      <w:kern w:val="0"/>
                      <w:sz w:val="21"/>
                      <w:szCs w:val="21"/>
                      <w:lang w:val="en-US" w:eastAsia="zh-CN"/>
                      <w14:textFill>
                        <w14:solidFill>
                          <w14:schemeClr w14:val="tx1"/>
                        </w14:solidFill>
                      </w14:textFill>
                    </w:rPr>
                    <w:t>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14:textFill>
                        <w14:solidFill>
                          <w14:schemeClr w14:val="tx1"/>
                        </w14:solidFill>
                      </w14:textFill>
                    </w:rPr>
                    <w:t>，不属于</w:t>
                  </w:r>
                  <w:r>
                    <w:rPr>
                      <w:rFonts w:hint="eastAsia"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两高</w:t>
                  </w:r>
                  <w:r>
                    <w:rPr>
                      <w:rFonts w:hint="eastAsia" w:cs="Times New Roman"/>
                      <w:color w:val="000000" w:themeColor="text1"/>
                      <w:ker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项目。</w:t>
                  </w:r>
                </w:p>
              </w:tc>
              <w:tc>
                <w:tcPr>
                  <w:tcW w:w="987" w:type="dxa"/>
                  <w:vAlign w:val="center"/>
                </w:tcPr>
                <w:p w14:paraId="4C49F307">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471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continue"/>
                  <w:vAlign w:val="center"/>
                </w:tcPr>
                <w:p w14:paraId="52ED3B7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14086E9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439595D2">
                  <w:pPr>
                    <w:autoSpaceDE w:val="0"/>
                    <w:autoSpaceDN w:val="0"/>
                    <w:adjustRightInd w:val="0"/>
                    <w:snapToGrid w:val="0"/>
                    <w:jc w:val="left"/>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第四条 严把项目准入关口，对不符合要求的高耗能、高排放、低水平项目坚决不予准入。除在安全或者产业布局等方面有特殊要求的项目外，新建有污染物排放的工业项目应当进入工业集聚区。新建化工项目应当进入全市统一布局的化工产业集聚区。鼓励现有工业项目、化工项目分别搬入工业集聚区、化工产业集聚区。</w:t>
                  </w:r>
                </w:p>
              </w:tc>
              <w:tc>
                <w:tcPr>
                  <w:tcW w:w="2369" w:type="dxa"/>
                  <w:vAlign w:val="center"/>
                </w:tcPr>
                <w:p w14:paraId="3360998B">
                  <w:pPr>
                    <w:keepNext w:val="0"/>
                    <w:keepLines w:val="0"/>
                    <w:widowControl/>
                    <w:suppressLineNumbers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本项目所在地为</w:t>
                  </w:r>
                  <w:r>
                    <w:rPr>
                      <w:rFonts w:hint="eastAsia" w:cs="Times New Roman"/>
                      <w:color w:val="000000" w:themeColor="text1"/>
                      <w:sz w:val="21"/>
                      <w:szCs w:val="21"/>
                      <w:lang w:val="en-US" w:eastAsia="zh-CN"/>
                      <w14:textFill>
                        <w14:solidFill>
                          <w14:schemeClr w14:val="tx1"/>
                        </w14:solidFill>
                      </w14:textFill>
                    </w:rPr>
                    <w:t>璧山高新技术产业开发区青杠-来凤组团</w:t>
                  </w:r>
                  <w:r>
                    <w:rPr>
                      <w:rFonts w:hint="default" w:ascii="Times New Roman" w:hAnsi="Times New Roman" w:eastAsia="宋体" w:cs="Times New Roman"/>
                      <w:color w:val="000000" w:themeColor="text1"/>
                      <w:kern w:val="0"/>
                      <w:sz w:val="21"/>
                      <w:szCs w:val="21"/>
                      <w14:textFill>
                        <w14:solidFill>
                          <w14:schemeClr w14:val="tx1"/>
                        </w14:solidFill>
                      </w14:textFill>
                    </w:rPr>
                    <w:t>，为合规产业园区。本项目</w:t>
                  </w:r>
                  <w:r>
                    <w:rPr>
                      <w:rFonts w:hint="eastAsia" w:cs="Times New Roman"/>
                      <w:color w:val="000000" w:themeColor="text1"/>
                      <w:kern w:val="0"/>
                      <w:sz w:val="21"/>
                      <w:szCs w:val="21"/>
                      <w:lang w:val="en-US" w:eastAsia="zh-CN"/>
                      <w14:textFill>
                        <w14:solidFill>
                          <w14:schemeClr w14:val="tx1"/>
                        </w14:solidFill>
                      </w14:textFill>
                    </w:rPr>
                    <w:t>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ascii="CIDFont" w:hAnsi="CIDFont" w:eastAsia="CIDFont" w:cs="CIDFont"/>
                      <w:color w:val="000000" w:themeColor="text1"/>
                      <w:kern w:val="0"/>
                      <w:sz w:val="21"/>
                      <w:szCs w:val="21"/>
                      <w:lang w:val="en-US" w:eastAsia="zh-CN" w:bidi="ar"/>
                      <w14:textFill>
                        <w14:solidFill>
                          <w14:schemeClr w14:val="tx1"/>
                        </w14:solidFill>
                      </w14:textFill>
                    </w:rPr>
                    <w:t>不属于高耗能、高排放、低水平</w:t>
                  </w:r>
                  <w:r>
                    <w:rPr>
                      <w:rFonts w:hint="default" w:ascii="CIDFont" w:hAnsi="CIDFont" w:eastAsia="CIDFont" w:cs="CIDFont"/>
                      <w:color w:val="000000" w:themeColor="text1"/>
                      <w:kern w:val="0"/>
                      <w:sz w:val="21"/>
                      <w:szCs w:val="21"/>
                      <w:lang w:val="en-US" w:eastAsia="zh-CN" w:bidi="ar"/>
                      <w14:textFill>
                        <w14:solidFill>
                          <w14:schemeClr w14:val="tx1"/>
                        </w14:solidFill>
                      </w14:textFill>
                    </w:rPr>
                    <w:t>项目，不属于化工项目。</w:t>
                  </w:r>
                </w:p>
              </w:tc>
              <w:tc>
                <w:tcPr>
                  <w:tcW w:w="987" w:type="dxa"/>
                  <w:vAlign w:val="center"/>
                </w:tcPr>
                <w:p w14:paraId="54B7EA6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265A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0F823247">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449C0C9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4D18AB88">
                  <w:pPr>
                    <w:widowControl/>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第五条 新建、扩建有色金属冶炼、电镀、铅蓄电池等企业应布设在依法合规设立并经过规划环评的产业园区。</w:t>
                  </w:r>
                </w:p>
              </w:tc>
              <w:tc>
                <w:tcPr>
                  <w:tcW w:w="2369" w:type="dxa"/>
                  <w:vAlign w:val="center"/>
                </w:tcPr>
                <w:p w14:paraId="78E4F334">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cs="Times New Roman"/>
                      <w:color w:val="000000" w:themeColor="text1"/>
                      <w:kern w:val="0"/>
                      <w:sz w:val="21"/>
                      <w:szCs w:val="21"/>
                      <w:lang w:val="en-US" w:eastAsia="zh-CN"/>
                      <w14:textFill>
                        <w14:solidFill>
                          <w14:schemeClr w14:val="tx1"/>
                        </w14:solidFill>
                      </w14:textFill>
                    </w:rPr>
                    <w:t>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不属于有色金属冶炼、电镀、铅蓄电池等企业。</w:t>
                  </w:r>
                </w:p>
              </w:tc>
              <w:tc>
                <w:tcPr>
                  <w:tcW w:w="987" w:type="dxa"/>
                  <w:vAlign w:val="center"/>
                </w:tcPr>
                <w:p w14:paraId="5FD394F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D00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5A6EFE0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3435204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73B7DA1C">
                  <w:pPr>
                    <w:widowControl/>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第六条 涉及环境防护距离的工业企业或项目应通过选址或调整布局原则上将环境防护距离控制在园区边界或用地红线内，提前合理规划项目地块布置、预防环境风险。</w:t>
                  </w:r>
                </w:p>
              </w:tc>
              <w:tc>
                <w:tcPr>
                  <w:tcW w:w="2369" w:type="dxa"/>
                  <w:vAlign w:val="center"/>
                </w:tcPr>
                <w:p w14:paraId="5A755A0B">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本项目不</w:t>
                  </w:r>
                  <w:r>
                    <w:rPr>
                      <w:rFonts w:hint="eastAsia" w:cs="Times New Roman"/>
                      <w:color w:val="000000" w:themeColor="text1"/>
                      <w:kern w:val="0"/>
                      <w:sz w:val="21"/>
                      <w:szCs w:val="21"/>
                      <w:lang w:val="en-US" w:eastAsia="zh-CN"/>
                      <w14:textFill>
                        <w14:solidFill>
                          <w14:schemeClr w14:val="tx1"/>
                        </w14:solidFill>
                      </w14:textFill>
                    </w:rPr>
                    <w:t>涉及</w:t>
                  </w:r>
                  <w:r>
                    <w:rPr>
                      <w:rFonts w:hint="default" w:ascii="Times New Roman" w:hAnsi="Times New Roman" w:eastAsia="宋体" w:cs="Times New Roman"/>
                      <w:color w:val="000000" w:themeColor="text1"/>
                      <w:kern w:val="0"/>
                      <w:sz w:val="21"/>
                      <w:szCs w:val="21"/>
                      <w14:textFill>
                        <w14:solidFill>
                          <w14:schemeClr w14:val="tx1"/>
                        </w14:solidFill>
                      </w14:textFill>
                    </w:rPr>
                    <w:t>环境防护距离。</w:t>
                  </w:r>
                </w:p>
              </w:tc>
              <w:tc>
                <w:tcPr>
                  <w:tcW w:w="987" w:type="dxa"/>
                  <w:vAlign w:val="center"/>
                </w:tcPr>
                <w:p w14:paraId="44B7AF4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1A5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17582EF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7E7C746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581EA1A3">
                  <w:pPr>
                    <w:widowControl/>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第七条 有效规范空间开发秩序，合理控制空间开发强度，切实将各类开发活动限制在资源环境承载能力之内，为构建高效协调可持续的国土空间开发格局奠定坚实基础。</w:t>
                  </w:r>
                </w:p>
              </w:tc>
              <w:tc>
                <w:tcPr>
                  <w:tcW w:w="2369" w:type="dxa"/>
                  <w:vAlign w:val="center"/>
                </w:tcPr>
                <w:p w14:paraId="4EDE9FD0">
                  <w:pPr>
                    <w:widowControl/>
                    <w:jc w:val="both"/>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本项目所在地</w:t>
                  </w:r>
                  <w:r>
                    <w:rPr>
                      <w:rFonts w:hint="eastAsia" w:cs="Times New Roman"/>
                      <w:color w:val="000000" w:themeColor="text1"/>
                      <w:kern w:val="0"/>
                      <w:sz w:val="21"/>
                      <w:szCs w:val="21"/>
                      <w:lang w:val="en-US" w:eastAsia="zh-CN"/>
                      <w14:textFill>
                        <w14:solidFill>
                          <w14:schemeClr w14:val="tx1"/>
                        </w14:solidFill>
                      </w14:textFill>
                    </w:rPr>
                    <w:t>为</w:t>
                  </w:r>
                  <w:r>
                    <w:rPr>
                      <w:rFonts w:hint="eastAsia" w:cs="Times New Roman"/>
                      <w:color w:val="000000" w:themeColor="text1"/>
                      <w:sz w:val="21"/>
                      <w:szCs w:val="21"/>
                      <w:lang w:val="en-US" w:eastAsia="zh-CN"/>
                      <w14:textFill>
                        <w14:solidFill>
                          <w14:schemeClr w14:val="tx1"/>
                        </w14:solidFill>
                      </w14:textFill>
                    </w:rPr>
                    <w:t>璧山高新技术产业开发区青杠-来凤组团</w:t>
                  </w:r>
                  <w:r>
                    <w:rPr>
                      <w:rFonts w:hint="default" w:ascii="Times New Roman" w:hAnsi="Times New Roman" w:eastAsia="宋体" w:cs="Times New Roman"/>
                      <w:color w:val="000000" w:themeColor="text1"/>
                      <w:kern w:val="0"/>
                      <w:sz w:val="21"/>
                      <w:szCs w:val="21"/>
                      <w14:textFill>
                        <w14:solidFill>
                          <w14:schemeClr w14:val="tx1"/>
                        </w14:solidFill>
                      </w14:textFill>
                    </w:rPr>
                    <w:t>，建设内容符合规划。</w:t>
                  </w:r>
                </w:p>
              </w:tc>
              <w:tc>
                <w:tcPr>
                  <w:tcW w:w="987" w:type="dxa"/>
                  <w:vAlign w:val="center"/>
                </w:tcPr>
                <w:p w14:paraId="219BADF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259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248BEA3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restart"/>
                  <w:vAlign w:val="center"/>
                </w:tcPr>
                <w:p w14:paraId="42E29AB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7202" w:type="dxa"/>
                  <w:vAlign w:val="center"/>
                </w:tcPr>
                <w:p w14:paraId="231AFA31">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第八条 新建石化、煤化工、燃煤发电（含热电）、钢铁、有色金属冶炼、制浆造纸行业依据区域环境质量改善目标，制定配套区域污染物削减方案，采取有效的污染物区域削减措施，腾出足够的环境容量。严格按照国家及我市有关规定，对钢铁、水泥熟料、平板玻璃、电解铝等行业新建、扩建项目实行产能等量或减量置换。国家或地方已出台超低排放要求的“两高”行业建设项目应满足超低排放要求。加强水泥和平板玻璃行业差别化管理，新改扩建项目严格落实相关产业政策要求，满足能效标杆水平、环保绩效A级指标要求。</w:t>
                  </w:r>
                </w:p>
              </w:tc>
              <w:tc>
                <w:tcPr>
                  <w:tcW w:w="2369" w:type="dxa"/>
                  <w:vAlign w:val="center"/>
                </w:tcPr>
                <w:p w14:paraId="67441CA8">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不属于石化、煤化工、燃煤发电（含热电）、钢铁、有色金属冶炼、制浆造纸行业，不属于钢铁、水泥熟料、平板玻璃、电解铝行业。不属于</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两高</w:t>
                  </w:r>
                  <w:r>
                    <w:rPr>
                      <w:rFonts w:hint="eastAsia"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行业建设项目。</w:t>
                  </w:r>
                </w:p>
              </w:tc>
              <w:tc>
                <w:tcPr>
                  <w:tcW w:w="987" w:type="dxa"/>
                  <w:vAlign w:val="center"/>
                </w:tcPr>
                <w:p w14:paraId="6862593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8E87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jc w:val="center"/>
              </w:trPr>
              <w:tc>
                <w:tcPr>
                  <w:tcW w:w="860" w:type="dxa"/>
                  <w:vMerge w:val="continue"/>
                  <w:vAlign w:val="center"/>
                </w:tcPr>
                <w:p w14:paraId="2931BAE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1EFCE50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5F5654CB">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第九条 严格落实国家及我市大气污染防控相关要求，对大气环境质量未达标地区，新建、改扩建项目实施更严格的污染物排放总量控制要求。严格落实区域削减要求，所在区域、流域控制单元环境质量未达到国家或者地方环境质量标准的，建设项目需提出有效的区域削减方案，主要污染物实行区域倍量削减。</w:t>
                  </w:r>
                </w:p>
              </w:tc>
              <w:tc>
                <w:tcPr>
                  <w:tcW w:w="2369" w:type="dxa"/>
                  <w:vAlign w:val="center"/>
                </w:tcPr>
                <w:p w14:paraId="68D2C4AD">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本项目所在的</w:t>
                  </w:r>
                  <w:r>
                    <w:rPr>
                      <w:rFonts w:hint="eastAsia" w:cs="Times New Roman"/>
                      <w:color w:val="000000" w:themeColor="text1"/>
                      <w:sz w:val="21"/>
                      <w:szCs w:val="21"/>
                      <w:lang w:val="en-US" w:eastAsia="zh-CN"/>
                      <w14:textFill>
                        <w14:solidFill>
                          <w14:schemeClr w14:val="tx1"/>
                        </w14:solidFill>
                      </w14:textFill>
                    </w:rPr>
                    <w:t>璧山</w:t>
                  </w:r>
                  <w:r>
                    <w:rPr>
                      <w:rFonts w:hint="default" w:ascii="Times New Roman" w:hAnsi="Times New Roman" w:eastAsia="宋体" w:cs="Times New Roman"/>
                      <w:color w:val="000000" w:themeColor="text1"/>
                      <w:sz w:val="21"/>
                      <w:szCs w:val="21"/>
                      <w14:textFill>
                        <w14:solidFill>
                          <w14:schemeClr w14:val="tx1"/>
                        </w14:solidFill>
                      </w14:textFill>
                    </w:rPr>
                    <w:t>区为大气环境质量不达标区域，已经制定了相关达标规划和相应措施。项目所在地非甲烷总烃满足质量标准限值要求。</w:t>
                  </w:r>
                  <w:r>
                    <w:rPr>
                      <w:rFonts w:hint="default" w:ascii="Times New Roman" w:hAnsi="Times New Roman" w:eastAsia="宋体" w:cs="Times New Roman"/>
                      <w:color w:val="000000" w:themeColor="text1"/>
                      <w:sz w:val="21"/>
                      <w:szCs w:val="21"/>
                      <w:highlight w:val="none"/>
                      <w14:textFill>
                        <w14:solidFill>
                          <w14:schemeClr w14:val="tx1"/>
                        </w14:solidFill>
                      </w14:textFill>
                    </w:rPr>
                    <w:t>营运期</w:t>
                  </w:r>
                  <w:r>
                    <w:rPr>
                      <w:rFonts w:hint="eastAsia" w:cs="Times New Roman"/>
                      <w:color w:val="000000" w:themeColor="text1"/>
                      <w:sz w:val="21"/>
                      <w:szCs w:val="21"/>
                      <w:highlight w:val="none"/>
                      <w:lang w:val="en-US" w:eastAsia="zh-CN"/>
                      <w14:textFill>
                        <w14:solidFill>
                          <w14:schemeClr w14:val="tx1"/>
                        </w14:solidFill>
                      </w14:textFill>
                    </w:rPr>
                    <w:t>喷涂</w:t>
                  </w:r>
                  <w:r>
                    <w:rPr>
                      <w:rFonts w:hint="default" w:ascii="Times New Roman" w:hAnsi="Times New Roman" w:eastAsia="宋体" w:cs="Times New Roman"/>
                      <w:color w:val="000000" w:themeColor="text1"/>
                      <w:sz w:val="21"/>
                      <w:szCs w:val="21"/>
                      <w:highlight w:val="none"/>
                      <w14:textFill>
                        <w14:solidFill>
                          <w14:schemeClr w14:val="tx1"/>
                        </w14:solidFill>
                      </w14:textFill>
                    </w:rPr>
                    <w:t>废气经密闭抽排至一套</w:t>
                  </w:r>
                  <w:r>
                    <w:rPr>
                      <w:rFonts w:hint="eastAsia" w:cs="Times New Roman"/>
                      <w:bCs/>
                      <w:color w:val="000000" w:themeColor="text1"/>
                      <w:kern w:val="0"/>
                      <w:sz w:val="21"/>
                      <w:szCs w:val="21"/>
                      <w:highlight w:val="none"/>
                      <w:lang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水帘湿式漆雾净化+高分子过滤盒+干式过滤棉+二级活性炭吸附</w:t>
                  </w:r>
                  <w:r>
                    <w:rPr>
                      <w:rFonts w:hint="eastAsia" w:cs="Times New Roman"/>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处理后，由1根15m高排气筒（DA00</w:t>
                  </w: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）有组织排放。</w:t>
                  </w:r>
                </w:p>
              </w:tc>
              <w:tc>
                <w:tcPr>
                  <w:tcW w:w="987" w:type="dxa"/>
                  <w:vAlign w:val="center"/>
                </w:tcPr>
                <w:p w14:paraId="6E88F6E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A65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2C20B3B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7C8B7D1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4878F7FA">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第十条 在重点行业（石化、化工、工业涂装、包装印刷、油品储运销等）推进挥发性有机物综合治理，推动低挥发性有机物原辅材料和产品源头替代，推广使用低挥发性有机物含量产品，推动纳入政府绿色采购名录。有条件的工业集聚区建设集中喷涂工程中心，配备高效治污设施，替代企业独立喷涂工序，对涉及喷漆、喷粉、印刷等废气进行集中处理。</w:t>
                  </w:r>
                </w:p>
              </w:tc>
              <w:tc>
                <w:tcPr>
                  <w:tcW w:w="2369" w:type="dxa"/>
                  <w:vAlign w:val="center"/>
                </w:tcPr>
                <w:p w14:paraId="3B531182">
                  <w:pPr>
                    <w:widowControl/>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根据表2-11分析，</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项目使用低VOCs含量的辅料，</w:t>
                  </w:r>
                  <w:r>
                    <w:rPr>
                      <w:rFonts w:hint="default" w:ascii="Times New Roman" w:hAnsi="Times New Roman" w:eastAsia="宋体" w:cs="Times New Roman"/>
                      <w:color w:val="000000" w:themeColor="text1"/>
                      <w:sz w:val="21"/>
                      <w:szCs w:val="21"/>
                      <w:highlight w:val="none"/>
                      <w14:textFill>
                        <w14:solidFill>
                          <w14:schemeClr w14:val="tx1"/>
                        </w14:solidFill>
                      </w14:textFill>
                    </w:rPr>
                    <w:t>喷</w:t>
                  </w:r>
                  <w:r>
                    <w:rPr>
                      <w:rFonts w:hint="eastAsia" w:cs="Times New Roman"/>
                      <w:color w:val="000000" w:themeColor="text1"/>
                      <w:sz w:val="21"/>
                      <w:szCs w:val="21"/>
                      <w:highlight w:val="none"/>
                      <w:lang w:val="en-US" w:eastAsia="zh-CN"/>
                      <w14:textFill>
                        <w14:solidFill>
                          <w14:schemeClr w14:val="tx1"/>
                        </w14:solidFill>
                      </w14:textFill>
                    </w:rPr>
                    <w:t>涂</w:t>
                  </w:r>
                  <w:r>
                    <w:rPr>
                      <w:rFonts w:hint="default" w:ascii="Times New Roman" w:hAnsi="Times New Roman" w:eastAsia="宋体" w:cs="Times New Roman"/>
                      <w:color w:val="000000" w:themeColor="text1"/>
                      <w:sz w:val="21"/>
                      <w:szCs w:val="21"/>
                      <w:highlight w:val="none"/>
                      <w14:textFill>
                        <w14:solidFill>
                          <w14:schemeClr w14:val="tx1"/>
                        </w14:solidFill>
                      </w14:textFill>
                    </w:rPr>
                    <w:t>废气经密闭抽排至一套</w:t>
                  </w:r>
                  <w:r>
                    <w:rPr>
                      <w:rFonts w:hint="eastAsia" w:cs="Times New Roman"/>
                      <w:bCs/>
                      <w:color w:val="000000" w:themeColor="text1"/>
                      <w:kern w:val="0"/>
                      <w:sz w:val="21"/>
                      <w:szCs w:val="21"/>
                      <w:highlight w:val="none"/>
                      <w:lang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水帘湿式漆雾净化+高分子过滤盒+干式过滤棉+二级活性炭吸附</w:t>
                  </w:r>
                  <w:r>
                    <w:rPr>
                      <w:rFonts w:hint="eastAsia" w:cs="Times New Roman"/>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处理后，由1根15m高排气筒（DA00</w:t>
                  </w: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）有组织排放。</w:t>
                  </w:r>
                </w:p>
              </w:tc>
              <w:tc>
                <w:tcPr>
                  <w:tcW w:w="987" w:type="dxa"/>
                  <w:vAlign w:val="center"/>
                </w:tcPr>
                <w:p w14:paraId="171E531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A25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13CD907B">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72AE48E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2A78306C">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第十一条 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w:t>
                  </w:r>
                </w:p>
              </w:tc>
              <w:tc>
                <w:tcPr>
                  <w:tcW w:w="2369" w:type="dxa"/>
                  <w:vAlign w:val="center"/>
                </w:tcPr>
                <w:p w14:paraId="6E1331B5">
                  <w:pPr>
                    <w:widowControl/>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本项目所在地</w:t>
                  </w:r>
                  <w:r>
                    <w:rPr>
                      <w:rFonts w:hint="eastAsia" w:cs="Times New Roman"/>
                      <w:color w:val="000000" w:themeColor="text1"/>
                      <w:sz w:val="21"/>
                      <w:szCs w:val="21"/>
                      <w:highlight w:val="none"/>
                      <w:lang w:val="en-US" w:eastAsia="zh-CN"/>
                      <w14:textFill>
                        <w14:solidFill>
                          <w14:schemeClr w14:val="tx1"/>
                        </w14:solidFill>
                      </w14:textFill>
                    </w:rPr>
                    <w:t>为璧山高新技术产业开发区青杠-来凤组团</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营运期</w:t>
                  </w:r>
                  <w:r>
                    <w:rPr>
                      <w:rFonts w:hint="default"/>
                      <w:color w:val="000000" w:themeColor="text1"/>
                      <w:szCs w:val="21"/>
                      <w:highlight w:val="none"/>
                      <w14:textFill>
                        <w14:solidFill>
                          <w14:schemeClr w14:val="tx1"/>
                        </w14:solidFill>
                      </w14:textFill>
                    </w:rPr>
                    <w:t>洗枪废水</w:t>
                  </w:r>
                  <w:r>
                    <w:rPr>
                      <w:rFonts w:hint="eastAsia"/>
                      <w:color w:val="000000" w:themeColor="text1"/>
                      <w:szCs w:val="21"/>
                      <w:highlight w:val="none"/>
                      <w:lang w:val="en-US" w:eastAsia="zh-CN"/>
                      <w14:textFill>
                        <w14:solidFill>
                          <w14:schemeClr w14:val="tx1"/>
                        </w14:solidFill>
                      </w14:textFill>
                    </w:rPr>
                    <w:t>回用于调漆；</w:t>
                  </w:r>
                  <w:r>
                    <w:rPr>
                      <w:rFonts w:hint="default"/>
                      <w:color w:val="000000" w:themeColor="text1"/>
                      <w:szCs w:val="21"/>
                      <w:highlight w:val="none"/>
                      <w14:textFill>
                        <w14:solidFill>
                          <w14:schemeClr w14:val="tx1"/>
                        </w14:solidFill>
                      </w14:textFill>
                    </w:rPr>
                    <w:t>洗手废水经油水分离器预处理后；水帘湿式漆雾净化废水经</w:t>
                  </w:r>
                  <w:r>
                    <w:rPr>
                      <w:rFonts w:hint="eastAsia"/>
                      <w:color w:val="000000" w:themeColor="text1"/>
                      <w:szCs w:val="21"/>
                      <w:highlight w:val="none"/>
                      <w:lang w:eastAsia="zh-CN"/>
                      <w14:textFill>
                        <w14:solidFill>
                          <w14:schemeClr w14:val="tx1"/>
                        </w14:solidFill>
                      </w14:textFill>
                    </w:rPr>
                    <w:t>一体化生产废水处理站</w:t>
                  </w:r>
                  <w:r>
                    <w:rPr>
                      <w:rFonts w:hint="default"/>
                      <w:color w:val="000000" w:themeColor="text1"/>
                      <w:szCs w:val="21"/>
                      <w:highlight w:val="none"/>
                      <w14:textFill>
                        <w14:solidFill>
                          <w14:schemeClr w14:val="tx1"/>
                        </w14:solidFill>
                      </w14:textFill>
                    </w:rPr>
                    <w:t>预处理后；与生活污水一并经生化池处理达《污水综合排放标准》（GB8978-1996）三级标准，经废水总排口（DW001）排入青杠污水处理厂进一步处理，</w:t>
                  </w:r>
                  <w:r>
                    <w:rPr>
                      <w:rFonts w:hint="eastAsia"/>
                      <w:color w:val="000000" w:themeColor="text1"/>
                      <w:sz w:val="21"/>
                      <w:szCs w:val="21"/>
                      <w:highlight w:val="none"/>
                      <w:lang w:val="en-US" w:eastAsia="zh-CN"/>
                      <w14:textFill>
                        <w14:solidFill>
                          <w14:schemeClr w14:val="tx1"/>
                        </w14:solidFill>
                      </w14:textFill>
                    </w:rPr>
                    <w:t>COD、BOD</w:t>
                  </w:r>
                  <w:r>
                    <w:rPr>
                      <w:rFonts w:hint="eastAsia"/>
                      <w:color w:val="000000" w:themeColor="text1"/>
                      <w:sz w:val="21"/>
                      <w:szCs w:val="21"/>
                      <w:highlight w:val="none"/>
                      <w:vertAlign w:val="subscript"/>
                      <w:lang w:val="en-US" w:eastAsia="zh-CN"/>
                      <w14:textFill>
                        <w14:solidFill>
                          <w14:schemeClr w14:val="tx1"/>
                        </w14:solidFill>
                      </w14:textFill>
                    </w:rPr>
                    <w:t>5</w:t>
                  </w:r>
                  <w:r>
                    <w:rPr>
                      <w:rFonts w:hint="eastAsia"/>
                      <w:color w:val="000000" w:themeColor="text1"/>
                      <w:sz w:val="21"/>
                      <w:szCs w:val="21"/>
                      <w:highlight w:val="none"/>
                      <w:lang w:val="en-US" w:eastAsia="zh-CN"/>
                      <w14:textFill>
                        <w14:solidFill>
                          <w14:schemeClr w14:val="tx1"/>
                        </w14:solidFill>
                      </w14:textFill>
                    </w:rPr>
                    <w:t>、NH</w:t>
                  </w:r>
                  <w:r>
                    <w:rPr>
                      <w:rFonts w:hint="eastAsia"/>
                      <w:color w:val="000000" w:themeColor="text1"/>
                      <w:sz w:val="21"/>
                      <w:szCs w:val="21"/>
                      <w:highlight w:val="none"/>
                      <w:vertAlign w:val="sub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-N、TP达《地表水环境质量标准》（GB3838-2002）IV类标准，其余污染物达《城镇污水处理厂污染物排放标准》（GB18918-2002）一级A标准排入璧南河</w:t>
                  </w:r>
                  <w:r>
                    <w:rPr>
                      <w:color w:val="000000" w:themeColor="text1"/>
                      <w:sz w:val="21"/>
                      <w:szCs w:val="21"/>
                      <w:highlight w:val="none"/>
                      <w14:textFill>
                        <w14:solidFill>
                          <w14:schemeClr w14:val="tx1"/>
                        </w14:solidFill>
                      </w14:textFill>
                    </w:rPr>
                    <w:t>。</w:t>
                  </w:r>
                </w:p>
              </w:tc>
              <w:tc>
                <w:tcPr>
                  <w:tcW w:w="987" w:type="dxa"/>
                  <w:vAlign w:val="center"/>
                </w:tcPr>
                <w:p w14:paraId="52BB5D1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40B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576AC8C1">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7093E3D7">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28C4E05D">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第十二条 推进乡镇生活污水处理设施达标改造。新建城市生活污水处理厂全部按照一级A标及以上排放标准设计、施工、验收，建制乡镇生活污水处理设施出水水质不得低于一级B标排放标准；对现有截留制排水管网实施雨污分流改造，针对无法彻底雨污分流的老城区，尊重现实合理保留截留制区域，合理提高截留倍数；对新建的排水管网，全部按照雨污分流模式实施建设。</w:t>
                  </w:r>
                </w:p>
              </w:tc>
              <w:tc>
                <w:tcPr>
                  <w:tcW w:w="2369" w:type="dxa"/>
                  <w:vAlign w:val="center"/>
                </w:tcPr>
                <w:p w14:paraId="70555838">
                  <w:pPr>
                    <w:widowControl/>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cs="Times New Roman"/>
                      <w:color w:val="000000" w:themeColor="text1"/>
                      <w:sz w:val="21"/>
                      <w:szCs w:val="21"/>
                      <w:lang w:val="en-US" w:eastAsia="zh-CN"/>
                      <w14:textFill>
                        <w14:solidFill>
                          <w14:schemeClr w14:val="tx1"/>
                        </w14:solidFill>
                      </w14:textFill>
                    </w:rPr>
                    <w:t>不涉及。</w:t>
                  </w:r>
                </w:p>
              </w:tc>
              <w:tc>
                <w:tcPr>
                  <w:tcW w:w="987" w:type="dxa"/>
                  <w:vAlign w:val="center"/>
                </w:tcPr>
                <w:p w14:paraId="5B989F5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5FE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25F8E2E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050BAF74">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504A8BC1">
                  <w:pPr>
                    <w:widowControl/>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第十三条 新、改、扩建重点行业〔重有色金属矿采选业（铜、铅锌、镍钴、锡、锑和汞矿采选）、重有色金属冶炼业（铜、铅锌、镍钴、锡、锑和汞冶炼）、铅蓄电池制造业、皮革鞣制加工业、化学原料及化学制品制造业（电石法聚氯乙烯制造、铬盐制造、以工业固废为原料的锌无机化合物工业等）、电镀行业重点重金属污染物排放执行“等量替代”原则。</w:t>
                  </w:r>
                </w:p>
              </w:tc>
              <w:tc>
                <w:tcPr>
                  <w:tcW w:w="2369" w:type="dxa"/>
                  <w:vAlign w:val="center"/>
                </w:tcPr>
                <w:p w14:paraId="632A7F49">
                  <w:pPr>
                    <w:widowControl/>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不属于前述项目。</w:t>
                  </w:r>
                </w:p>
              </w:tc>
              <w:tc>
                <w:tcPr>
                  <w:tcW w:w="987" w:type="dxa"/>
                  <w:shd w:val="clear" w:color="auto" w:fill="auto"/>
                  <w:vAlign w:val="center"/>
                </w:tcPr>
                <w:p w14:paraId="34D2C22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5DF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5ACE9AE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00108351">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1D0C8BBF">
                  <w:pPr>
                    <w:widowControl/>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第十四条 固体废物污染环境防治坚持减量化、资源化和无害化的原则。产生工业固体废物的单位应当建立健全工业固体废物产生、收集、贮存、运输、利用、处置全过程的污染环境防治责任制度，建立工业固体废物管理台账。</w:t>
                  </w:r>
                </w:p>
              </w:tc>
              <w:tc>
                <w:tcPr>
                  <w:tcW w:w="2369" w:type="dxa"/>
                  <w:vAlign w:val="center"/>
                </w:tcPr>
                <w:p w14:paraId="190CA19F">
                  <w:pPr>
                    <w:widowControl/>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本项目建设有一般固废暂存</w:t>
                  </w:r>
                  <w:r>
                    <w:rPr>
                      <w:rFonts w:hint="eastAsia" w:cs="Times New Roman"/>
                      <w:color w:val="000000" w:themeColor="text1"/>
                      <w:sz w:val="21"/>
                      <w:szCs w:val="21"/>
                      <w:lang w:val="en-US" w:eastAsia="zh-CN"/>
                      <w14:textFill>
                        <w14:solidFill>
                          <w14:schemeClr w14:val="tx1"/>
                        </w14:solidFill>
                      </w14:textFill>
                    </w:rPr>
                    <w:t>间</w:t>
                  </w:r>
                  <w:r>
                    <w:rPr>
                      <w:rFonts w:hint="default" w:ascii="Times New Roman" w:hAnsi="Times New Roman" w:eastAsia="宋体" w:cs="Times New Roman"/>
                      <w:color w:val="000000" w:themeColor="text1"/>
                      <w:sz w:val="21"/>
                      <w:szCs w:val="21"/>
                      <w14:textFill>
                        <w14:solidFill>
                          <w14:schemeClr w14:val="tx1"/>
                        </w14:solidFill>
                      </w14:textFill>
                    </w:rPr>
                    <w:t>及</w:t>
                  </w:r>
                  <w:r>
                    <w:rPr>
                      <w:rFonts w:hint="eastAsia" w:cs="Times New Roman"/>
                      <w:color w:val="000000" w:themeColor="text1"/>
                      <w:sz w:val="21"/>
                      <w:szCs w:val="21"/>
                      <w:lang w:eastAsia="zh-CN"/>
                      <w14:textFill>
                        <w14:solidFill>
                          <w14:schemeClr w14:val="tx1"/>
                        </w14:solidFill>
                      </w14:textFill>
                    </w:rPr>
                    <w:t>危险废物贮存库</w:t>
                  </w:r>
                  <w:r>
                    <w:rPr>
                      <w:rFonts w:hint="default" w:ascii="Times New Roman" w:hAnsi="Times New Roman" w:eastAsia="宋体" w:cs="Times New Roman"/>
                      <w:color w:val="000000" w:themeColor="text1"/>
                      <w:sz w:val="21"/>
                      <w:szCs w:val="21"/>
                      <w14:textFill>
                        <w14:solidFill>
                          <w14:schemeClr w14:val="tx1"/>
                        </w14:solidFill>
                      </w14:textFill>
                    </w:rPr>
                    <w:t>，建立全过程的污染环境防治责任制度，建立工业固体废物管理台账。</w:t>
                  </w:r>
                </w:p>
              </w:tc>
              <w:tc>
                <w:tcPr>
                  <w:tcW w:w="987" w:type="dxa"/>
                  <w:shd w:val="clear" w:color="auto" w:fill="auto"/>
                  <w:vAlign w:val="center"/>
                </w:tcPr>
                <w:p w14:paraId="382036F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D29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711B315B">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51E7D75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4474C5D9">
                  <w:pPr>
                    <w:widowControl/>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第十五条 建设分类投放、分类收集、分类运输、分类处理的生活垃圾处理系统。合理布局生活垃圾分类收集站点，完善分类运输系统，加快补齐分类收集转运设施能力短板。强化“无废城市”制度、技术、市场、监管、全民行动“五大体系”建设，推进城市固体废物精细化管理。</w:t>
                  </w:r>
                </w:p>
              </w:tc>
              <w:tc>
                <w:tcPr>
                  <w:tcW w:w="2369" w:type="dxa"/>
                  <w:vAlign w:val="center"/>
                </w:tcPr>
                <w:p w14:paraId="5405B0FC">
                  <w:pPr>
                    <w:widowControl/>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本项目不涉及。</w:t>
                  </w:r>
                </w:p>
              </w:tc>
              <w:tc>
                <w:tcPr>
                  <w:tcW w:w="987" w:type="dxa"/>
                  <w:shd w:val="clear" w:color="auto" w:fill="auto"/>
                  <w:vAlign w:val="center"/>
                </w:tcPr>
                <w:p w14:paraId="6D65C35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B912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08D18994">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restart"/>
                  <w:vAlign w:val="center"/>
                </w:tcPr>
                <w:p w14:paraId="2029E94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7202" w:type="dxa"/>
                  <w:vAlign w:val="center"/>
                </w:tcPr>
                <w:p w14:paraId="6B85F68A">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第十六条 深入开展行政区域、重点流域、重点饮用水源、化工园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2369" w:type="dxa"/>
                  <w:vAlign w:val="center"/>
                </w:tcPr>
                <w:p w14:paraId="55111D1E">
                  <w:pPr>
                    <w:widowControl/>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本项目营运期按要求进行环境事件风险评估，并编制突发环境事件应急预案，进行分级管理。</w:t>
                  </w:r>
                </w:p>
              </w:tc>
              <w:tc>
                <w:tcPr>
                  <w:tcW w:w="987" w:type="dxa"/>
                  <w:vAlign w:val="center"/>
                </w:tcPr>
                <w:p w14:paraId="3359A4F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56F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32125DE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0BB8E13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0ADCF729">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第十七条 强化化工园区涉水突发环境事件四级环境风险防范体系建设。持续推进重点化工园区（化工集中区）建设有毒有害气体监测预警体系和水质生物毒性预警体系。</w:t>
                  </w:r>
                </w:p>
              </w:tc>
              <w:tc>
                <w:tcPr>
                  <w:tcW w:w="2369" w:type="dxa"/>
                  <w:vAlign w:val="center"/>
                </w:tcPr>
                <w:p w14:paraId="24EC460C">
                  <w:pPr>
                    <w:widowControl/>
                    <w:jc w:val="left"/>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本项目不涉及。</w:t>
                  </w:r>
                </w:p>
              </w:tc>
              <w:tc>
                <w:tcPr>
                  <w:tcW w:w="987" w:type="dxa"/>
                  <w:vAlign w:val="center"/>
                </w:tcPr>
                <w:p w14:paraId="76C2F32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1D6B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43DFD72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restart"/>
                  <w:vAlign w:val="center"/>
                </w:tcPr>
                <w:p w14:paraId="5D5BF5A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资源开发利用效率</w:t>
                  </w:r>
                </w:p>
              </w:tc>
              <w:tc>
                <w:tcPr>
                  <w:tcW w:w="7202" w:type="dxa"/>
                  <w:vAlign w:val="center"/>
                </w:tcPr>
                <w:p w14:paraId="106722FC">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第十八条 实施能源领域碳达峰碳中和行动，科学有序推动能源生产消费方式绿色低碳变革。实施可再生能源替代，减少化石能源消费。加强产业布局和能耗“双控”政策衔接，促进重点用能领域用能结构优化和能效提升。</w:t>
                  </w:r>
                </w:p>
              </w:tc>
              <w:tc>
                <w:tcPr>
                  <w:tcW w:w="2369" w:type="dxa"/>
                  <w:vAlign w:val="center"/>
                </w:tcPr>
                <w:p w14:paraId="045517CB">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本项目不涉及。</w:t>
                  </w:r>
                </w:p>
              </w:tc>
              <w:tc>
                <w:tcPr>
                  <w:tcW w:w="987" w:type="dxa"/>
                  <w:vAlign w:val="center"/>
                </w:tcPr>
                <w:p w14:paraId="558423C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C9E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3279995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1B93A1D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5038C6C4">
                  <w:pPr>
                    <w:widowControl/>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第十九条 鼓励企业对标能耗限额标准先进值或国际先进水平，加快主要产品工艺升级与绿色化改造，推动工业窑炉、锅炉、电机、压缩机、泵、变压器等重点用能设备系统节能改造。推动现有企业、园区生产过程清洁化转型，精准提升市场主体绿色低碳水平，引导绿色园区低碳发展。</w:t>
                  </w:r>
                </w:p>
              </w:tc>
              <w:tc>
                <w:tcPr>
                  <w:tcW w:w="2369" w:type="dxa"/>
                  <w:vAlign w:val="center"/>
                </w:tcPr>
                <w:p w14:paraId="5BF9260A">
                  <w:pPr>
                    <w:widowControl/>
                    <w:jc w:val="left"/>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本项目不涉及。</w:t>
                  </w:r>
                </w:p>
              </w:tc>
              <w:tc>
                <w:tcPr>
                  <w:tcW w:w="987" w:type="dxa"/>
                  <w:shd w:val="clear" w:color="auto" w:fill="auto"/>
                  <w:vAlign w:val="center"/>
                </w:tcPr>
                <w:p w14:paraId="7D041EA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7A12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6364DA1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7AA4FC4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5E28AF49">
                  <w:pPr>
                    <w:widowControl/>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第二十条 新建、扩建“两高”项目应采用先进适用的工艺技术和装备，单位产品物耗、能耗、水耗等达到清洁生产先进水平。</w:t>
                  </w:r>
                </w:p>
              </w:tc>
              <w:tc>
                <w:tcPr>
                  <w:tcW w:w="2369" w:type="dxa"/>
                  <w:vAlign w:val="center"/>
                </w:tcPr>
                <w:p w14:paraId="0C880BB4">
                  <w:pPr>
                    <w:widowControl/>
                    <w:jc w:val="left"/>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eastAsia" w:cs="Times New Roman"/>
                      <w:color w:val="000000" w:themeColor="text1"/>
                      <w:kern w:val="0"/>
                      <w:sz w:val="21"/>
                      <w:szCs w:val="21"/>
                      <w:lang w:val="en-US" w:eastAsia="zh-CN"/>
                      <w14:textFill>
                        <w14:solidFill>
                          <w14:schemeClr w14:val="tx1"/>
                        </w14:solidFill>
                      </w14:textFill>
                    </w:rPr>
                    <w:t>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不属于“两高”项目。</w:t>
                  </w:r>
                </w:p>
              </w:tc>
              <w:tc>
                <w:tcPr>
                  <w:tcW w:w="987" w:type="dxa"/>
                  <w:shd w:val="clear" w:color="auto" w:fill="auto"/>
                  <w:vAlign w:val="center"/>
                </w:tcPr>
                <w:p w14:paraId="57B5A5D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212E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663FFD94">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7439AFF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7BAA0911">
                  <w:pPr>
                    <w:widowControl/>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第二十一条 推进企业内部工业用水循环利用、园区内企业间用水系统集成优化。开展火电、石化、有色金属、造纸、印染等高耗水行业工业废水循环利用示范。根据区域水资源禀赋和行业特点，结合用水总量控制措施，引导区域工业布局和产业结构调整，大力推广工业水循环利用，加快淘汰落后用水工艺和技术。</w:t>
                  </w:r>
                </w:p>
              </w:tc>
              <w:tc>
                <w:tcPr>
                  <w:tcW w:w="2369" w:type="dxa"/>
                  <w:vAlign w:val="center"/>
                </w:tcPr>
                <w:p w14:paraId="64A6FAAD">
                  <w:pPr>
                    <w:pStyle w:val="2"/>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w:t>
                  </w:r>
                  <w:r>
                    <w:rPr>
                      <w:rFonts w:hint="eastAsia" w:cs="Times New Roman"/>
                      <w:color w:val="000000" w:themeColor="text1"/>
                      <w:kern w:val="0"/>
                      <w:sz w:val="21"/>
                      <w:szCs w:val="21"/>
                      <w:lang w:val="en-US" w:eastAsia="zh-CN"/>
                      <w14:textFill>
                        <w14:solidFill>
                          <w14:schemeClr w14:val="tx1"/>
                        </w14:solidFill>
                      </w14:textFill>
                    </w:rPr>
                    <w:t>为</w:t>
                  </w:r>
                  <w:r>
                    <w:rPr>
                      <w:rFonts w:hint="eastAsia" w:cs="Times New Roman"/>
                      <w:color w:val="000000" w:themeColor="text1"/>
                      <w:sz w:val="21"/>
                      <w:szCs w:val="21"/>
                      <w:lang w:eastAsia="zh-CN"/>
                      <w14:textFill>
                        <w14:solidFill>
                          <w14:schemeClr w14:val="tx1"/>
                        </w14:solidFill>
                      </w14:textFill>
                    </w:rPr>
                    <w:t>摩托车零部件及</w:t>
                  </w:r>
                  <w:r>
                    <w:rPr>
                      <w:rFonts w:hint="eastAsia" w:cs="Times New Roman"/>
                      <w:color w:val="000000" w:themeColor="text1"/>
                      <w:sz w:val="21"/>
                      <w:szCs w:val="21"/>
                      <w:highlight w:val="none"/>
                      <w:lang w:eastAsia="zh-CN"/>
                      <w14:textFill>
                        <w14:solidFill>
                          <w14:schemeClr w14:val="tx1"/>
                        </w14:solidFill>
                      </w14:textFill>
                    </w:rPr>
                    <w:t>配件制造生产</w:t>
                  </w:r>
                  <w:r>
                    <w:rPr>
                      <w:rFonts w:hint="default" w:ascii="Times New Roman" w:hAnsi="Times New Roman" w:eastAsia="宋体" w:cs="Times New Roman"/>
                      <w:color w:val="000000" w:themeColor="text1"/>
                      <w:sz w:val="21"/>
                      <w:szCs w:val="21"/>
                      <w:highlight w:val="none"/>
                      <w14:textFill>
                        <w14:solidFill>
                          <w14:schemeClr w14:val="tx1"/>
                        </w14:solidFill>
                      </w14:textFill>
                    </w:rPr>
                    <w:t>项目</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，营运期用水主要为生活用水、</w:t>
                  </w: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员工洗手用水</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r>
                    <w:rPr>
                      <w:rFonts w:hint="eastAsia" w:cs="Times New Roman"/>
                      <w:color w:val="000000" w:themeColor="text1"/>
                      <w:kern w:val="0"/>
                      <w:sz w:val="21"/>
                      <w:szCs w:val="21"/>
                      <w:highlight w:val="none"/>
                      <w:lang w:val="en-US" w:eastAsia="zh-CN"/>
                      <w14:textFill>
                        <w14:solidFill>
                          <w14:schemeClr w14:val="tx1"/>
                        </w14:solidFill>
                      </w14:textFill>
                    </w:rPr>
                    <w:t>水帘湿式漆雾净化用水</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和洗枪用水，</w:t>
                  </w:r>
                  <w:r>
                    <w:rPr>
                      <w:rFonts w:hint="eastAsia" w:ascii="Times New Roman" w:cs="Times New Roman"/>
                      <w:color w:val="000000" w:themeColor="text1"/>
                      <w:kern w:val="0"/>
                      <w:sz w:val="21"/>
                      <w:szCs w:val="21"/>
                      <w:highlight w:val="none"/>
                      <w:lang w:val="en-US" w:eastAsia="zh-CN"/>
                      <w14:textFill>
                        <w14:solidFill>
                          <w14:schemeClr w14:val="tx1"/>
                        </w14:solidFill>
                      </w14:textFill>
                    </w:rPr>
                    <w:t>水帘湿式漆雾净化水循环使用，定期排放。</w:t>
                  </w:r>
                </w:p>
              </w:tc>
              <w:tc>
                <w:tcPr>
                  <w:tcW w:w="987" w:type="dxa"/>
                  <w:shd w:val="clear" w:color="auto" w:fill="auto"/>
                  <w:vAlign w:val="center"/>
                </w:tcPr>
                <w:p w14:paraId="3B271BC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DC53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156C186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41EB019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2E8AA121">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第二十二条 加快推进节水配套设施建设，加强再生水、雨水等非常规水多元、梯级和安全利用，逐年提高非常规水利用比例。结合现有污水处理设施提标升级扩能改造，系统规划城镇污水再生利用设施。</w:t>
                  </w:r>
                </w:p>
              </w:tc>
              <w:tc>
                <w:tcPr>
                  <w:tcW w:w="2369" w:type="dxa"/>
                  <w:vAlign w:val="center"/>
                </w:tcPr>
                <w:p w14:paraId="7410B472">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本项目不涉及。</w:t>
                  </w:r>
                </w:p>
              </w:tc>
              <w:tc>
                <w:tcPr>
                  <w:tcW w:w="987" w:type="dxa"/>
                  <w:vAlign w:val="center"/>
                </w:tcPr>
                <w:p w14:paraId="0AF3109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C86F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restart"/>
                  <w:vAlign w:val="center"/>
                </w:tcPr>
                <w:p w14:paraId="27E1177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璧山</w:t>
                  </w:r>
                  <w:r>
                    <w:rPr>
                      <w:rFonts w:hint="default" w:ascii="Times New Roman" w:hAnsi="Times New Roman" w:eastAsia="宋体" w:cs="Times New Roman"/>
                      <w:color w:val="000000" w:themeColor="text1"/>
                      <w:sz w:val="21"/>
                      <w:szCs w:val="21"/>
                      <w14:textFill>
                        <w14:solidFill>
                          <w14:schemeClr w14:val="tx1"/>
                        </w14:solidFill>
                      </w14:textFill>
                    </w:rPr>
                    <w:t>区总体管控要求</w:t>
                  </w:r>
                </w:p>
              </w:tc>
              <w:tc>
                <w:tcPr>
                  <w:tcW w:w="1054" w:type="dxa"/>
                  <w:vMerge w:val="restart"/>
                  <w:vAlign w:val="center"/>
                </w:tcPr>
                <w:p w14:paraId="33E3F82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7202" w:type="dxa"/>
                  <w:vAlign w:val="center"/>
                </w:tcPr>
                <w:p w14:paraId="24B780F7">
                  <w:pPr>
                    <w:widowControl/>
                    <w:adjustRightInd w:val="0"/>
                    <w:snapToGrid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第一条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14:textFill>
                        <w14:solidFill>
                          <w14:schemeClr w14:val="tx1"/>
                        </w14:solidFill>
                      </w14:textFill>
                    </w:rPr>
                    <w:t>执行重点管控单元市级总体要求第一条、第二条、第三条、第六条、第七条。</w:t>
                  </w:r>
                </w:p>
              </w:tc>
              <w:tc>
                <w:tcPr>
                  <w:tcW w:w="2369" w:type="dxa"/>
                  <w:vAlign w:val="center"/>
                </w:tcPr>
                <w:p w14:paraId="63D15B62">
                  <w:pPr>
                    <w:adjustRightInd w:val="0"/>
                    <w:snapToGrid w:val="0"/>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根据前文描述，项目符合相关要求</w:t>
                  </w: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987" w:type="dxa"/>
                  <w:vAlign w:val="center"/>
                </w:tcPr>
                <w:p w14:paraId="2BBE62F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4F4C6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60" w:type="dxa"/>
                  <w:vMerge w:val="continue"/>
                  <w:vAlign w:val="center"/>
                </w:tcPr>
                <w:p w14:paraId="570B5F74">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44CD422B">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0FCC3770">
                  <w:pPr>
                    <w:widowControl/>
                    <w:adjustRightInd w:val="0"/>
                    <w:snapToGrid w:val="0"/>
                    <w:jc w:val="both"/>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第二条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14:textFill>
                        <w14:solidFill>
                          <w14:schemeClr w14:val="tx1"/>
                        </w14:solidFill>
                      </w14:textFill>
                    </w:rPr>
                    <w:t>严把项目准入关口，对不符合要求的高耗能、高排放、低水平项目坚决不予准入。除在安全或者产业布局等方面有特殊要求的项目外，新建有污染物排放的工业项目应当进入工业园区或工业集聚区。加快布局分散的企业向园区集中，鼓励现有工业项目搬入工业园区或工业集聚区。</w:t>
                  </w:r>
                </w:p>
              </w:tc>
              <w:tc>
                <w:tcPr>
                  <w:tcW w:w="2369" w:type="dxa"/>
                  <w:vAlign w:val="center"/>
                </w:tcPr>
                <w:p w14:paraId="657854B7">
                  <w:pPr>
                    <w:adjustRightInd w:val="0"/>
                    <w:snapToGrid w:val="0"/>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本项目所在地</w:t>
                  </w:r>
                  <w:r>
                    <w:rPr>
                      <w:rFonts w:hint="eastAsia" w:cs="Times New Roman"/>
                      <w:color w:val="000000" w:themeColor="text1"/>
                      <w:kern w:val="0"/>
                      <w:sz w:val="21"/>
                      <w:szCs w:val="21"/>
                      <w:lang w:val="en-US" w:eastAsia="zh-CN"/>
                      <w14:textFill>
                        <w14:solidFill>
                          <w14:schemeClr w14:val="tx1"/>
                        </w14:solidFill>
                      </w14:textFill>
                    </w:rPr>
                    <w:t>为</w:t>
                  </w:r>
                  <w:r>
                    <w:rPr>
                      <w:rFonts w:hint="eastAsia" w:cs="Times New Roman"/>
                      <w:color w:val="000000" w:themeColor="text1"/>
                      <w:sz w:val="21"/>
                      <w:szCs w:val="21"/>
                      <w:lang w:val="en-US" w:eastAsia="zh-CN"/>
                      <w14:textFill>
                        <w14:solidFill>
                          <w14:schemeClr w14:val="tx1"/>
                        </w14:solidFill>
                      </w14:textFill>
                    </w:rPr>
                    <w:t>璧山高新技术产业开发区青杠-来凤组团</w:t>
                  </w:r>
                  <w:r>
                    <w:rPr>
                      <w:rFonts w:hint="default" w:ascii="Times New Roman" w:hAnsi="Times New Roman" w:eastAsia="宋体" w:cs="Times New Roman"/>
                      <w:color w:val="000000" w:themeColor="text1"/>
                      <w:kern w:val="0"/>
                      <w:sz w:val="21"/>
                      <w:szCs w:val="21"/>
                      <w14:textFill>
                        <w14:solidFill>
                          <w14:schemeClr w14:val="tx1"/>
                        </w14:solidFill>
                      </w14:textFill>
                    </w:rPr>
                    <w:t>不</w:t>
                  </w:r>
                  <w:r>
                    <w:rPr>
                      <w:rFonts w:hint="eastAsia" w:cs="Times New Roman"/>
                      <w:color w:val="000000" w:themeColor="text1"/>
                      <w:kern w:val="0"/>
                      <w:sz w:val="21"/>
                      <w:szCs w:val="21"/>
                      <w:lang w:val="en-US" w:eastAsia="zh-CN"/>
                      <w14:textFill>
                        <w14:solidFill>
                          <w14:schemeClr w14:val="tx1"/>
                        </w14:solidFill>
                      </w14:textFill>
                    </w:rPr>
                    <w:t>属于</w:t>
                  </w:r>
                  <w:r>
                    <w:rPr>
                      <w:rFonts w:hint="default" w:ascii="Times New Roman" w:hAnsi="Times New Roman" w:eastAsia="宋体" w:cs="Times New Roman"/>
                      <w:color w:val="000000" w:themeColor="text1"/>
                      <w:kern w:val="0"/>
                      <w:sz w:val="21"/>
                      <w:szCs w:val="21"/>
                      <w14:textFill>
                        <w14:solidFill>
                          <w14:schemeClr w14:val="tx1"/>
                        </w14:solidFill>
                      </w14:textFill>
                    </w:rPr>
                    <w:t>纸浆制造、印染等存在环境风险的项目。</w:t>
                  </w:r>
                </w:p>
              </w:tc>
              <w:tc>
                <w:tcPr>
                  <w:tcW w:w="987" w:type="dxa"/>
                  <w:vAlign w:val="center"/>
                </w:tcPr>
                <w:p w14:paraId="707FE74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71D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60" w:type="dxa"/>
                  <w:vMerge w:val="continue"/>
                  <w:vAlign w:val="center"/>
                </w:tcPr>
                <w:p w14:paraId="0FCD9F8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3848D75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shd w:val="clear" w:color="auto" w:fill="auto"/>
                  <w:vAlign w:val="center"/>
                </w:tcPr>
                <w:p w14:paraId="4B66FDE0">
                  <w:pPr>
                    <w:widowControl/>
                    <w:adjustRightInd w:val="0"/>
                    <w:snapToGrid w:val="0"/>
                    <w:jc w:val="left"/>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第三条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14:textFill>
                        <w14:solidFill>
                          <w14:schemeClr w14:val="tx1"/>
                        </w14:solidFill>
                      </w14:textFill>
                    </w:rPr>
                    <w:t>新建、扩建的电镀企业优先选择布设在璧山高新区电镀集中加工区。</w:t>
                  </w:r>
                </w:p>
              </w:tc>
              <w:tc>
                <w:tcPr>
                  <w:tcW w:w="2369" w:type="dxa"/>
                  <w:shd w:val="clear" w:color="auto" w:fill="auto"/>
                  <w:vAlign w:val="center"/>
                </w:tcPr>
                <w:p w14:paraId="1FC4498F">
                  <w:pPr>
                    <w:adjustRightInd w:val="0"/>
                    <w:snapToGrid w:val="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不属于电镀企业。</w:t>
                  </w:r>
                </w:p>
              </w:tc>
              <w:tc>
                <w:tcPr>
                  <w:tcW w:w="987" w:type="dxa"/>
                  <w:shd w:val="clear" w:color="auto" w:fill="auto"/>
                  <w:vAlign w:val="center"/>
                </w:tcPr>
                <w:p w14:paraId="67FA7A27">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FB2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860" w:type="dxa"/>
                  <w:vMerge w:val="continue"/>
                  <w:vAlign w:val="center"/>
                </w:tcPr>
                <w:p w14:paraId="5AAC488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53B49D0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shd w:val="clear" w:color="auto" w:fill="auto"/>
                  <w:vAlign w:val="center"/>
                </w:tcPr>
                <w:p w14:paraId="5551B8F9">
                  <w:pPr>
                    <w:widowControl/>
                    <w:adjustRightInd w:val="0"/>
                    <w:snapToGrid w:val="0"/>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第四条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14:textFill>
                        <w14:solidFill>
                          <w14:schemeClr w14:val="tx1"/>
                        </w14:solidFill>
                      </w14:textFill>
                    </w:rPr>
                    <w:t>璧山高新区优先引入与规划主导产业（智能网联新能源汽车、电子信息、智能装备、大健康）环境相容的工业项目；璧山高新区及工业集聚区严格控制居住地周边工业用地的企业类型，临近居住等敏感用地一侧的工业用地严格限制环境空气影响相对较大的工业项目入驻。</w:t>
                  </w:r>
                </w:p>
              </w:tc>
              <w:tc>
                <w:tcPr>
                  <w:tcW w:w="2369" w:type="dxa"/>
                  <w:shd w:val="clear" w:color="auto" w:fill="auto"/>
                  <w:vAlign w:val="center"/>
                </w:tcPr>
                <w:p w14:paraId="60C60660">
                  <w:pPr>
                    <w:adjustRightInd w:val="0"/>
                    <w:snapToGrid w:val="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属于智能装备配套产业；项目</w:t>
                  </w:r>
                  <w:r>
                    <w:rPr>
                      <w:rFonts w:hint="eastAsia"/>
                      <w:color w:val="000000" w:themeColor="text1"/>
                      <w:kern w:val="0"/>
                      <w:szCs w:val="21"/>
                      <w14:textFill>
                        <w14:solidFill>
                          <w14:schemeClr w14:val="tx1"/>
                        </w14:solidFill>
                      </w14:textFill>
                    </w:rPr>
                    <w:t>相邻地块均为工业企业，不临近居住等敏感用地</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987" w:type="dxa"/>
                  <w:shd w:val="clear" w:color="auto" w:fill="auto"/>
                  <w:vAlign w:val="center"/>
                </w:tcPr>
                <w:p w14:paraId="254B93E7">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9AC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6F89ACB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162466C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598AC05C">
                  <w:pPr>
                    <w:widowControl/>
                    <w:adjustRightInd w:val="0"/>
                    <w:snapToGrid w:val="0"/>
                    <w:jc w:val="left"/>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第五条</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1"/>
                      <w:szCs w:val="21"/>
                      <w14:textFill>
                        <w14:solidFill>
                          <w14:schemeClr w14:val="tx1"/>
                        </w14:solidFill>
                      </w14:textFill>
                    </w:rPr>
                    <w:t>优化流域水环境保护布局，引进高耗水工艺、技术、装备的工业项目应充分论证水环境、水资源承载力；璧南河、璧北河及梅江河河道管理范围外侧，城镇规划建设用地内尚未建设的区域应设置绿化缓冲带。</w:t>
                  </w:r>
                </w:p>
              </w:tc>
              <w:tc>
                <w:tcPr>
                  <w:tcW w:w="2369" w:type="dxa"/>
                  <w:vAlign w:val="center"/>
                </w:tcPr>
                <w:p w14:paraId="61E901A0">
                  <w:pPr>
                    <w:adjustRightInd w:val="0"/>
                    <w:snapToGrid w:val="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本项目用水量较少，不涉及</w:t>
                  </w:r>
                  <w:r>
                    <w:rPr>
                      <w:rFonts w:hint="default" w:ascii="Times New Roman" w:hAnsi="Times New Roman" w:eastAsia="宋体" w:cs="Times New Roman"/>
                      <w:color w:val="000000" w:themeColor="text1"/>
                      <w:kern w:val="0"/>
                      <w:sz w:val="21"/>
                      <w:szCs w:val="21"/>
                      <w14:textFill>
                        <w14:solidFill>
                          <w14:schemeClr w14:val="tx1"/>
                        </w14:solidFill>
                      </w14:textFill>
                    </w:rPr>
                    <w:t>高耗水工艺、技术、装备</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项目</w:t>
                  </w:r>
                  <w:r>
                    <w:rPr>
                      <w:rFonts w:hint="eastAsia"/>
                      <w:color w:val="000000" w:themeColor="text1"/>
                      <w:lang w:val="en-US" w:eastAsia="zh-CN"/>
                      <w14:textFill>
                        <w14:solidFill>
                          <w14:schemeClr w14:val="tx1"/>
                        </w14:solidFill>
                      </w14:textFill>
                    </w:rPr>
                    <w:t>租赁已建成的厂房，不涉及</w:t>
                  </w:r>
                  <w:r>
                    <w:rPr>
                      <w:rFonts w:hint="default" w:ascii="Times New Roman" w:hAnsi="Times New Roman" w:eastAsia="宋体" w:cs="Times New Roman"/>
                      <w:color w:val="000000" w:themeColor="text1"/>
                      <w:kern w:val="0"/>
                      <w:sz w:val="21"/>
                      <w:szCs w:val="21"/>
                      <w14:textFill>
                        <w14:solidFill>
                          <w14:schemeClr w14:val="tx1"/>
                        </w14:solidFill>
                      </w14:textFill>
                    </w:rPr>
                    <w:t>璧南河、璧北河及梅江河河道管理范围外侧，城镇规划建设用地内</w:t>
                  </w:r>
                  <w:r>
                    <w:rPr>
                      <w:rFonts w:hint="eastAsia"/>
                      <w:color w:val="000000" w:themeColor="text1"/>
                      <w14:textFill>
                        <w14:solidFill>
                          <w14:schemeClr w14:val="tx1"/>
                        </w14:solidFill>
                      </w14:textFill>
                    </w:rPr>
                    <w:t>尚未建设的区域</w:t>
                  </w:r>
                  <w:r>
                    <w:rPr>
                      <w:rFonts w:hint="eastAsia"/>
                      <w:color w:val="000000" w:themeColor="text1"/>
                      <w:lang w:eastAsia="zh-CN"/>
                      <w14:textFill>
                        <w14:solidFill>
                          <w14:schemeClr w14:val="tx1"/>
                        </w14:solidFill>
                      </w14:textFill>
                    </w:rPr>
                    <w:t>。</w:t>
                  </w:r>
                </w:p>
              </w:tc>
              <w:tc>
                <w:tcPr>
                  <w:tcW w:w="987" w:type="dxa"/>
                  <w:vAlign w:val="center"/>
                </w:tcPr>
                <w:p w14:paraId="739E45C7">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7E9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2A3421A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restart"/>
                  <w:vAlign w:val="center"/>
                </w:tcPr>
                <w:p w14:paraId="2112EDF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7202" w:type="dxa"/>
                  <w:vAlign w:val="center"/>
                </w:tcPr>
                <w:p w14:paraId="3A1B6126">
                  <w:pPr>
                    <w:widowControl/>
                    <w:adjustRightInd w:val="0"/>
                    <w:snapToGrid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第六条</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执行重点管控单元市级总体要求第九条、第十四条、第十五条。</w:t>
                  </w:r>
                </w:p>
              </w:tc>
              <w:tc>
                <w:tcPr>
                  <w:tcW w:w="2369" w:type="dxa"/>
                  <w:vAlign w:val="center"/>
                </w:tcPr>
                <w:p w14:paraId="228BA347">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根据前文描述，项目符合相关要求。</w:t>
                  </w:r>
                </w:p>
              </w:tc>
              <w:tc>
                <w:tcPr>
                  <w:tcW w:w="987" w:type="dxa"/>
                  <w:vAlign w:val="center"/>
                </w:tcPr>
                <w:p w14:paraId="4D70900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BF2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continue"/>
                  <w:vAlign w:val="center"/>
                </w:tcPr>
                <w:p w14:paraId="6B0DDF24">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0D34A6ED">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722A1675">
                  <w:pPr>
                    <w:widowControl/>
                    <w:adjustRightInd w:val="0"/>
                    <w:snapToGrid w:val="0"/>
                    <w:jc w:val="both"/>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第七条</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严格按照国家及重庆市有关规定，对水泥熟料等行业新建、扩建项目实行产能等量或减量置换，严格落实相关产业政策要求，满足能效标杆水平、环保绩效A级指标要求。全面实施燃气锅炉低氮燃烧改造，逐步实施水泥行业超低排放。</w:t>
                  </w:r>
                </w:p>
              </w:tc>
              <w:tc>
                <w:tcPr>
                  <w:tcW w:w="2369" w:type="dxa"/>
                  <w:vAlign w:val="center"/>
                </w:tcPr>
                <w:p w14:paraId="077EC012">
                  <w:pPr>
                    <w:adjustRightInd w:val="0"/>
                    <w:snapToGrid w:val="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不涉及水泥熟料等行业；项目不涉及锅炉的使用。</w:t>
                  </w:r>
                </w:p>
              </w:tc>
              <w:tc>
                <w:tcPr>
                  <w:tcW w:w="987" w:type="dxa"/>
                  <w:vAlign w:val="center"/>
                </w:tcPr>
                <w:p w14:paraId="5D277F18">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14:paraId="19B6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continue"/>
                  <w:vAlign w:val="center"/>
                </w:tcPr>
                <w:p w14:paraId="1D6D722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69708FD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shd w:val="clear" w:color="auto" w:fill="auto"/>
                  <w:vAlign w:val="center"/>
                </w:tcPr>
                <w:p w14:paraId="4A25AFEB">
                  <w:pPr>
                    <w:widowControl/>
                    <w:adjustRightInd w:val="0"/>
                    <w:snapToGrid w:val="0"/>
                    <w:jc w:val="both"/>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t>第八条</w:t>
                  </w:r>
                  <w:r>
                    <w:rPr>
                      <w:rFonts w:hint="eastAsia"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t xml:space="preserve"> </w:t>
                  </w:r>
                  <w:r>
                    <w:rPr>
                      <w:rFonts w:hint="default"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t>推进汽车涂装、印刷包装、金属容器制造、汽车维修等行业VOCs深度治理，推动低挥发性有机物含量产品纳入政府绿色采购名录；涉及VOCs排放的工业企业应加强源头控制，使用低（无）VOCs含量的原辅料，加强废气收集减少无组织排放，并安装高效治理设施；严格执行大气污染物特别排放限值。</w:t>
                  </w:r>
                </w:p>
              </w:tc>
              <w:tc>
                <w:tcPr>
                  <w:tcW w:w="2369" w:type="dxa"/>
                  <w:shd w:val="clear" w:color="auto" w:fill="auto"/>
                  <w:vAlign w:val="center"/>
                </w:tcPr>
                <w:p w14:paraId="2F596F14">
                  <w:pPr>
                    <w:adjustRightInd w:val="0"/>
                    <w:snapToGrid w:val="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根据后文分析，项目使用水性漆满足</w:t>
                  </w:r>
                  <w:r>
                    <w:rPr>
                      <w:rFonts w:hint="eastAsia"/>
                      <w:color w:val="000000" w:themeColor="text1"/>
                      <w:highlight w:val="none"/>
                      <w:lang w:val="en-US" w:eastAsia="zh-CN"/>
                      <w14:textFill>
                        <w14:solidFill>
                          <w14:schemeClr w14:val="tx1"/>
                        </w14:solidFill>
                      </w14:textFill>
                    </w:rPr>
                    <w:t>《低挥发性有机化合物含量涂料产品技术要求》（GB/T38597-2020），项目喷涂位于全密闭房间内，废气收集效率较高，喷涂废气处理工艺为二级活性炭吸附处理，属于可行技术。</w:t>
                  </w:r>
                </w:p>
              </w:tc>
              <w:tc>
                <w:tcPr>
                  <w:tcW w:w="987" w:type="dxa"/>
                  <w:vAlign w:val="center"/>
                </w:tcPr>
                <w:p w14:paraId="2AAAEC27">
                  <w:pPr>
                    <w:adjustRightInd w:val="0"/>
                    <w:snapToGrid w:val="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14:paraId="315E9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continue"/>
                  <w:vAlign w:val="center"/>
                </w:tcPr>
                <w:p w14:paraId="691B136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3909B3DB">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shd w:val="clear" w:color="auto" w:fill="auto"/>
                  <w:vAlign w:val="center"/>
                </w:tcPr>
                <w:p w14:paraId="564F0959">
                  <w:pPr>
                    <w:widowControl/>
                    <w:adjustRightInd w:val="0"/>
                    <w:snapToGrid w:val="0"/>
                    <w:jc w:val="both"/>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第九条</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工业集聚区应当按照有关规定配套建设相应的污水集中处理设施，安装自动监测设备，工业集聚区内的企业向污水集中处理设施排放工业废水的，应当按照国家有关规定进行预处理，达到集中处理设施处理工艺要求后方可排放。璧南河、璧北河、梅江河流域新建工业集聚区污水处理厂、新建城市生活污水处理厂主要指标（COD、BOD</w:t>
                  </w:r>
                  <w:r>
                    <w:rPr>
                      <w:rFonts w:hint="default" w:ascii="Times New Roman" w:hAnsi="Times New Roman" w:eastAsia="宋体" w:cs="Times New Roman"/>
                      <w:color w:val="000000" w:themeColor="text1"/>
                      <w:sz w:val="21"/>
                      <w:szCs w:val="21"/>
                      <w:shd w:val="clear" w:color="auto" w:fill="FFFFFF"/>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氨氮、总磷）按照《地表水环境质量标准》（GB3838—2002）Ⅳ类水质标准、其余指标按照《城镇污水处理厂污染物排放标准》（GB18918—2002）一级A标及以上排放标准设计、施工、验收。建制乡镇生活污水处理施出水水质不得低于《城镇污水处理厂污染物排放标准》（GB18918—2002）一级A标排放标准。对现有截留制排水管网实施雨污分流改造，针对无法彻底雨污分流的老城区，尊重现实合理保留截留制区域，提高截留倍数；对新建的排水管网，全部按照雨污分流模式实施建设。</w:t>
                  </w:r>
                </w:p>
              </w:tc>
              <w:tc>
                <w:tcPr>
                  <w:tcW w:w="2369" w:type="dxa"/>
                  <w:shd w:val="clear" w:color="auto" w:fill="auto"/>
                  <w:vAlign w:val="center"/>
                </w:tcPr>
                <w:p w14:paraId="6BA3AADF">
                  <w:pPr>
                    <w:pStyle w:val="12"/>
                    <w:adjustRightInd w:val="0"/>
                    <w:spacing w:before="0" w:after="0" w:line="240" w:lineRule="auto"/>
                    <w:ind w:right="0"/>
                    <w:jc w:val="both"/>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本项目污水依托重庆市霞艺汽车配件制造有限公司已建生化池进行预处理，达《污水综合排放标准》三级标准后进入市政污水</w:t>
                  </w:r>
                  <w:r>
                    <w:rPr>
                      <w:rFonts w:hint="default" w:ascii="Times New Roman" w:hAnsi="Times New Roman" w:cs="Times New Roman"/>
                      <w:color w:val="000000" w:themeColor="text1"/>
                      <w:kern w:val="0"/>
                      <w:sz w:val="21"/>
                      <w:szCs w:val="21"/>
                      <w:lang w:val="en-US" w:eastAsia="zh-CN"/>
                      <w14:textFill>
                        <w14:solidFill>
                          <w14:schemeClr w14:val="tx1"/>
                        </w14:solidFill>
                      </w14:textFill>
                    </w:rPr>
                    <w:t>管网，</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再由青杠污水处理厂深度处理，COD、BOD</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、NH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-N、TP达《地表水环境质量标准》（GB3838-2002）IV类标准，其余污染物达《城镇污水处理厂污染物排放标准》（GB18918-2002）一级A标准排入璧南河</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987" w:type="dxa"/>
                  <w:vAlign w:val="center"/>
                </w:tcPr>
                <w:p w14:paraId="05F170C4">
                  <w:pPr>
                    <w:adjustRightInd w:val="0"/>
                    <w:snapToGrid w:val="0"/>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14:paraId="65CB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continue"/>
                  <w:vAlign w:val="center"/>
                </w:tcPr>
                <w:p w14:paraId="1CCF4EF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40FD2A4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shd w:val="clear" w:color="auto" w:fill="auto"/>
                  <w:vAlign w:val="center"/>
                </w:tcPr>
                <w:p w14:paraId="22341298">
                  <w:pPr>
                    <w:widowControl/>
                    <w:adjustRightInd w:val="0"/>
                    <w:snapToGrid w:val="0"/>
                    <w:jc w:val="both"/>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第十条</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新、改、扩建重点行业（铅蓄电池制造业、皮革糅制加工业、电镀行业）重点重金属污染物排放执行</w:t>
                  </w:r>
                  <w:r>
                    <w:rPr>
                      <w:rFonts w:hint="eastAsia" w:ascii="Times New Roman" w:hAnsi="Times New Roman" w:eastAsia="宋体" w:cs="Times New Roman"/>
                      <w:color w:val="000000" w:themeColor="text1"/>
                      <w:sz w:val="21"/>
                      <w:szCs w:val="21"/>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等量替代</w:t>
                  </w:r>
                  <w:r>
                    <w:rPr>
                      <w:rFonts w:hint="eastAsia" w:ascii="Times New Roman" w:hAnsi="Times New Roman" w:eastAsia="宋体" w:cs="Times New Roman"/>
                      <w:color w:val="000000" w:themeColor="text1"/>
                      <w:sz w:val="21"/>
                      <w:szCs w:val="21"/>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原则。</w:t>
                  </w:r>
                </w:p>
              </w:tc>
              <w:tc>
                <w:tcPr>
                  <w:tcW w:w="2369" w:type="dxa"/>
                  <w:shd w:val="clear" w:color="auto" w:fill="auto"/>
                  <w:vAlign w:val="center"/>
                </w:tcPr>
                <w:p w14:paraId="04D9F89E">
                  <w:pPr>
                    <w:adjustRightInd w:val="0"/>
                    <w:snapToGrid w:val="0"/>
                    <w:jc w:val="both"/>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不涉及</w:t>
                  </w: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铅蓄电池制造业、皮革糅制加工业、电镀行业</w:t>
                  </w:r>
                  <w:r>
                    <w:rPr>
                      <w:rFonts w:hint="eastAsia" w:ascii="Times New Roman" w:hAnsi="Times New Roman" w:eastAsia="宋体" w:cs="Times New Roman"/>
                      <w:color w:val="000000" w:themeColor="text1"/>
                      <w:sz w:val="21"/>
                      <w:szCs w:val="21"/>
                      <w:shd w:val="clear" w:color="auto" w:fill="FFFFFF"/>
                      <w:lang w:val="en-US" w:eastAsia="zh-CN"/>
                      <w14:textFill>
                        <w14:solidFill>
                          <w14:schemeClr w14:val="tx1"/>
                        </w14:solidFill>
                      </w14:textFill>
                    </w:rPr>
                    <w:t>等行业。</w:t>
                  </w:r>
                </w:p>
              </w:tc>
              <w:tc>
                <w:tcPr>
                  <w:tcW w:w="987" w:type="dxa"/>
                  <w:vAlign w:val="center"/>
                </w:tcPr>
                <w:p w14:paraId="5CD7BAD5">
                  <w:pPr>
                    <w:adjustRightInd w:val="0"/>
                    <w:snapToGrid w:val="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符合</w:t>
                  </w:r>
                </w:p>
              </w:tc>
            </w:tr>
            <w:tr w14:paraId="2AC76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1C73CE6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13BDF314">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shd w:val="clear" w:color="auto" w:fill="auto"/>
                  <w:vAlign w:val="center"/>
                </w:tcPr>
                <w:p w14:paraId="7D673CB1">
                  <w:pPr>
                    <w:widowControl/>
                    <w:adjustRightInd w:val="0"/>
                    <w:snapToGrid w:val="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第十一条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进一步提高城镇生活污水处理率，到2025年全区城镇污水处理率达到98%以上；璧南河、璧北河、梅江河流域建设聚居点生活污水处理设施，到2025年全区农村常住人口200户（500人）的人口集居区实现治理设施全覆盖，农村生活污水治理率达到60%。</w:t>
                  </w:r>
                </w:p>
              </w:tc>
              <w:tc>
                <w:tcPr>
                  <w:tcW w:w="2369" w:type="dxa"/>
                  <w:shd w:val="clear" w:color="auto" w:fill="auto"/>
                  <w:vAlign w:val="center"/>
                </w:tcPr>
                <w:p w14:paraId="508E5204">
                  <w:pPr>
                    <w:pStyle w:val="28"/>
                    <w:adjustRightInd w:val="0"/>
                    <w:spacing w:before="0" w:after="0" w:line="240" w:lineRule="auto"/>
                    <w:ind w:right="0" w:right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本项目生活污水依托</w:t>
                  </w:r>
                  <w:r>
                    <w:rPr>
                      <w:rFonts w:hint="eastAsia" w:ascii="Times New Roman" w:hAnsi="Times New Roman" w:cs="Times New Roman"/>
                      <w:color w:val="000000" w:themeColor="text1"/>
                      <w:kern w:val="0"/>
                      <w:sz w:val="21"/>
                      <w:szCs w:val="21"/>
                      <w:lang w:val="en-US" w:eastAsia="zh-CN"/>
                      <w14:textFill>
                        <w14:solidFill>
                          <w14:schemeClr w14:val="tx1"/>
                        </w14:solidFill>
                      </w14:textFill>
                    </w:rPr>
                    <w:t>重庆市霞艺汽车配件制造有限公司已建生化池进行预处理达《污水综合排放</w:t>
                  </w:r>
                  <w:r>
                    <w:rPr>
                      <w:rFonts w:hint="default" w:ascii="Times New Roman" w:hAnsi="Times New Roman" w:cs="Times New Roman"/>
                      <w:color w:val="000000" w:themeColor="text1"/>
                      <w:kern w:val="0"/>
                      <w:sz w:val="21"/>
                      <w:szCs w:val="21"/>
                      <w:lang w:val="en-US" w:eastAsia="zh-CN"/>
                      <w14:textFill>
                        <w14:solidFill>
                          <w14:schemeClr w14:val="tx1"/>
                        </w14:solidFill>
                      </w14:textFill>
                    </w:rPr>
                    <w:t>标准》三级标准后进入市政污水管网，</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再由青杠污水处理厂深度处理，COD、BOD</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5</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、NH</w:t>
                  </w:r>
                  <w:r>
                    <w:rPr>
                      <w:rFonts w:hint="default" w:ascii="Times New Roman" w:hAnsi="Times New Roman" w:cs="Times New Roman"/>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-N、TP达《地表水环境质量标准》（GB3838-2002）IV类标准，其余污染物达《城镇污水处理厂污染物排放标准》（GB18918-2002）一级A标准排入璧南河</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987" w:type="dxa"/>
                  <w:vAlign w:val="center"/>
                </w:tcPr>
                <w:p w14:paraId="28CD7D31">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796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continue"/>
                  <w:vAlign w:val="center"/>
                </w:tcPr>
                <w:p w14:paraId="215824E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0C55AA1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shd w:val="clear" w:color="auto" w:fill="auto"/>
                  <w:vAlign w:val="center"/>
                </w:tcPr>
                <w:p w14:paraId="7450FEAE">
                  <w:pPr>
                    <w:widowControl/>
                    <w:adjustRightInd w:val="0"/>
                    <w:snapToGrid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第十二条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强化农业面源污染治理，优化结构施肥，持续开展农药减量控害，推广生物农药和有机肥。实施畜禽养殖污染治理，持续推进畜禽养殖业</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种养结合</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循环发展，建立生态养殖和种养集合生产模式，推进畜禽养殖粪污收集、贮存、处理与利用等环节基础设施的标准化建设和升级改造，加强畜禽养殖粪污资源化利用。到2025年，规模养殖场粪污处理设施装备配置率达到100%，畜禽粪污综合利用率达到90%。</w:t>
                  </w:r>
                </w:p>
              </w:tc>
              <w:tc>
                <w:tcPr>
                  <w:tcW w:w="2369" w:type="dxa"/>
                  <w:shd w:val="clear" w:color="auto" w:fill="auto"/>
                  <w:vAlign w:val="center"/>
                </w:tcPr>
                <w:p w14:paraId="33428369">
                  <w:pPr>
                    <w:pStyle w:val="28"/>
                    <w:adjustRightInd w:val="0"/>
                    <w:spacing w:before="0" w:after="0" w:line="240" w:lineRule="auto"/>
                    <w:ind w:right="0" w:rightChars="0"/>
                    <w:jc w:val="both"/>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不涉及</w:t>
                  </w:r>
                  <w:r>
                    <w:rPr>
                      <w:rFonts w:hint="default" w:ascii="Times New Roman" w:hAnsi="Times New Roman" w:eastAsia="宋体" w:cs="Times New Roman"/>
                      <w:color w:val="000000" w:themeColor="text1"/>
                      <w:sz w:val="21"/>
                      <w:szCs w:val="21"/>
                      <w14:textFill>
                        <w14:solidFill>
                          <w14:schemeClr w14:val="tx1"/>
                        </w14:solidFill>
                      </w14:textFill>
                    </w:rPr>
                    <w:t>畜禽养殖</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987" w:type="dxa"/>
                  <w:vAlign w:val="center"/>
                </w:tcPr>
                <w:p w14:paraId="03D965F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A33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6909079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7C37CD4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shd w:val="clear" w:color="auto" w:fill="auto"/>
                  <w:vAlign w:val="center"/>
                </w:tcPr>
                <w:p w14:paraId="1A7BA6AA">
                  <w:pPr>
                    <w:widowControl/>
                    <w:adjustRightInd w:val="0"/>
                    <w:snapToGrid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第十三条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控制交通污染，持续淘汰老旧车辆。加强油品质量监管，全面供应国六标准车用汽柴油。优化调整交通运输结构，构建“车—油—路”绿色交通体系，制定客运、物流车辆的新（清洁）能源汽车推广政策，加快基础设施（充电设施、LNG加气站等）建设。</w:t>
                  </w:r>
                </w:p>
              </w:tc>
              <w:tc>
                <w:tcPr>
                  <w:tcW w:w="2369" w:type="dxa"/>
                  <w:shd w:val="clear" w:color="auto" w:fill="auto"/>
                  <w:vAlign w:val="center"/>
                </w:tcPr>
                <w:p w14:paraId="1590FCEC">
                  <w:pPr>
                    <w:pStyle w:val="28"/>
                    <w:adjustRightInd w:val="0"/>
                    <w:spacing w:before="0" w:after="0" w:line="240" w:lineRule="auto"/>
                    <w:ind w:right="0" w:rightChars="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不涉及</w:t>
                  </w:r>
                  <w:r>
                    <w:rPr>
                      <w:rFonts w:hint="default" w:ascii="Times New Roman" w:hAnsi="Times New Roman" w:eastAsia="宋体" w:cs="Times New Roman"/>
                      <w:color w:val="000000" w:themeColor="text1"/>
                      <w:sz w:val="21"/>
                      <w:szCs w:val="21"/>
                      <w14:textFill>
                        <w14:solidFill>
                          <w14:schemeClr w14:val="tx1"/>
                        </w14:solidFill>
                      </w14:textFill>
                    </w:rPr>
                    <w:t>交通污染</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987" w:type="dxa"/>
                  <w:vAlign w:val="center"/>
                </w:tcPr>
                <w:p w14:paraId="23B31F7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79410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4A7A34F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033C380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3256ADC7">
                  <w:pPr>
                    <w:widowControl/>
                    <w:adjustRightInd w:val="0"/>
                    <w:snapToGrid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第十四条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严格控制施工扬尘，持续开展智慧工地建设，推进建成区施工工地喷淋喷雾系统全覆盖。加强道路扬尘控制，严格落实</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定车辆、定线路、定渣场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369" w:type="dxa"/>
                  <w:vAlign w:val="center"/>
                </w:tcPr>
                <w:p w14:paraId="60C9235C">
                  <w:pPr>
                    <w:pStyle w:val="28"/>
                    <w:adjustRightInd w:val="0"/>
                    <w:spacing w:before="0" w:after="0" w:line="240" w:lineRule="auto"/>
                    <w:ind w:right="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本项目施工期主要为设备安装，不涉及土建工程和施工扬尘。</w:t>
                  </w:r>
                </w:p>
              </w:tc>
              <w:tc>
                <w:tcPr>
                  <w:tcW w:w="987" w:type="dxa"/>
                  <w:vAlign w:val="center"/>
                </w:tcPr>
                <w:p w14:paraId="6721CA93">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651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39424CB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restart"/>
                  <w:vAlign w:val="center"/>
                </w:tcPr>
                <w:p w14:paraId="46AB4E6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7202" w:type="dxa"/>
                  <w:vAlign w:val="center"/>
                </w:tcPr>
                <w:p w14:paraId="27EBBD24">
                  <w:pPr>
                    <w:widowControl/>
                    <w:adjustRightInd w:val="0"/>
                    <w:snapToGrid w:val="0"/>
                    <w:jc w:val="both"/>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olor w:val="000000" w:themeColor="text1"/>
                      <w14:textFill>
                        <w14:solidFill>
                          <w14:schemeClr w14:val="tx1"/>
                        </w14:solidFill>
                      </w14:textFill>
                    </w:rPr>
                    <w:t>第十五条</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深入开展重点流域、集中式饮用水源地、璧山高新区等突发环境事件风险评估，建立区域突发环境事件风险评估数据信息获取与动态更新机制。落实企业突发环境事件风险评估制度，推进突发环境事件风险分类分级管理，严格监管重大突发环境事件风险企业。</w:t>
                  </w:r>
                </w:p>
              </w:tc>
              <w:tc>
                <w:tcPr>
                  <w:tcW w:w="2369" w:type="dxa"/>
                  <w:vAlign w:val="center"/>
                </w:tcPr>
                <w:p w14:paraId="4479EB82">
                  <w:pPr>
                    <w:pStyle w:val="28"/>
                    <w:adjustRightInd w:val="0"/>
                    <w:spacing w:before="0" w:after="0" w:line="240" w:lineRule="auto"/>
                    <w:ind w:right="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本项目营运期按要求进行环境事件风险评估，并编制突发环境事件应急预案，进行分级管理。</w:t>
                  </w:r>
                </w:p>
              </w:tc>
              <w:tc>
                <w:tcPr>
                  <w:tcW w:w="987" w:type="dxa"/>
                  <w:vAlign w:val="center"/>
                </w:tcPr>
                <w:p w14:paraId="491F935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3A285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4558186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599EBAE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16411331">
                  <w:pPr>
                    <w:widowControl/>
                    <w:adjustRightInd w:val="0"/>
                    <w:snapToGrid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第十六条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开展</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两场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（危险废物处置场、垃圾填埋场）地下水环境状况调查，评估地下水环境风险，完善水环境风险应急能力。</w:t>
                  </w:r>
                </w:p>
              </w:tc>
              <w:tc>
                <w:tcPr>
                  <w:tcW w:w="2369" w:type="dxa"/>
                  <w:vAlign w:val="center"/>
                </w:tcPr>
                <w:p w14:paraId="492D3DF9">
                  <w:pPr>
                    <w:pStyle w:val="28"/>
                    <w:adjustRightInd w:val="0"/>
                    <w:spacing w:before="0" w:after="0" w:line="240" w:lineRule="auto"/>
                    <w:ind w:right="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w:t>
                  </w:r>
                  <w:r>
                    <w:rPr>
                      <w:rFonts w:hint="eastAsia" w:ascii="Times New Roman" w:hAnsi="Times New Roman" w:cs="Times New Roman"/>
                      <w:color w:val="000000" w:themeColor="text1"/>
                      <w:sz w:val="21"/>
                      <w:szCs w:val="21"/>
                      <w:lang w:val="en-US" w:eastAsia="zh-CN"/>
                      <w14:textFill>
                        <w14:solidFill>
                          <w14:schemeClr w14:val="tx1"/>
                        </w14:solidFill>
                      </w14:textFill>
                    </w:rPr>
                    <w:t>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不涉及</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两场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w:t>
                  </w:r>
                </w:p>
              </w:tc>
              <w:tc>
                <w:tcPr>
                  <w:tcW w:w="987" w:type="dxa"/>
                  <w:vAlign w:val="center"/>
                </w:tcPr>
                <w:p w14:paraId="57E4003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2B99E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6C034A6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3B8DCDC1">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202" w:type="dxa"/>
                  <w:vAlign w:val="center"/>
                </w:tcPr>
                <w:p w14:paraId="3B48D941">
                  <w:pPr>
                    <w:widowControl/>
                    <w:adjustRightInd w:val="0"/>
                    <w:snapToGrid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第十七</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条严格落实和健全环境风险评估制度，限制实施涉及</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高环境风险</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产品名录的工业项目。</w:t>
                  </w:r>
                </w:p>
              </w:tc>
              <w:tc>
                <w:tcPr>
                  <w:tcW w:w="2369" w:type="dxa"/>
                  <w:vAlign w:val="center"/>
                </w:tcPr>
                <w:p w14:paraId="07E3C22F">
                  <w:pPr>
                    <w:pStyle w:val="29"/>
                    <w:snapToGrid w:val="0"/>
                    <w:spacing w:line="240"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本项目营运期按要求进行环境事件风险评估，</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本项目不属于</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高环境风险</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产品名录的工业项目。</w:t>
                  </w:r>
                </w:p>
              </w:tc>
              <w:tc>
                <w:tcPr>
                  <w:tcW w:w="987" w:type="dxa"/>
                  <w:shd w:val="clear" w:color="auto" w:fill="auto"/>
                  <w:vAlign w:val="center"/>
                </w:tcPr>
                <w:p w14:paraId="258F86D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4147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5B076CA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restart"/>
                  <w:vAlign w:val="center"/>
                </w:tcPr>
                <w:p w14:paraId="73FFD19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资</w:t>
                  </w:r>
                  <w:r>
                    <w:rPr>
                      <w:rFonts w:hint="default" w:ascii="Times New Roman" w:hAnsi="Times New Roman" w:eastAsia="宋体" w:cs="Times New Roman"/>
                      <w:color w:val="000000" w:themeColor="text1"/>
                      <w:sz w:val="21"/>
                      <w:szCs w:val="21"/>
                      <w14:textFill>
                        <w14:solidFill>
                          <w14:schemeClr w14:val="tx1"/>
                        </w14:solidFill>
                      </w14:textFill>
                    </w:rPr>
                    <w:t>源利用效率</w:t>
                  </w:r>
                </w:p>
              </w:tc>
              <w:tc>
                <w:tcPr>
                  <w:tcW w:w="7202" w:type="dxa"/>
                  <w:vAlign w:val="center"/>
                </w:tcPr>
                <w:p w14:paraId="1B2B1A07">
                  <w:pPr>
                    <w:widowControl/>
                    <w:adjustRightInd w:val="0"/>
                    <w:snapToGrid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第十八条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执行重点管控单元市级总体要求第十八条、第十九条、第二十条、第二十一条、第二十二条。</w:t>
                  </w:r>
                </w:p>
              </w:tc>
              <w:tc>
                <w:tcPr>
                  <w:tcW w:w="2369" w:type="dxa"/>
                  <w:vAlign w:val="center"/>
                </w:tcPr>
                <w:p w14:paraId="08F007C6">
                  <w:pPr>
                    <w:pStyle w:val="29"/>
                    <w:snapToGrid w:val="0"/>
                    <w:spacing w:line="240" w:lineRule="auto"/>
                    <w:jc w:val="both"/>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根据前文描述，项目符合相关要求</w:t>
                  </w:r>
                  <w:r>
                    <w:rPr>
                      <w:rFonts w:hint="default" w:ascii="Times New Roman" w:hAnsi="Times New Roman" w:eastAsia="宋体" w:cs="Times New Roman"/>
                      <w:color w:val="000000" w:themeColor="text1"/>
                      <w:kern w:val="0"/>
                      <w:sz w:val="21"/>
                      <w:szCs w:val="21"/>
                      <w14:textFill>
                        <w14:solidFill>
                          <w14:schemeClr w14:val="tx1"/>
                        </w14:solidFill>
                      </w14:textFill>
                    </w:rPr>
                    <w:t>。</w:t>
                  </w:r>
                </w:p>
              </w:tc>
              <w:tc>
                <w:tcPr>
                  <w:tcW w:w="987" w:type="dxa"/>
                  <w:shd w:val="clear" w:color="auto" w:fill="auto"/>
                  <w:vAlign w:val="center"/>
                </w:tcPr>
                <w:p w14:paraId="23B0FB9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A120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4934B5CB">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47A276A2">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7202" w:type="dxa"/>
                  <w:vAlign w:val="center"/>
                </w:tcPr>
                <w:p w14:paraId="4F2C7404">
                  <w:pPr>
                    <w:widowControl/>
                    <w:adjustRightInd w:val="0"/>
                    <w:snapToGrid w:val="0"/>
                    <w:jc w:val="both"/>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第十九条</w:t>
                  </w:r>
                  <w:r>
                    <w:rPr>
                      <w:rFonts w:hint="eastAsia"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 xml:space="preserve"> </w:t>
                  </w: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推进</w:t>
                  </w:r>
                  <w:r>
                    <w:rPr>
                      <w:rFonts w:hint="eastAsia" w:ascii="Times New Roman" w:hAnsi="Times New Roman" w:eastAsia="宋体" w:cs="Times New Roman"/>
                      <w:i w:val="0"/>
                      <w:iCs w:val="0"/>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一园一策</w:t>
                  </w:r>
                  <w:r>
                    <w:rPr>
                      <w:rFonts w:hint="eastAsia" w:ascii="Times New Roman" w:hAnsi="Times New Roman" w:eastAsia="宋体" w:cs="Times New Roman"/>
                      <w:i w:val="0"/>
                      <w:iCs w:val="0"/>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w:t>
                  </w:r>
                  <w:r>
                    <w:rPr>
                      <w:rFonts w:hint="eastAsia" w:ascii="Times New Roman" w:hAnsi="Times New Roman" w:eastAsia="宋体" w:cs="Times New Roman"/>
                      <w:i w:val="0"/>
                      <w:iCs w:val="0"/>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一企一策</w:t>
                  </w:r>
                  <w:r>
                    <w:rPr>
                      <w:rFonts w:hint="eastAsia" w:ascii="Times New Roman" w:hAnsi="Times New Roman" w:eastAsia="宋体" w:cs="Times New Roman"/>
                      <w:i w:val="0"/>
                      <w:iCs w:val="0"/>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i w:val="0"/>
                      <w:iCs w:val="0"/>
                      <w:color w:val="000000" w:themeColor="text1"/>
                      <w:sz w:val="21"/>
                      <w:szCs w:val="21"/>
                      <w:u w:val="none"/>
                      <w14:textFill>
                        <w14:solidFill>
                          <w14:schemeClr w14:val="tx1"/>
                        </w14:solidFill>
                      </w14:textFill>
                    </w:rPr>
                    <w:t>，促进建材、有色金属、电镀、涂装、包装印刷、印染等行业升级改造和绿色低碳转型，鼓励工业企业实施绿色制造工程。</w:t>
                  </w:r>
                </w:p>
              </w:tc>
              <w:tc>
                <w:tcPr>
                  <w:tcW w:w="2369" w:type="dxa"/>
                  <w:vAlign w:val="center"/>
                </w:tcPr>
                <w:p w14:paraId="4E3FF6B8">
                  <w:pPr>
                    <w:pStyle w:val="29"/>
                    <w:snapToGrid w:val="0"/>
                    <w:spacing w:line="240" w:lineRule="auto"/>
                    <w:jc w:val="both"/>
                    <w:rPr>
                      <w:rFonts w:hint="eastAsia"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项目使用水性漆满足《低挥发性有机化合物含量涂料产品技术要求》（GB/T38597-2020）。</w:t>
                  </w:r>
                </w:p>
              </w:tc>
              <w:tc>
                <w:tcPr>
                  <w:tcW w:w="987" w:type="dxa"/>
                  <w:shd w:val="clear" w:color="auto" w:fill="auto"/>
                  <w:vAlign w:val="center"/>
                </w:tcPr>
                <w:p w14:paraId="466D6D9C">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287DB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32C5BAEB">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0B558BFB">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7202" w:type="dxa"/>
                  <w:vAlign w:val="center"/>
                </w:tcPr>
                <w:p w14:paraId="4C0C28E7">
                  <w:pPr>
                    <w:widowControl/>
                    <w:adjustRightInd w:val="0"/>
                    <w:snapToGrid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第</w:t>
                  </w:r>
                  <w:r>
                    <w:rPr>
                      <w:rFonts w:hint="default" w:ascii="Times New Roman" w:hAnsi="Times New Roman" w:eastAsia="宋体" w:cs="Times New Roman"/>
                      <w:color w:val="000000" w:themeColor="text1"/>
                      <w:sz w:val="21"/>
                      <w:szCs w:val="21"/>
                      <w14:textFill>
                        <w14:solidFill>
                          <w14:schemeClr w14:val="tx1"/>
                        </w14:solidFill>
                      </w14:textFill>
                    </w:rPr>
                    <w:t>二十条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构建汽车电池循环化产业链，完善动力电池回收、梯级利用和再资源化的循环利用体系，促进动力电池全价值链发展，推动产业链上下游高效协同发展。</w:t>
                  </w:r>
                </w:p>
              </w:tc>
              <w:tc>
                <w:tcPr>
                  <w:tcW w:w="2369" w:type="dxa"/>
                  <w:vAlign w:val="center"/>
                </w:tcPr>
                <w:p w14:paraId="75EB0BA1">
                  <w:pPr>
                    <w:pStyle w:val="29"/>
                    <w:snapToGrid w:val="0"/>
                    <w:spacing w:line="240" w:lineRule="auto"/>
                    <w:jc w:val="both"/>
                    <w:rPr>
                      <w:rFonts w:hint="eastAsia"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w:t>
                  </w:r>
                  <w:r>
                    <w:rPr>
                      <w:rFonts w:hint="eastAsia" w:ascii="Times New Roman" w:hAnsi="Times New Roman" w:cs="Times New Roman"/>
                      <w:color w:val="000000" w:themeColor="text1"/>
                      <w:sz w:val="21"/>
                      <w:szCs w:val="21"/>
                      <w:lang w:val="en-US" w:eastAsia="zh-CN"/>
                      <w14:textFill>
                        <w14:solidFill>
                          <w14:schemeClr w14:val="tx1"/>
                        </w14:solidFill>
                      </w14:textFill>
                    </w:rPr>
                    <w:t>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不涉及</w:t>
                  </w:r>
                  <w:r>
                    <w:rPr>
                      <w:rFonts w:hint="default" w:ascii="Times New Roman" w:hAnsi="Times New Roman" w:eastAsia="宋体" w:cs="Times New Roman"/>
                      <w:color w:val="000000" w:themeColor="text1"/>
                      <w:sz w:val="21"/>
                      <w:szCs w:val="21"/>
                      <w14:textFill>
                        <w14:solidFill>
                          <w14:schemeClr w14:val="tx1"/>
                        </w14:solidFill>
                      </w14:textFill>
                    </w:rPr>
                    <w:t>汽车电池循环化产业链</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987" w:type="dxa"/>
                  <w:shd w:val="clear" w:color="auto" w:fill="auto"/>
                  <w:vAlign w:val="center"/>
                </w:tcPr>
                <w:p w14:paraId="56854092">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48BA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646E6EB0">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Merge w:val="continue"/>
                  <w:vAlign w:val="center"/>
                </w:tcPr>
                <w:p w14:paraId="61678A69">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7202" w:type="dxa"/>
                  <w:vAlign w:val="center"/>
                </w:tcPr>
                <w:p w14:paraId="09942D97">
                  <w:pPr>
                    <w:widowControl/>
                    <w:adjustRightInd w:val="0"/>
                    <w:snapToGrid w:val="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第</w:t>
                  </w:r>
                  <w:r>
                    <w:rPr>
                      <w:rFonts w:hint="default" w:ascii="Times New Roman" w:hAnsi="Times New Roman" w:eastAsia="宋体" w:cs="Times New Roman"/>
                      <w:color w:val="000000" w:themeColor="text1"/>
                      <w:sz w:val="21"/>
                      <w:szCs w:val="21"/>
                      <w14:textFill>
                        <w14:solidFill>
                          <w14:schemeClr w14:val="tx1"/>
                        </w14:solidFill>
                      </w14:textFill>
                    </w:rPr>
                    <w:t>二十一条</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建设低碳交通设施，大力发展低碳交通，推广节能和新能源车辆。</w:t>
                  </w:r>
                </w:p>
              </w:tc>
              <w:tc>
                <w:tcPr>
                  <w:tcW w:w="2369" w:type="dxa"/>
                  <w:vAlign w:val="center"/>
                </w:tcPr>
                <w:p w14:paraId="6C386648">
                  <w:pPr>
                    <w:pStyle w:val="29"/>
                    <w:snapToGrid w:val="0"/>
                    <w:spacing w:line="240" w:lineRule="auto"/>
                    <w:jc w:val="both"/>
                    <w:rPr>
                      <w:rFonts w:hint="eastAsia"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本项目</w:t>
                  </w:r>
                  <w:r>
                    <w:rPr>
                      <w:rFonts w:hint="eastAsia" w:ascii="Times New Roman" w:hAnsi="Times New Roman" w:cs="Times New Roman"/>
                      <w:color w:val="000000" w:themeColor="text1"/>
                      <w:sz w:val="21"/>
                      <w:szCs w:val="21"/>
                      <w:lang w:val="en-US" w:eastAsia="zh-CN"/>
                      <w14:textFill>
                        <w14:solidFill>
                          <w14:schemeClr w14:val="tx1"/>
                        </w14:solidFill>
                      </w14:textFill>
                    </w:rPr>
                    <w:t>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不涉及</w:t>
                  </w:r>
                  <w:r>
                    <w:rPr>
                      <w:rFonts w:hint="default" w:ascii="Times New Roman" w:hAnsi="Times New Roman" w:eastAsia="宋体" w:cs="Times New Roman"/>
                      <w:color w:val="000000" w:themeColor="text1"/>
                      <w:sz w:val="21"/>
                      <w:szCs w:val="21"/>
                      <w14:textFill>
                        <w14:solidFill>
                          <w14:schemeClr w14:val="tx1"/>
                        </w14:solidFill>
                      </w14:textFill>
                    </w:rPr>
                    <w:t>低碳交通设施</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tc>
              <w:tc>
                <w:tcPr>
                  <w:tcW w:w="987" w:type="dxa"/>
                  <w:shd w:val="clear" w:color="auto" w:fill="auto"/>
                  <w:vAlign w:val="center"/>
                </w:tcPr>
                <w:p w14:paraId="2AE0AC36">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72E3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restart"/>
                  <w:vAlign w:val="center"/>
                </w:tcPr>
                <w:p w14:paraId="45EE917A">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单元管控要求</w:t>
                  </w:r>
                </w:p>
              </w:tc>
              <w:tc>
                <w:tcPr>
                  <w:tcW w:w="1054" w:type="dxa"/>
                  <w:vAlign w:val="center"/>
                </w:tcPr>
                <w:p w14:paraId="04917C3F">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空间布局约束</w:t>
                  </w:r>
                </w:p>
              </w:tc>
              <w:tc>
                <w:tcPr>
                  <w:tcW w:w="7202" w:type="dxa"/>
                  <w:vAlign w:val="center"/>
                </w:tcPr>
                <w:p w14:paraId="549E915E">
                  <w:pPr>
                    <w:widowControl/>
                    <w:numPr>
                      <w:ilvl w:val="0"/>
                      <w:numId w:val="0"/>
                    </w:numPr>
                    <w:ind w:leftChars="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1.璧山高新区新、改、扩建涉及VOCS排放的制鞋企业实行VOCS排放量等量替换。</w:t>
                  </w:r>
                </w:p>
                <w:p w14:paraId="4B3BA4BA">
                  <w:pPr>
                    <w:widowControl/>
                    <w:numPr>
                      <w:ilvl w:val="0"/>
                      <w:numId w:val="0"/>
                    </w:numPr>
                    <w:ind w:leftChars="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2.璧山高新区淘汰高污染、高环境风险的落后产能，严格限制高耗水工艺、技术、装备的工业项目入驻。</w:t>
                  </w:r>
                </w:p>
                <w:p w14:paraId="4ACB3C0D">
                  <w:pPr>
                    <w:widowControl/>
                    <w:numPr>
                      <w:ilvl w:val="0"/>
                      <w:numId w:val="0"/>
                    </w:numPr>
                    <w:ind w:leftChars="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紧邻居住用地的工业用地，禁止引入排放高噪声、异味气体等易扰民的工业项目，居住用地周边的未开发工业用地调整为一类工业用地。璧山城区璧泉街道上风向入驻涉及排放颗粒物、VOCs的工业企业，其污染物排放原则上严于国家或我市排放标准。</w:t>
                  </w:r>
                </w:p>
              </w:tc>
              <w:tc>
                <w:tcPr>
                  <w:tcW w:w="2369" w:type="dxa"/>
                  <w:vAlign w:val="center"/>
                </w:tcPr>
                <w:p w14:paraId="477EFE95">
                  <w:pPr>
                    <w:pStyle w:val="28"/>
                    <w:adjustRightInd w:val="0"/>
                    <w:spacing w:before="0" w:after="0" w:line="240" w:lineRule="auto"/>
                    <w:ind w:right="0"/>
                    <w:jc w:val="both"/>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1.本项目为</w:t>
                  </w:r>
                  <w:r>
                    <w:rPr>
                      <w:rFonts w:hint="eastAsia" w:cs="Times New Roman"/>
                      <w:color w:val="000000" w:themeColor="text1"/>
                      <w:sz w:val="21"/>
                      <w:szCs w:val="21"/>
                      <w:lang w:eastAsia="zh-CN"/>
                      <w14:textFill>
                        <w14:solidFill>
                          <w14:schemeClr w14:val="tx1"/>
                        </w14:solidFill>
                      </w14:textFill>
                    </w:rPr>
                    <w:t>摩托车零部件及配件制造生产</w:t>
                  </w:r>
                  <w:r>
                    <w:rPr>
                      <w:rFonts w:hint="default" w:ascii="Times New Roman" w:hAnsi="Times New Roman" w:eastAsia="宋体" w:cs="Times New Roman"/>
                      <w:color w:val="000000" w:themeColor="text1"/>
                      <w:sz w:val="21"/>
                      <w:szCs w:val="21"/>
                      <w14:textFill>
                        <w14:solidFill>
                          <w14:schemeClr w14:val="tx1"/>
                        </w14:solidFill>
                      </w14:textFill>
                    </w:rPr>
                    <w:t>项目</w:t>
                  </w:r>
                  <w:r>
                    <w:rPr>
                      <w:rFonts w:hint="default" w:ascii="Times New Roman" w:hAnsi="Times New Roman" w:eastAsia="宋体" w:cs="Times New Roman"/>
                      <w:color w:val="000000" w:themeColor="text1"/>
                      <w:kern w:val="0"/>
                      <w:sz w:val="21"/>
                      <w:szCs w:val="21"/>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不属于制鞋企业；</w:t>
                  </w:r>
                </w:p>
                <w:p w14:paraId="334F3C35">
                  <w:pP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2.本项目不属于</w:t>
                  </w:r>
                  <w:r>
                    <w:rPr>
                      <w:rFonts w:hint="default" w:ascii="Times New Roman" w:hAnsi="Times New Roman" w:eastAsia="宋体" w:cs="Times New Roman"/>
                      <w:color w:val="000000" w:themeColor="text1"/>
                      <w:sz w:val="21"/>
                      <w:szCs w:val="21"/>
                      <w14:textFill>
                        <w14:solidFill>
                          <w14:schemeClr w14:val="tx1"/>
                        </w14:solidFill>
                      </w14:textFill>
                    </w:rPr>
                    <w:t>高污染、高环境风险</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高耗水工艺、技术、装备的工业项目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314A0649">
                  <w:pPr>
                    <w:pStyle w:val="2"/>
                    <w:rPr>
                      <w:rFonts w:hint="default"/>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项目位于QM10-01/01地块，不紧邻居住用地；项目位于青杠街道，不涉及璧泉街道。</w:t>
                  </w:r>
                </w:p>
              </w:tc>
              <w:tc>
                <w:tcPr>
                  <w:tcW w:w="987" w:type="dxa"/>
                  <w:vAlign w:val="center"/>
                </w:tcPr>
                <w:p w14:paraId="0E12BB7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645D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0" w:type="dxa"/>
                  <w:vMerge w:val="continue"/>
                  <w:vAlign w:val="center"/>
                </w:tcPr>
                <w:p w14:paraId="115759F1">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Align w:val="center"/>
                </w:tcPr>
                <w:p w14:paraId="653A23D1">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污染物排放管控</w:t>
                  </w:r>
                </w:p>
              </w:tc>
              <w:tc>
                <w:tcPr>
                  <w:tcW w:w="7202" w:type="dxa"/>
                  <w:vAlign w:val="center"/>
                </w:tcPr>
                <w:p w14:paraId="146429AF">
                  <w:pPr>
                    <w:widowControl/>
                    <w:numPr>
                      <w:ilvl w:val="0"/>
                      <w:numId w:val="0"/>
                    </w:numP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璧山高新区涉及挥发性有机物排放重点企业应逐步安装VOCs在线监测设备，控制有组织废气的排放。</w:t>
                  </w:r>
                </w:p>
                <w:p w14:paraId="5781655F">
                  <w:pPr>
                    <w:widowControl/>
                    <w:numPr>
                      <w:ilvl w:val="0"/>
                      <w:numId w:val="0"/>
                    </w:num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.璧山高新区推进新能源汽车、智能装备制造等重点行业VOCs深度治理，建立完善的VOCs排放监管与监测长效机制。</w:t>
                  </w:r>
                </w:p>
              </w:tc>
              <w:tc>
                <w:tcPr>
                  <w:tcW w:w="2369" w:type="dxa"/>
                  <w:vAlign w:val="center"/>
                </w:tcPr>
                <w:p w14:paraId="75A42A19">
                  <w:pPr>
                    <w:pStyle w:val="28"/>
                    <w:adjustRightInd w:val="0"/>
                    <w:spacing w:before="0" w:after="0" w:line="240" w:lineRule="auto"/>
                    <w:ind w:right="0"/>
                    <w:jc w:val="both"/>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1.本项目不属于</w:t>
                  </w:r>
                  <w:r>
                    <w:rPr>
                      <w:rFonts w:hint="default" w:ascii="Times New Roman" w:hAnsi="Times New Roman" w:eastAsia="宋体" w:cs="Times New Roman"/>
                      <w:color w:val="000000" w:themeColor="text1"/>
                      <w:sz w:val="21"/>
                      <w:szCs w:val="21"/>
                      <w14:textFill>
                        <w14:solidFill>
                          <w14:schemeClr w14:val="tx1"/>
                        </w14:solidFill>
                      </w14:textFill>
                    </w:rPr>
                    <w:t>涉及挥发性有机物排放</w:t>
                  </w:r>
                  <w:r>
                    <w:rPr>
                      <w:rFonts w:hint="eastAsia" w:ascii="Times New Roman" w:hAnsi="Times New Roman" w:cs="Times New Roman"/>
                      <w:color w:val="000000" w:themeColor="text1"/>
                      <w:sz w:val="21"/>
                      <w:szCs w:val="21"/>
                      <w:lang w:val="en-US" w:eastAsia="zh-CN"/>
                      <w14:textFill>
                        <w14:solidFill>
                          <w14:schemeClr w14:val="tx1"/>
                        </w14:solidFill>
                      </w14:textFill>
                    </w:rPr>
                    <w:t>重点企业；</w:t>
                  </w:r>
                </w:p>
                <w:p w14:paraId="684A7450">
                  <w:pPr>
                    <w:rPr>
                      <w:rFonts w:hint="default"/>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2.本项目产生的有机废气收集后经处理达标后排放。</w:t>
                  </w:r>
                </w:p>
              </w:tc>
              <w:tc>
                <w:tcPr>
                  <w:tcW w:w="987" w:type="dxa"/>
                  <w:vAlign w:val="center"/>
                </w:tcPr>
                <w:p w14:paraId="16F4456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0004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737208A1">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Align w:val="center"/>
                </w:tcPr>
                <w:p w14:paraId="2B8719E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环境风险防控</w:t>
                  </w:r>
                </w:p>
              </w:tc>
              <w:tc>
                <w:tcPr>
                  <w:tcW w:w="7202" w:type="dxa"/>
                  <w:vAlign w:val="center"/>
                </w:tcPr>
                <w:p w14:paraId="3F00F3E2">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1.涉重金属企业应按相关要求设置围堰、应急事故池、切换装置、采取相应地面防渗处理等；涉及危险化学品储存及产生大量生产废水的工业企业应按相关要求采取相应的地面防渗措施和事故应急措施。</w:t>
                  </w:r>
                </w:p>
                <w:p w14:paraId="10341311">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2.加强电镀集中加工区污水处理厂及事故池的维护和监管，加强土壤风险重点管控区土壤及地下水监测。</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3.产生、利用或处置固体废物（含危险废物）的工业企业，在贮存、转移、利用、处置固体废物过程中，应配套建设防止污染环境的措施。</w:t>
                  </w:r>
                </w:p>
              </w:tc>
              <w:tc>
                <w:tcPr>
                  <w:tcW w:w="2369" w:type="dxa"/>
                  <w:vAlign w:val="center"/>
                </w:tcPr>
                <w:p w14:paraId="5B3A7BDE">
                  <w:pPr>
                    <w:pStyle w:val="28"/>
                    <w:adjustRightInd w:val="0"/>
                    <w:spacing w:before="0" w:after="0" w:line="240" w:lineRule="auto"/>
                    <w:ind w:right="0"/>
                    <w:jc w:val="both"/>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1.本项目</w:t>
                  </w:r>
                  <w:r>
                    <w:rPr>
                      <w:rFonts w:hint="eastAsia" w:ascii="Times New Roman" w:hAnsi="Times New Roman" w:cs="Times New Roman"/>
                      <w:color w:val="000000" w:themeColor="text1"/>
                      <w:lang w:val="en-US"/>
                      <w14:textFill>
                        <w14:solidFill>
                          <w14:schemeClr w14:val="tx1"/>
                        </w14:solidFill>
                      </w14:textFill>
                    </w:rPr>
                    <w:t>不属于涉重金属企业</w:t>
                  </w:r>
                  <w:r>
                    <w:rPr>
                      <w:rFonts w:hint="eastAsia" w:ascii="Times New Roman" w:hAnsi="Times New Roman" w:cs="Times New Roman"/>
                      <w:color w:val="000000" w:themeColor="text1"/>
                      <w:sz w:val="21"/>
                      <w:szCs w:val="21"/>
                      <w:lang w:val="en-US" w:eastAsia="zh-CN"/>
                      <w14:textFill>
                        <w14:solidFill>
                          <w14:schemeClr w14:val="tx1"/>
                        </w14:solidFill>
                      </w14:textFill>
                    </w:rPr>
                    <w:t>，项目采取分区防渗措施；</w:t>
                  </w:r>
                  <w:r>
                    <w:rPr>
                      <w:rFonts w:hint="eastAsia" w:ascii="Times New Roman" w:hAnsi="Times New Roman" w:cs="Times New Roman"/>
                      <w:color w:val="000000" w:themeColor="text1"/>
                      <w:sz w:val="21"/>
                      <w:szCs w:val="21"/>
                      <w:lang w:val="en-US" w:eastAsia="zh-CN"/>
                      <w14:textFill>
                        <w14:solidFill>
                          <w14:schemeClr w14:val="tx1"/>
                        </w14:solidFill>
                      </w14:textFill>
                    </w:rPr>
                    <w:br w:type="textWrapping"/>
                  </w:r>
                  <w:r>
                    <w:rPr>
                      <w:rFonts w:hint="eastAsia" w:ascii="Times New Roman" w:hAnsi="Times New Roman" w:cs="Times New Roman"/>
                      <w:color w:val="000000" w:themeColor="text1"/>
                      <w:sz w:val="21"/>
                      <w:szCs w:val="21"/>
                      <w:lang w:val="en-US" w:eastAsia="zh-CN"/>
                      <w14:textFill>
                        <w14:solidFill>
                          <w14:schemeClr w14:val="tx1"/>
                        </w14:solidFill>
                      </w14:textFill>
                    </w:rPr>
                    <w:t>2.本项目不涉及；</w:t>
                  </w:r>
                </w:p>
                <w:p w14:paraId="134336A2">
                  <w:pPr>
                    <w:rPr>
                      <w:rFonts w:hint="default"/>
                      <w:color w:val="000000" w:themeColor="text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3.本项目</w:t>
                  </w:r>
                  <w:r>
                    <w:rPr>
                      <w:rFonts w:hint="default" w:ascii="Times New Roman" w:hAnsi="Times New Roman" w:eastAsia="宋体" w:cs="Times New Roman"/>
                      <w:color w:val="000000" w:themeColor="text1"/>
                      <w:sz w:val="21"/>
                      <w:szCs w:val="21"/>
                      <w14:textFill>
                        <w14:solidFill>
                          <w14:schemeClr w14:val="tx1"/>
                        </w14:solidFill>
                      </w14:textFill>
                    </w:rPr>
                    <w:t>建成后将按要求落实环评提出的环境风险防范措施，建立环境风险防范制度，产生的一般固废、危废和生活垃圾合理收集、处置。</w:t>
                  </w:r>
                </w:p>
              </w:tc>
              <w:tc>
                <w:tcPr>
                  <w:tcW w:w="987" w:type="dxa"/>
                  <w:vAlign w:val="center"/>
                </w:tcPr>
                <w:p w14:paraId="06C290B9">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14:paraId="5611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0" w:type="dxa"/>
                  <w:vMerge w:val="continue"/>
                  <w:vAlign w:val="center"/>
                </w:tcPr>
                <w:p w14:paraId="0F8C1908">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054" w:type="dxa"/>
                  <w:vAlign w:val="center"/>
                </w:tcPr>
                <w:p w14:paraId="26D562FE">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资源开发利用效率</w:t>
                  </w:r>
                </w:p>
              </w:tc>
              <w:tc>
                <w:tcPr>
                  <w:tcW w:w="7202" w:type="dxa"/>
                  <w:vAlign w:val="center"/>
                </w:tcPr>
                <w:p w14:paraId="5FB1B6F1">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1.提高观音塘、青杠、丁家、来凤、三角滩和高新区等6座再生水厂再生水利用率；城市绿化、道路清扫、建筑施工用水等，在满足水质要求条件下，优先使用再生水。</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2.加强工业用水技术工艺改造，定期开展用水统计和用水合理性分析，利用高新区统一供水、废水集中治理，保障企业绿色低碳转型升级、工业废气处理设施改造和工业固体废物源头减量等过程中的用水需求，通过发展水资源厂内梯级利用、区域梯级利用和中水回用等措施，提高水循环利用率、降低单位产品耗水量。</w:t>
                  </w:r>
                </w:p>
                <w:p w14:paraId="0EC96843">
                  <w:pPr>
                    <w:widowControl/>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3.能源以天然气和电为主，重点企业严格按照《清洁生产促进法》等法规开展强制性清洁生产审核，鼓励非强制审核企业自愿开展清洁生产审核。</w:t>
                  </w:r>
                  <w:r>
                    <w:rPr>
                      <w:rFonts w:hint="default" w:ascii="Times New Roman" w:hAnsi="Times New Roman" w:eastAsia="宋体" w:cs="Times New Roman"/>
                      <w:color w:val="000000" w:themeColor="text1"/>
                      <w:sz w:val="21"/>
                      <w:szCs w:val="21"/>
                      <w14:textFill>
                        <w14:solidFill>
                          <w14:schemeClr w14:val="tx1"/>
                        </w14:solidFill>
                      </w14:textFill>
                    </w:rPr>
                    <w:br w:type="textWrapping"/>
                  </w:r>
                  <w:r>
                    <w:rPr>
                      <w:rFonts w:hint="default" w:ascii="Times New Roman" w:hAnsi="Times New Roman" w:eastAsia="宋体" w:cs="Times New Roman"/>
                      <w:color w:val="000000" w:themeColor="text1"/>
                      <w:sz w:val="21"/>
                      <w:szCs w:val="21"/>
                      <w14:textFill>
                        <w14:solidFill>
                          <w14:schemeClr w14:val="tx1"/>
                        </w14:solidFill>
                      </w14:textFill>
                    </w:rPr>
                    <w:t>4.璧山高新区实施近零碳园区建设，提升园区绿色低碳发展水平。发展低碳清洁能源，绿色基础设施建设不断完善，园区清洁能源使用率、水资源循环利用率、绿色建筑比例均达到国内领先水平。</w:t>
                  </w:r>
                </w:p>
              </w:tc>
              <w:tc>
                <w:tcPr>
                  <w:tcW w:w="2369" w:type="dxa"/>
                  <w:vAlign w:val="center"/>
                </w:tcPr>
                <w:p w14:paraId="596B558D">
                  <w:pPr>
                    <w:pStyle w:val="28"/>
                    <w:adjustRightInd w:val="0"/>
                    <w:spacing w:before="0" w:after="0" w:line="240" w:lineRule="auto"/>
                    <w:ind w:right="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1.本项目不涉及再生水利用</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br w:type="textWrapping"/>
                  </w:r>
                  <w:r>
                    <w:rPr>
                      <w:rFonts w:hint="eastAsia" w:ascii="Times New Roman" w:hAnsi="Times New Roman" w:cs="Times New Roman"/>
                      <w:color w:val="000000" w:themeColor="text1"/>
                      <w:sz w:val="21"/>
                      <w:szCs w:val="21"/>
                      <w:lang w:val="en-US" w:eastAsia="zh-CN"/>
                      <w14:textFill>
                        <w14:solidFill>
                          <w14:schemeClr w14:val="tx1"/>
                        </w14:solidFill>
                      </w14:textFill>
                    </w:rPr>
                    <w:t>2.本项目</w:t>
                  </w:r>
                  <w:r>
                    <w:rPr>
                      <w:rFonts w:hint="eastAsia" w:ascii="Times New Roman" w:hAnsi="Times New Roman" w:cs="Times New Roman"/>
                      <w:color w:val="000000" w:themeColor="text1"/>
                      <w:lang w:val="en-US"/>
                      <w14:textFill>
                        <w14:solidFill>
                          <w14:schemeClr w14:val="tx1"/>
                        </w14:solidFill>
                      </w14:textFill>
                    </w:rPr>
                    <w:t>生产废水日常添加药剂后经絮凝沉淀后，上清液回用，定期清掏污泥。</w:t>
                  </w:r>
                  <w:r>
                    <w:rPr>
                      <w:rFonts w:hint="eastAsia" w:ascii="Times New Roman" w:hAnsi="Times New Roman" w:cs="Times New Roman"/>
                      <w:color w:val="000000" w:themeColor="text1"/>
                      <w:lang w:val="en-US" w:eastAsia="zh-CN"/>
                      <w14:textFill>
                        <w14:solidFill>
                          <w14:schemeClr w14:val="tx1"/>
                        </w14:solidFill>
                      </w14:textFill>
                    </w:rPr>
                    <w:t>半年</w:t>
                  </w:r>
                  <w:r>
                    <w:rPr>
                      <w:rFonts w:hint="eastAsia" w:ascii="Times New Roman" w:hAnsi="Times New Roman" w:cs="Times New Roman"/>
                      <w:color w:val="000000" w:themeColor="text1"/>
                      <w:lang w:val="en-US"/>
                      <w14:textFill>
                        <w14:solidFill>
                          <w14:schemeClr w14:val="tx1"/>
                        </w14:solidFill>
                      </w14:textFill>
                    </w:rPr>
                    <w:t>后定期排入一体化污水处理站处理达标排放</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br w:type="textWrapping"/>
                  </w:r>
                  <w:r>
                    <w:rPr>
                      <w:rFonts w:hint="eastAsia" w:ascii="Times New Roman" w:hAnsi="Times New Roman" w:cs="Times New Roman"/>
                      <w:color w:val="000000" w:themeColor="text1"/>
                      <w:sz w:val="21"/>
                      <w:szCs w:val="21"/>
                      <w:lang w:val="en-US" w:eastAsia="zh-CN"/>
                      <w14:textFill>
                        <w14:solidFill>
                          <w14:schemeClr w14:val="tx1"/>
                        </w14:solidFill>
                      </w14:textFill>
                    </w:rPr>
                    <w:t>3.本项目使用能源为天然气和电，项目不属于重点企业；</w:t>
                  </w:r>
                  <w:r>
                    <w:rPr>
                      <w:rFonts w:hint="eastAsia" w:ascii="Times New Roman" w:hAnsi="Times New Roman" w:cs="Times New Roman"/>
                      <w:color w:val="000000" w:themeColor="text1"/>
                      <w:sz w:val="21"/>
                      <w:szCs w:val="21"/>
                      <w:lang w:val="en-US" w:eastAsia="zh-CN"/>
                      <w14:textFill>
                        <w14:solidFill>
                          <w14:schemeClr w14:val="tx1"/>
                        </w14:solidFill>
                      </w14:textFill>
                    </w:rPr>
                    <w:br w:type="textWrapping"/>
                  </w:r>
                  <w:r>
                    <w:rPr>
                      <w:rFonts w:hint="eastAsia" w:ascii="Times New Roman" w:hAnsi="Times New Roman" w:cs="Times New Roman"/>
                      <w:color w:val="000000" w:themeColor="text1"/>
                      <w:sz w:val="21"/>
                      <w:szCs w:val="21"/>
                      <w:lang w:val="en-US" w:eastAsia="zh-CN"/>
                      <w14:textFill>
                        <w14:solidFill>
                          <w14:schemeClr w14:val="tx1"/>
                        </w14:solidFill>
                      </w14:textFill>
                    </w:rPr>
                    <w:t>4.本项目使用能源为电和天然气，为清洁能源。</w:t>
                  </w:r>
                </w:p>
              </w:tc>
              <w:tc>
                <w:tcPr>
                  <w:tcW w:w="987" w:type="dxa"/>
                  <w:vAlign w:val="center"/>
                </w:tcPr>
                <w:p w14:paraId="4600E605">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14:paraId="1358BB5E">
            <w:pPr>
              <w:autoSpaceDE w:val="0"/>
              <w:autoSpaceDN w:val="0"/>
              <w:adjustRightInd w:val="0"/>
              <w:snapToGrid w:val="0"/>
              <w:spacing w:beforeLines="50" w:line="360" w:lineRule="auto"/>
              <w:ind w:firstLine="480" w:firstLineChars="200"/>
              <w:rPr>
                <w:color w:val="000000" w:themeColor="text1"/>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14:textFill>
                  <w14:solidFill>
                    <w14:schemeClr w14:val="tx1"/>
                  </w14:solidFill>
                </w14:textFill>
              </w:rPr>
              <w:t>综上所述，本项目建设符合</w:t>
            </w:r>
            <w:r>
              <w:rPr>
                <w:rFonts w:hint="eastAsia" w:cs="Times New Roman"/>
                <w:snapToGrid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三线一单</w:t>
            </w:r>
            <w:r>
              <w:rPr>
                <w:rFonts w:hint="eastAsia" w:cs="Times New Roman"/>
                <w:snapToGrid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相关要求。</w:t>
            </w:r>
          </w:p>
        </w:tc>
      </w:tr>
    </w:tbl>
    <w:p w14:paraId="53AB4159">
      <w:pPr>
        <w:pStyle w:val="2"/>
        <w:rPr>
          <w:color w:val="000000" w:themeColor="text1"/>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8"/>
        <w:gridCol w:w="8623"/>
      </w:tblGrid>
      <w:tr w14:paraId="634D46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97" w:hRule="atLeast"/>
          <w:jc w:val="center"/>
        </w:trPr>
        <w:tc>
          <w:tcPr>
            <w:tcW w:w="438" w:type="dxa"/>
            <w:vAlign w:val="center"/>
          </w:tcPr>
          <w:p w14:paraId="6FD069F4">
            <w:pPr>
              <w:pStyle w:val="12"/>
              <w:jc w:val="center"/>
              <w:rPr>
                <w:color w:val="000000" w:themeColor="text1"/>
                <w14:textFill>
                  <w14:solidFill>
                    <w14:schemeClr w14:val="tx1"/>
                  </w14:solidFill>
                </w14:textFill>
              </w:rPr>
            </w:pPr>
            <w:r>
              <w:rPr>
                <w:color w:val="000000" w:themeColor="text1"/>
                <w:sz w:val="24"/>
                <w:szCs w:val="24"/>
                <w14:textFill>
                  <w14:solidFill>
                    <w14:schemeClr w14:val="tx1"/>
                  </w14:solidFill>
                </w14:textFill>
              </w:rPr>
              <w:t>其他符合性分析</w:t>
            </w:r>
          </w:p>
        </w:tc>
        <w:tc>
          <w:tcPr>
            <w:tcW w:w="8432" w:type="dxa"/>
            <w:vAlign w:val="center"/>
          </w:tcPr>
          <w:p w14:paraId="101CFA69">
            <w:pPr>
              <w:tabs>
                <w:tab w:val="left" w:pos="7540"/>
              </w:tabs>
              <w:spacing w:line="360" w:lineRule="auto"/>
              <w:contextualSpacing/>
              <w:rPr>
                <w:b/>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w:t>
            </w:r>
            <w:r>
              <w:rPr>
                <w:b/>
                <w:color w:val="000000" w:themeColor="text1"/>
                <w:sz w:val="24"/>
                <w:szCs w:val="24"/>
                <w14:textFill>
                  <w14:solidFill>
                    <w14:schemeClr w14:val="tx1"/>
                  </w14:solidFill>
                </w14:textFill>
              </w:rPr>
              <w:t>与《重庆市发展和改革委员会关于印发重庆市产业投资准入工作手册的通知》（渝发改投资〔2022〕1436号）符合性分析</w:t>
            </w:r>
          </w:p>
          <w:p w14:paraId="3C61C8D1">
            <w:pPr>
              <w:tabs>
                <w:tab w:val="left" w:pos="7540"/>
              </w:tabs>
              <w:spacing w:line="360" w:lineRule="auto"/>
              <w:ind w:firstLine="480" w:firstLineChars="200"/>
              <w:contextualSpacing/>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本项目位于</w:t>
            </w:r>
            <w:r>
              <w:rPr>
                <w:rFonts w:hint="eastAsia"/>
                <w:color w:val="000000" w:themeColor="text1"/>
                <w:sz w:val="24"/>
                <w:szCs w:val="24"/>
                <w:lang w:eastAsia="zh-CN"/>
                <w14:textFill>
                  <w14:solidFill>
                    <w14:schemeClr w14:val="tx1"/>
                  </w14:solidFill>
                </w14:textFill>
              </w:rPr>
              <w:t>璧山高新技术产业开发区青杠-来凤组团</w:t>
            </w:r>
            <w:r>
              <w:rPr>
                <w:color w:val="000000" w:themeColor="text1"/>
                <w:sz w:val="24"/>
                <w:szCs w:val="24"/>
                <w14:textFill>
                  <w14:solidFill>
                    <w14:schemeClr w14:val="tx1"/>
                  </w14:solidFill>
                </w14:textFill>
              </w:rPr>
              <w:t>，属于</w:t>
            </w:r>
            <w:r>
              <w:rPr>
                <w:rFonts w:hint="eastAsia"/>
                <w:color w:val="000000" w:themeColor="text1"/>
                <w:sz w:val="24"/>
                <w:szCs w:val="24"/>
                <w14:textFill>
                  <w14:solidFill>
                    <w14:schemeClr w14:val="tx1"/>
                  </w14:solidFill>
                </w14:textFill>
              </w:rPr>
              <w:t>摩托车零部件及配件制造生产项目</w:t>
            </w:r>
            <w:r>
              <w:rPr>
                <w:color w:val="000000" w:themeColor="text1"/>
                <w:sz w:val="24"/>
                <w:szCs w:val="24"/>
                <w14:textFill>
                  <w14:solidFill>
                    <w14:schemeClr w14:val="tx1"/>
                  </w14:solidFill>
                </w14:textFill>
              </w:rPr>
              <w:t>，对照《重庆市产业投资准入工作手册》，不属于全市范围内不予准入的产业和限制准入类产业，符合《重庆市产业投资准入工作手册》中相关要求。详见下表。</w:t>
            </w:r>
          </w:p>
          <w:p w14:paraId="64100C72">
            <w:pPr>
              <w:autoSpaceDE w:val="0"/>
              <w:autoSpaceDN w:val="0"/>
              <w:adjustRightInd w:val="0"/>
              <w:snapToGrid w:val="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表1-</w:t>
            </w:r>
            <w:r>
              <w:rPr>
                <w:rFonts w:hint="eastAsia"/>
                <w:b/>
                <w:bCs/>
                <w:color w:val="000000" w:themeColor="text1"/>
                <w:sz w:val="24"/>
                <w:szCs w:val="24"/>
                <w:lang w:val="en-US" w:eastAsia="zh-CN"/>
                <w14:textFill>
                  <w14:solidFill>
                    <w14:schemeClr w14:val="tx1"/>
                  </w14:solidFill>
                </w14:textFill>
              </w:rPr>
              <w:t>5</w:t>
            </w:r>
            <w:r>
              <w:rPr>
                <w:b/>
                <w:bCs/>
                <w:color w:val="000000" w:themeColor="text1"/>
                <w:sz w:val="24"/>
                <w:szCs w:val="24"/>
                <w14:textFill>
                  <w14:solidFill>
                    <w14:schemeClr w14:val="tx1"/>
                  </w14:solidFill>
                </w14:textFill>
              </w:rPr>
              <w:t xml:space="preserve">  重庆市工业项目环境准入规定</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1"/>
              <w:gridCol w:w="4342"/>
              <w:gridCol w:w="2396"/>
              <w:gridCol w:w="808"/>
            </w:tblGrid>
            <w:tr w14:paraId="6E44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246" w:type="pct"/>
                  <w:tcBorders>
                    <w:top w:val="single" w:color="auto" w:sz="4" w:space="0"/>
                    <w:left w:val="single" w:color="auto" w:sz="4" w:space="0"/>
                    <w:bottom w:val="single" w:color="auto" w:sz="4" w:space="0"/>
                    <w:right w:val="single" w:color="auto" w:sz="4" w:space="0"/>
                  </w:tcBorders>
                  <w:vAlign w:val="center"/>
                </w:tcPr>
                <w:p w14:paraId="4E26652F">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目录</w:t>
                  </w:r>
                </w:p>
              </w:tc>
              <w:tc>
                <w:tcPr>
                  <w:tcW w:w="2735" w:type="pct"/>
                  <w:tcBorders>
                    <w:top w:val="single" w:color="auto" w:sz="4" w:space="0"/>
                    <w:left w:val="nil"/>
                    <w:bottom w:val="single" w:color="auto" w:sz="4" w:space="0"/>
                    <w:right w:val="single" w:color="auto" w:sz="4" w:space="0"/>
                  </w:tcBorders>
                  <w:vAlign w:val="center"/>
                </w:tcPr>
                <w:p w14:paraId="69E81AB1">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产业投资准入规定</w:t>
                  </w:r>
                </w:p>
              </w:tc>
              <w:tc>
                <w:tcPr>
                  <w:tcW w:w="1509" w:type="pct"/>
                  <w:tcBorders>
                    <w:top w:val="single" w:color="auto" w:sz="4" w:space="0"/>
                    <w:left w:val="nil"/>
                    <w:bottom w:val="single" w:color="auto" w:sz="4" w:space="0"/>
                    <w:right w:val="single" w:color="auto" w:sz="4" w:space="0"/>
                  </w:tcBorders>
                  <w:vAlign w:val="center"/>
                </w:tcPr>
                <w:p w14:paraId="05D40E3D">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项目情况</w:t>
                  </w:r>
                </w:p>
              </w:tc>
              <w:tc>
                <w:tcPr>
                  <w:tcW w:w="509" w:type="pct"/>
                  <w:tcBorders>
                    <w:top w:val="single" w:color="auto" w:sz="4" w:space="0"/>
                    <w:left w:val="nil"/>
                    <w:bottom w:val="single" w:color="auto" w:sz="4" w:space="0"/>
                    <w:right w:val="single" w:color="auto" w:sz="4" w:space="0"/>
                  </w:tcBorders>
                  <w:vAlign w:val="center"/>
                </w:tcPr>
                <w:p w14:paraId="55DD7CFC">
                  <w:pPr>
                    <w:autoSpaceDE w:val="0"/>
                    <w:autoSpaceDN w:val="0"/>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符合性分析</w:t>
                  </w:r>
                </w:p>
              </w:tc>
            </w:tr>
            <w:tr w14:paraId="347A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 w:type="pct"/>
                  <w:vMerge w:val="restart"/>
                  <w:tcBorders>
                    <w:top w:val="nil"/>
                    <w:left w:val="single" w:color="auto" w:sz="4" w:space="0"/>
                    <w:bottom w:val="single" w:color="auto" w:sz="4" w:space="0"/>
                    <w:right w:val="single" w:color="auto" w:sz="4" w:space="0"/>
                  </w:tcBorders>
                  <w:vAlign w:val="center"/>
                </w:tcPr>
                <w:p w14:paraId="6E5FBC5F">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不予准入类</w:t>
                  </w:r>
                </w:p>
              </w:tc>
              <w:tc>
                <w:tcPr>
                  <w:tcW w:w="2735" w:type="pct"/>
                  <w:tcBorders>
                    <w:top w:val="single" w:color="auto" w:sz="4" w:space="0"/>
                    <w:left w:val="nil"/>
                    <w:bottom w:val="single" w:color="auto" w:sz="4" w:space="0"/>
                    <w:right w:val="single" w:color="auto" w:sz="4" w:space="0"/>
                  </w:tcBorders>
                  <w:vAlign w:val="center"/>
                </w:tcPr>
                <w:p w14:paraId="60DF483C">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（一）全市范围内不予准入的产业</w:t>
                  </w:r>
                </w:p>
                <w:p w14:paraId="02DC6733">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1．国家产业结构调整指导目录中的淘汰类项目。</w:t>
                  </w:r>
                </w:p>
                <w:p w14:paraId="72FCCB34">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2．天然林商业性采伐。</w:t>
                  </w:r>
                </w:p>
                <w:p w14:paraId="577F38AE">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3．法律法规和相关政策明令不予准入的其他项目。</w:t>
                  </w:r>
                </w:p>
              </w:tc>
              <w:tc>
                <w:tcPr>
                  <w:tcW w:w="1509" w:type="pct"/>
                  <w:tcBorders>
                    <w:top w:val="single" w:color="auto" w:sz="4" w:space="0"/>
                    <w:left w:val="nil"/>
                    <w:bottom w:val="single" w:color="auto" w:sz="4" w:space="0"/>
                    <w:right w:val="single" w:color="auto" w:sz="4" w:space="0"/>
                  </w:tcBorders>
                  <w:vAlign w:val="center"/>
                </w:tcPr>
                <w:p w14:paraId="56BFBC1B">
                  <w:pPr>
                    <w:autoSpaceDE w:val="0"/>
                    <w:autoSpaceDN w:val="0"/>
                    <w:adjustRightInd w:val="0"/>
                    <w:snapToGrid w:val="0"/>
                    <w:rPr>
                      <w:rFonts w:hint="eastAsia" w:eastAsia="宋体"/>
                      <w:color w:val="000000" w:themeColor="text1"/>
                      <w:sz w:val="21"/>
                      <w:szCs w:val="21"/>
                      <w:lang w:eastAsia="zh-CN"/>
                      <w14:textFill>
                        <w14:solidFill>
                          <w14:schemeClr w14:val="tx1"/>
                        </w14:solidFill>
                      </w14:textFill>
                    </w:rPr>
                  </w:pPr>
                  <w:r>
                    <w:rPr>
                      <w:color w:val="000000" w:themeColor="text1"/>
                      <w:kern w:val="44"/>
                      <w:sz w:val="21"/>
                      <w:szCs w:val="21"/>
                      <w14:textFill>
                        <w14:solidFill>
                          <w14:schemeClr w14:val="tx1"/>
                        </w14:solidFill>
                      </w14:textFill>
                    </w:rPr>
                    <w:t>本</w:t>
                  </w:r>
                  <w:r>
                    <w:rPr>
                      <w:color w:val="000000" w:themeColor="text1"/>
                      <w:sz w:val="21"/>
                      <w:szCs w:val="21"/>
                      <w14:textFill>
                        <w14:solidFill>
                          <w14:schemeClr w14:val="tx1"/>
                        </w14:solidFill>
                      </w14:textFill>
                    </w:rPr>
                    <w:t>项目为</w:t>
                  </w:r>
                  <w:r>
                    <w:rPr>
                      <w:rFonts w:hint="eastAsia"/>
                      <w:color w:val="000000" w:themeColor="text1"/>
                      <w:sz w:val="21"/>
                      <w:szCs w:val="21"/>
                      <w14:textFill>
                        <w14:solidFill>
                          <w14:schemeClr w14:val="tx1"/>
                        </w14:solidFill>
                      </w14:textFill>
                    </w:rPr>
                    <w:t>摩托车零部件及配件制造生产项目</w:t>
                  </w:r>
                  <w:r>
                    <w:rPr>
                      <w:color w:val="000000" w:themeColor="text1"/>
                      <w:sz w:val="21"/>
                      <w:szCs w:val="21"/>
                      <w14:textFill>
                        <w14:solidFill>
                          <w14:schemeClr w14:val="tx1"/>
                        </w14:solidFill>
                      </w14:textFill>
                    </w:rPr>
                    <w:t>，属于国家产业结构调整指导目录中的允许项目</w:t>
                  </w:r>
                  <w:r>
                    <w:rPr>
                      <w:rFonts w:hint="eastAsia"/>
                      <w:color w:val="000000" w:themeColor="text1"/>
                      <w:sz w:val="21"/>
                      <w:szCs w:val="21"/>
                      <w:lang w:eastAsia="zh-CN"/>
                      <w14:textFill>
                        <w14:solidFill>
                          <w14:schemeClr w14:val="tx1"/>
                        </w14:solidFill>
                      </w14:textFill>
                    </w:rPr>
                    <w:t>。</w:t>
                  </w:r>
                </w:p>
              </w:tc>
              <w:tc>
                <w:tcPr>
                  <w:tcW w:w="509" w:type="pct"/>
                  <w:tcBorders>
                    <w:top w:val="single" w:color="auto" w:sz="4" w:space="0"/>
                    <w:left w:val="nil"/>
                    <w:bottom w:val="single" w:color="auto" w:sz="4" w:space="0"/>
                    <w:right w:val="single" w:color="auto" w:sz="4" w:space="0"/>
                  </w:tcBorders>
                  <w:vAlign w:val="center"/>
                </w:tcPr>
                <w:p w14:paraId="56D07D61">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3AC3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6" w:type="pct"/>
                  <w:vMerge w:val="continue"/>
                  <w:tcBorders>
                    <w:top w:val="nil"/>
                    <w:left w:val="single" w:color="auto" w:sz="4" w:space="0"/>
                    <w:bottom w:val="single" w:color="auto" w:sz="4" w:space="0"/>
                    <w:right w:val="single" w:color="auto" w:sz="4" w:space="0"/>
                  </w:tcBorders>
                  <w:vAlign w:val="center"/>
                </w:tcPr>
                <w:p w14:paraId="19A91CDA">
                  <w:pPr>
                    <w:widowControl/>
                    <w:jc w:val="left"/>
                    <w:rPr>
                      <w:color w:val="000000" w:themeColor="text1"/>
                      <w:sz w:val="21"/>
                      <w:szCs w:val="21"/>
                      <w14:textFill>
                        <w14:solidFill>
                          <w14:schemeClr w14:val="tx1"/>
                        </w14:solidFill>
                      </w14:textFill>
                    </w:rPr>
                  </w:pPr>
                </w:p>
              </w:tc>
              <w:tc>
                <w:tcPr>
                  <w:tcW w:w="2735" w:type="pct"/>
                  <w:tcBorders>
                    <w:top w:val="single" w:color="auto" w:sz="4" w:space="0"/>
                    <w:left w:val="nil"/>
                    <w:bottom w:val="single" w:color="auto" w:sz="4" w:space="0"/>
                    <w:right w:val="single" w:color="auto" w:sz="4" w:space="0"/>
                  </w:tcBorders>
                  <w:vAlign w:val="center"/>
                </w:tcPr>
                <w:p w14:paraId="6619FC77">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（二）重点区域不予准入的产业</w:t>
                  </w:r>
                </w:p>
                <w:p w14:paraId="735E6139">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1．外环绕城高速公路以内长江、嘉陵江水域采砂。</w:t>
                  </w:r>
                </w:p>
                <w:p w14:paraId="45C0C1E3">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2．二十五度以上陡坡地开垦种植农作物。</w:t>
                  </w:r>
                </w:p>
                <w:p w14:paraId="3105061C">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3．在自然保护区核心区、缓冲区的岸线和河段范围内投资建设旅游和生产经营项目。</w:t>
                  </w:r>
                </w:p>
                <w:p w14:paraId="43683E90">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饮用水水源一级保护区的岸线和河段范围内新建、改建、扩建与供水设施和保护水源无关的项目，以及网箱养殖、畜禽养殖、放养畜禽、旅游等可能污染饮用水水体的投资建设项目。在饮用水水源二级保护区的岸线和河段范围内新建、改建、扩建排放污染物的投资建设项目。</w:t>
                  </w:r>
                </w:p>
                <w:p w14:paraId="51B89071">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5．长江干流岸线3公里范围内和重要支流岸线1公里范围内新建、改建、扩建尾矿库、冶炼渣库和磷石膏库（以提升安全、生态环境保护水平为目的的改建除外）。</w:t>
                  </w:r>
                </w:p>
                <w:p w14:paraId="2A64280A">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6．在风景名胜区核心景区的岸线和河段范围内投资建设与风景名胜资源保护无关的项目。</w:t>
                  </w:r>
                </w:p>
                <w:p w14:paraId="370DC986">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7．在国家湿地公园的岸线和河段范围内挖沙、采矿，以及任何不符合主体功能定位的投资建设项目。</w:t>
                  </w:r>
                </w:p>
                <w:p w14:paraId="38A3EE1E">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8．在《长江岸线保护和开发利用总体规划》划定的岸线保护区和保留区内投资建设除事关公共安全及公众利益的防洪护岸、河道治理、供水、生态环境保护、航道整治、国家重要基础设施以外的项目。</w:t>
                  </w:r>
                </w:p>
                <w:p w14:paraId="4901AFD7">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9．在《全国重要江河湖泊水功能区划》划定的河段及湖泊保护区、保留区内投资建设不利于水资源及自然生态保护的项目。</w:t>
                  </w:r>
                </w:p>
              </w:tc>
              <w:tc>
                <w:tcPr>
                  <w:tcW w:w="1509" w:type="pct"/>
                  <w:tcBorders>
                    <w:top w:val="single" w:color="auto" w:sz="4" w:space="0"/>
                    <w:left w:val="nil"/>
                    <w:bottom w:val="single" w:color="auto" w:sz="4" w:space="0"/>
                    <w:right w:val="single" w:color="auto" w:sz="4" w:space="0"/>
                  </w:tcBorders>
                  <w:vAlign w:val="center"/>
                </w:tcPr>
                <w:p w14:paraId="67897E33">
                  <w:pPr>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kern w:val="44"/>
                      <w:sz w:val="21"/>
                      <w:szCs w:val="21"/>
                      <w:lang w:val="en-US" w:eastAsia="zh-CN"/>
                      <w14:textFill>
                        <w14:solidFill>
                          <w14:schemeClr w14:val="tx1"/>
                        </w14:solidFill>
                      </w14:textFill>
                    </w:rPr>
                    <w:t>1.本</w:t>
                  </w:r>
                  <w:r>
                    <w:rPr>
                      <w:color w:val="000000" w:themeColor="text1"/>
                      <w:sz w:val="21"/>
                      <w:szCs w:val="21"/>
                      <w14:textFill>
                        <w14:solidFill>
                          <w14:schemeClr w14:val="tx1"/>
                        </w14:solidFill>
                      </w14:textFill>
                    </w:rPr>
                    <w:t>项目</w:t>
                  </w:r>
                  <w:r>
                    <w:rPr>
                      <w:rFonts w:hint="eastAsia"/>
                      <w:color w:val="000000" w:themeColor="text1"/>
                      <w:sz w:val="21"/>
                      <w:szCs w:val="21"/>
                      <w:lang w:val="en-US" w:eastAsia="zh-CN"/>
                      <w14:textFill>
                        <w14:solidFill>
                          <w14:schemeClr w14:val="tx1"/>
                        </w14:solidFill>
                      </w14:textFill>
                    </w:rPr>
                    <w:t>为</w:t>
                  </w:r>
                  <w:r>
                    <w:rPr>
                      <w:rFonts w:hint="eastAsia"/>
                      <w:color w:val="000000" w:themeColor="text1"/>
                      <w:sz w:val="21"/>
                      <w:szCs w:val="21"/>
                      <w14:textFill>
                        <w14:solidFill>
                          <w14:schemeClr w14:val="tx1"/>
                        </w14:solidFill>
                      </w14:textFill>
                    </w:rPr>
                    <w:t>摩托车零部件及配件制造生产项目</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不属于采砂项目；</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2.本项目不进行农作物种植；</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3.本项目位于</w:t>
                  </w:r>
                  <w:r>
                    <w:rPr>
                      <w:rFonts w:hint="eastAsia"/>
                      <w:color w:val="000000" w:themeColor="text1"/>
                      <w:sz w:val="21"/>
                      <w:szCs w:val="21"/>
                      <w:lang w:eastAsia="zh-CN"/>
                      <w14:textFill>
                        <w14:solidFill>
                          <w14:schemeClr w14:val="tx1"/>
                        </w14:solidFill>
                      </w14:textFill>
                    </w:rPr>
                    <w:t>璧山高新技术产业开发区青杠-来凤组团</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不位于左述区域；</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4.本项目位于</w:t>
                  </w:r>
                  <w:r>
                    <w:rPr>
                      <w:rFonts w:hint="eastAsia"/>
                      <w:color w:val="000000" w:themeColor="text1"/>
                      <w:sz w:val="21"/>
                      <w:szCs w:val="21"/>
                      <w:lang w:eastAsia="zh-CN"/>
                      <w14:textFill>
                        <w14:solidFill>
                          <w14:schemeClr w14:val="tx1"/>
                        </w14:solidFill>
                      </w14:textFill>
                    </w:rPr>
                    <w:t>璧山高新技术产业开发区青杠-来凤组团</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不位于左述区域；</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5.本项目为</w:t>
                  </w:r>
                  <w:r>
                    <w:rPr>
                      <w:rFonts w:hint="eastAsia"/>
                      <w:color w:val="000000" w:themeColor="text1"/>
                      <w:sz w:val="21"/>
                      <w:szCs w:val="21"/>
                      <w14:textFill>
                        <w14:solidFill>
                          <w14:schemeClr w14:val="tx1"/>
                        </w14:solidFill>
                      </w14:textFill>
                    </w:rPr>
                    <w:t>摩托车零部件及配件制造生产项目</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不属于左述项目；</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6.本项目位于</w:t>
                  </w:r>
                  <w:r>
                    <w:rPr>
                      <w:rFonts w:hint="eastAsia"/>
                      <w:color w:val="000000" w:themeColor="text1"/>
                      <w:sz w:val="21"/>
                      <w:szCs w:val="21"/>
                      <w:lang w:eastAsia="zh-CN"/>
                      <w14:textFill>
                        <w14:solidFill>
                          <w14:schemeClr w14:val="tx1"/>
                        </w14:solidFill>
                      </w14:textFill>
                    </w:rPr>
                    <w:t>璧山高新技术产业开发区青杠-来凤组团</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不位于左述区域；</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7.本项目</w:t>
                  </w:r>
                  <w:r>
                    <w:rPr>
                      <w:rFonts w:hint="eastAsia"/>
                      <w:color w:val="000000" w:themeColor="text1"/>
                      <w:sz w:val="21"/>
                      <w:szCs w:val="21"/>
                      <w14:textFill>
                        <w14:solidFill>
                          <w14:schemeClr w14:val="tx1"/>
                        </w14:solidFill>
                      </w14:textFill>
                    </w:rPr>
                    <w:t>摩托车零部件及配件制造生产项目</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不属于左述项目；</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8.本项目位于</w:t>
                  </w:r>
                  <w:r>
                    <w:rPr>
                      <w:rFonts w:hint="eastAsia"/>
                      <w:color w:val="000000" w:themeColor="text1"/>
                      <w:sz w:val="21"/>
                      <w:szCs w:val="21"/>
                      <w:lang w:eastAsia="zh-CN"/>
                      <w14:textFill>
                        <w14:solidFill>
                          <w14:schemeClr w14:val="tx1"/>
                        </w14:solidFill>
                      </w14:textFill>
                    </w:rPr>
                    <w:t>璧山高新技术产业开发区青杠-来凤组团</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不位于左述区域；</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9.本项目位于</w:t>
                  </w:r>
                  <w:r>
                    <w:rPr>
                      <w:rFonts w:hint="eastAsia"/>
                      <w:color w:val="000000" w:themeColor="text1"/>
                      <w:sz w:val="21"/>
                      <w:szCs w:val="21"/>
                      <w:lang w:eastAsia="zh-CN"/>
                      <w14:textFill>
                        <w14:solidFill>
                          <w14:schemeClr w14:val="tx1"/>
                        </w14:solidFill>
                      </w14:textFill>
                    </w:rPr>
                    <w:t>璧山高新技术产业开发区青杠-来凤组团</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不位于左述区域。</w:t>
                  </w:r>
                </w:p>
              </w:tc>
              <w:tc>
                <w:tcPr>
                  <w:tcW w:w="509" w:type="pct"/>
                  <w:tcBorders>
                    <w:top w:val="single" w:color="auto" w:sz="4" w:space="0"/>
                    <w:left w:val="nil"/>
                    <w:bottom w:val="single" w:color="auto" w:sz="4" w:space="0"/>
                    <w:right w:val="single" w:color="auto" w:sz="4" w:space="0"/>
                  </w:tcBorders>
                  <w:vAlign w:val="center"/>
                </w:tcPr>
                <w:p w14:paraId="484194CF">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4665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6" w:type="pct"/>
                  <w:vMerge w:val="restart"/>
                  <w:tcBorders>
                    <w:top w:val="single" w:color="auto" w:sz="4" w:space="0"/>
                    <w:left w:val="single" w:color="auto" w:sz="4" w:space="0"/>
                    <w:right w:val="single" w:color="auto" w:sz="4" w:space="0"/>
                  </w:tcBorders>
                  <w:vAlign w:val="center"/>
                </w:tcPr>
                <w:p w14:paraId="30D6D7E2">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限制准入类</w:t>
                  </w:r>
                </w:p>
              </w:tc>
              <w:tc>
                <w:tcPr>
                  <w:tcW w:w="2735" w:type="pct"/>
                  <w:tcBorders>
                    <w:top w:val="single" w:color="auto" w:sz="4" w:space="0"/>
                    <w:left w:val="nil"/>
                    <w:bottom w:val="single" w:color="auto" w:sz="4" w:space="0"/>
                    <w:right w:val="single" w:color="auto" w:sz="4" w:space="0"/>
                  </w:tcBorders>
                  <w:vAlign w:val="center"/>
                </w:tcPr>
                <w:p w14:paraId="1F01986D">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（一）全市范围内限制准入的产业</w:t>
                  </w:r>
                </w:p>
                <w:p w14:paraId="1B6868A9">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1．新建、扩建不符合国家产能置换要求的严重过剩产能行业的项目。新建、扩建不符合要求的高耗能高排放项目。</w:t>
                  </w:r>
                </w:p>
                <w:p w14:paraId="2D2B88F6">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2．新建、扩建不符合国家石化、现代煤化工等产业布局规划的项目。</w:t>
                  </w:r>
                </w:p>
                <w:p w14:paraId="357D923F">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3．在合规园区外新建、扩建钢铁、石化、化工、焦化、建材、有色、制浆造纸等高污染项目。</w:t>
                  </w:r>
                </w:p>
                <w:p w14:paraId="77FC2C2E">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4．《汽车产业投资管理规定》（国家发展和改革委员会令第22号）明确禁止建设的汽车投资项目。</w:t>
                  </w:r>
                </w:p>
              </w:tc>
              <w:tc>
                <w:tcPr>
                  <w:tcW w:w="1509" w:type="pct"/>
                  <w:tcBorders>
                    <w:top w:val="single" w:color="auto" w:sz="4" w:space="0"/>
                    <w:left w:val="nil"/>
                    <w:right w:val="single" w:color="auto" w:sz="4" w:space="0"/>
                  </w:tcBorders>
                  <w:vAlign w:val="center"/>
                </w:tcPr>
                <w:p w14:paraId="71F2AFDF">
                  <w:pPr>
                    <w:autoSpaceDE w:val="0"/>
                    <w:autoSpaceDN w:val="0"/>
                    <w:adjustRightInd w:val="0"/>
                    <w:snapToGrid w:val="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kern w:val="44"/>
                      <w:sz w:val="21"/>
                      <w:szCs w:val="21"/>
                      <w:lang w:val="en-US" w:eastAsia="zh-CN"/>
                      <w14:textFill>
                        <w14:solidFill>
                          <w14:schemeClr w14:val="tx1"/>
                        </w14:solidFill>
                      </w14:textFill>
                    </w:rPr>
                    <w:t>1.</w:t>
                  </w:r>
                  <w:r>
                    <w:rPr>
                      <w:color w:val="000000" w:themeColor="text1"/>
                      <w:kern w:val="44"/>
                      <w:sz w:val="21"/>
                      <w:szCs w:val="21"/>
                      <w14:textFill>
                        <w14:solidFill>
                          <w14:schemeClr w14:val="tx1"/>
                        </w14:solidFill>
                      </w14:textFill>
                    </w:rPr>
                    <w:t>本</w:t>
                  </w:r>
                  <w:r>
                    <w:rPr>
                      <w:color w:val="000000" w:themeColor="text1"/>
                      <w:sz w:val="21"/>
                      <w:szCs w:val="21"/>
                      <w14:textFill>
                        <w14:solidFill>
                          <w14:schemeClr w14:val="tx1"/>
                        </w14:solidFill>
                      </w14:textFill>
                    </w:rPr>
                    <w:t>项目</w:t>
                  </w:r>
                  <w:r>
                    <w:rPr>
                      <w:rFonts w:hint="eastAsia"/>
                      <w:color w:val="000000" w:themeColor="text1"/>
                      <w:sz w:val="21"/>
                      <w:szCs w:val="21"/>
                      <w:lang w:val="en-US" w:eastAsia="zh-CN"/>
                      <w14:textFill>
                        <w14:solidFill>
                          <w14:schemeClr w14:val="tx1"/>
                        </w14:solidFill>
                      </w14:textFill>
                    </w:rPr>
                    <w:t>为</w:t>
                  </w:r>
                  <w:r>
                    <w:rPr>
                      <w:rFonts w:hint="eastAsia"/>
                      <w:color w:val="000000" w:themeColor="text1"/>
                      <w:sz w:val="21"/>
                      <w:szCs w:val="21"/>
                      <w:lang w:eastAsia="zh-CN"/>
                      <w14:textFill>
                        <w14:solidFill>
                          <w14:schemeClr w14:val="tx1"/>
                        </w14:solidFill>
                      </w14:textFill>
                    </w:rPr>
                    <w:t>摩托车零部件及配件制造生产项目，</w:t>
                  </w:r>
                  <w:r>
                    <w:rPr>
                      <w:rFonts w:hint="eastAsia"/>
                      <w:color w:val="000000" w:themeColor="text1"/>
                      <w:sz w:val="21"/>
                      <w:szCs w:val="21"/>
                      <w:lang w:val="en-US" w:eastAsia="zh-CN"/>
                      <w14:textFill>
                        <w14:solidFill>
                          <w14:schemeClr w14:val="tx1"/>
                        </w14:solidFill>
                      </w14:textFill>
                    </w:rPr>
                    <w:t>不属于</w:t>
                  </w:r>
                  <w:r>
                    <w:rPr>
                      <w:color w:val="000000" w:themeColor="text1"/>
                      <w:sz w:val="21"/>
                      <w:szCs w:val="21"/>
                      <w14:textFill>
                        <w14:solidFill>
                          <w14:schemeClr w14:val="tx1"/>
                        </w14:solidFill>
                      </w14:textFill>
                    </w:rPr>
                    <w:t>严重过剩产能行业的项目</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不属于高耗能高排放项目；</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w:t>
                  </w:r>
                  <w:r>
                    <w:rPr>
                      <w:color w:val="000000" w:themeColor="text1"/>
                      <w:kern w:val="44"/>
                      <w:sz w:val="21"/>
                      <w:szCs w:val="21"/>
                      <w14:textFill>
                        <w14:solidFill>
                          <w14:schemeClr w14:val="tx1"/>
                        </w14:solidFill>
                      </w14:textFill>
                    </w:rPr>
                    <w:t>本</w:t>
                  </w:r>
                  <w:r>
                    <w:rPr>
                      <w:color w:val="000000" w:themeColor="text1"/>
                      <w:sz w:val="21"/>
                      <w:szCs w:val="21"/>
                      <w14:textFill>
                        <w14:solidFill>
                          <w14:schemeClr w14:val="tx1"/>
                        </w14:solidFill>
                      </w14:textFill>
                    </w:rPr>
                    <w:t>项目</w:t>
                  </w:r>
                  <w:r>
                    <w:rPr>
                      <w:rFonts w:hint="eastAsia"/>
                      <w:color w:val="000000" w:themeColor="text1"/>
                      <w:sz w:val="21"/>
                      <w:szCs w:val="21"/>
                      <w:lang w:val="en-US" w:eastAsia="zh-CN"/>
                      <w14:textFill>
                        <w14:solidFill>
                          <w14:schemeClr w14:val="tx1"/>
                        </w14:solidFill>
                      </w14:textFill>
                    </w:rPr>
                    <w:t>为</w:t>
                  </w:r>
                  <w:r>
                    <w:rPr>
                      <w:rFonts w:hint="eastAsia"/>
                      <w:color w:val="000000" w:themeColor="text1"/>
                      <w:sz w:val="21"/>
                      <w:szCs w:val="21"/>
                      <w:lang w:eastAsia="zh-CN"/>
                      <w14:textFill>
                        <w14:solidFill>
                          <w14:schemeClr w14:val="tx1"/>
                        </w14:solidFill>
                      </w14:textFill>
                    </w:rPr>
                    <w:t>摩托车零部件及配件制造生产项目，</w:t>
                  </w:r>
                  <w:r>
                    <w:rPr>
                      <w:rFonts w:hint="eastAsia"/>
                      <w:color w:val="000000" w:themeColor="text1"/>
                      <w:sz w:val="21"/>
                      <w:szCs w:val="21"/>
                      <w:lang w:val="en-US" w:eastAsia="zh-CN"/>
                      <w14:textFill>
                        <w14:solidFill>
                          <w14:schemeClr w14:val="tx1"/>
                        </w14:solidFill>
                      </w14:textFill>
                    </w:rPr>
                    <w:t>不属于左述项目；</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3.本项目</w:t>
                  </w:r>
                  <w:r>
                    <w:rPr>
                      <w:color w:val="000000" w:themeColor="text1"/>
                      <w:sz w:val="21"/>
                      <w:szCs w:val="21"/>
                      <w14:textFill>
                        <w14:solidFill>
                          <w14:schemeClr w14:val="tx1"/>
                        </w14:solidFill>
                      </w14:textFill>
                    </w:rPr>
                    <w:t>位于</w:t>
                  </w:r>
                  <w:r>
                    <w:rPr>
                      <w:rFonts w:hint="eastAsia"/>
                      <w:color w:val="000000" w:themeColor="text1"/>
                      <w:sz w:val="21"/>
                      <w:szCs w:val="21"/>
                      <w:lang w:eastAsia="zh-CN"/>
                      <w14:textFill>
                        <w14:solidFill>
                          <w14:schemeClr w14:val="tx1"/>
                        </w14:solidFill>
                      </w14:textFill>
                    </w:rPr>
                    <w:t>璧山高新技术产业开发区青杠-来凤组团</w:t>
                  </w: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不属于左述项目；</w:t>
                  </w:r>
                </w:p>
                <w:p w14:paraId="4317AB72">
                  <w:pPr>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4.本项目</w:t>
                  </w:r>
                  <w:r>
                    <w:rPr>
                      <w:color w:val="000000" w:themeColor="text1"/>
                      <w:sz w:val="21"/>
                      <w:szCs w:val="21"/>
                      <w14:textFill>
                        <w14:solidFill>
                          <w14:schemeClr w14:val="tx1"/>
                        </w14:solidFill>
                      </w14:textFill>
                    </w:rPr>
                    <w:t>属于</w:t>
                  </w:r>
                  <w:r>
                    <w:rPr>
                      <w:rFonts w:hint="eastAsia"/>
                      <w:color w:val="000000" w:themeColor="text1"/>
                      <w:sz w:val="21"/>
                      <w:szCs w:val="21"/>
                      <w:lang w:eastAsia="zh-CN"/>
                      <w14:textFill>
                        <w14:solidFill>
                          <w14:schemeClr w14:val="tx1"/>
                        </w14:solidFill>
                      </w14:textFill>
                    </w:rPr>
                    <w:t>摩托车零部件及配件制造生产项目</w:t>
                  </w:r>
                  <w:r>
                    <w:rPr>
                      <w:rFonts w:hint="eastAsia"/>
                      <w:color w:val="000000" w:themeColor="text1"/>
                      <w:sz w:val="21"/>
                      <w:szCs w:val="21"/>
                      <w14:textFill>
                        <w14:solidFill>
                          <w14:schemeClr w14:val="tx1"/>
                        </w14:solidFill>
                      </w14:textFill>
                    </w:rPr>
                    <w:t>，不属于汽车投资项目。</w:t>
                  </w:r>
                </w:p>
              </w:tc>
              <w:tc>
                <w:tcPr>
                  <w:tcW w:w="509" w:type="pct"/>
                  <w:vMerge w:val="restart"/>
                  <w:tcBorders>
                    <w:top w:val="single" w:color="auto" w:sz="4" w:space="0"/>
                    <w:left w:val="nil"/>
                    <w:right w:val="single" w:color="auto" w:sz="4" w:space="0"/>
                  </w:tcBorders>
                  <w:vAlign w:val="center"/>
                </w:tcPr>
                <w:p w14:paraId="41B18E87">
                  <w:pPr>
                    <w:autoSpaceDE w:val="0"/>
                    <w:autoSpaceDN w:val="0"/>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项目不属于限制准入类</w:t>
                  </w:r>
                </w:p>
              </w:tc>
            </w:tr>
            <w:tr w14:paraId="2541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6" w:type="pct"/>
                  <w:vMerge w:val="continue"/>
                  <w:tcBorders>
                    <w:left w:val="single" w:color="auto" w:sz="4" w:space="0"/>
                    <w:bottom w:val="single" w:color="auto" w:sz="4" w:space="0"/>
                    <w:right w:val="single" w:color="auto" w:sz="4" w:space="0"/>
                  </w:tcBorders>
                  <w:vAlign w:val="center"/>
                </w:tcPr>
                <w:p w14:paraId="4FB3ABAF">
                  <w:pPr>
                    <w:autoSpaceDE w:val="0"/>
                    <w:autoSpaceDN w:val="0"/>
                    <w:adjustRightInd w:val="0"/>
                    <w:snapToGrid w:val="0"/>
                    <w:jc w:val="center"/>
                    <w:rPr>
                      <w:color w:val="000000" w:themeColor="text1"/>
                      <w:sz w:val="21"/>
                      <w:szCs w:val="21"/>
                      <w14:textFill>
                        <w14:solidFill>
                          <w14:schemeClr w14:val="tx1"/>
                        </w14:solidFill>
                      </w14:textFill>
                    </w:rPr>
                  </w:pPr>
                </w:p>
              </w:tc>
              <w:tc>
                <w:tcPr>
                  <w:tcW w:w="2735" w:type="pct"/>
                  <w:tcBorders>
                    <w:top w:val="single" w:color="auto" w:sz="4" w:space="0"/>
                    <w:left w:val="nil"/>
                    <w:bottom w:val="single" w:color="auto" w:sz="4" w:space="0"/>
                    <w:right w:val="single" w:color="auto" w:sz="4" w:space="0"/>
                  </w:tcBorders>
                  <w:vAlign w:val="center"/>
                </w:tcPr>
                <w:p w14:paraId="124E0BC3">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（二）重点区域范围内限制准入的产业</w:t>
                  </w:r>
                </w:p>
                <w:p w14:paraId="0E66415E">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1．长江干支流、重要湖泊岸线1公里范围内新建、扩建化工园区和化工项目，长江、嘉陵江、乌江岸线1公里范围内布局新建纸浆制造、印染等存在环境风险的项目。</w:t>
                  </w:r>
                </w:p>
                <w:p w14:paraId="3D449584">
                  <w:pPr>
                    <w:autoSpaceDE w:val="0"/>
                    <w:autoSpaceDN w:val="0"/>
                    <w:adjustRightInd w:val="0"/>
                    <w:snapToGrid w:val="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2．在水产种质资源保护区的岸线和河段范围内新建围湖造田等投资建设项目。</w:t>
                  </w:r>
                </w:p>
              </w:tc>
              <w:tc>
                <w:tcPr>
                  <w:tcW w:w="1509" w:type="pct"/>
                  <w:tcBorders>
                    <w:left w:val="nil"/>
                    <w:bottom w:val="single" w:color="auto" w:sz="4" w:space="0"/>
                    <w:right w:val="single" w:color="auto" w:sz="4" w:space="0"/>
                  </w:tcBorders>
                  <w:vAlign w:val="center"/>
                </w:tcPr>
                <w:p w14:paraId="08E4A3DC">
                  <w:pPr>
                    <w:autoSpaceDE w:val="0"/>
                    <w:autoSpaceDN w:val="0"/>
                    <w:adjustRightInd w:val="0"/>
                    <w:snapToGrid w:val="0"/>
                    <w:rPr>
                      <w:color w:val="000000" w:themeColor="text1"/>
                      <w:sz w:val="21"/>
                      <w:szCs w:val="21"/>
                      <w14:textFill>
                        <w14:solidFill>
                          <w14:schemeClr w14:val="tx1"/>
                        </w14:solidFill>
                      </w14:textFill>
                    </w:rPr>
                  </w:pPr>
                  <w:r>
                    <w:rPr>
                      <w:rFonts w:hint="eastAsia"/>
                      <w:color w:val="000000" w:themeColor="text1"/>
                      <w:kern w:val="44"/>
                      <w:sz w:val="21"/>
                      <w:szCs w:val="21"/>
                      <w:lang w:val="en-US" w:eastAsia="zh-CN"/>
                      <w14:textFill>
                        <w14:solidFill>
                          <w14:schemeClr w14:val="tx1"/>
                        </w14:solidFill>
                      </w14:textFill>
                    </w:rPr>
                    <w:t>1.</w:t>
                  </w:r>
                  <w:r>
                    <w:rPr>
                      <w:color w:val="000000" w:themeColor="text1"/>
                      <w:kern w:val="44"/>
                      <w:sz w:val="21"/>
                      <w:szCs w:val="21"/>
                      <w14:textFill>
                        <w14:solidFill>
                          <w14:schemeClr w14:val="tx1"/>
                        </w14:solidFill>
                      </w14:textFill>
                    </w:rPr>
                    <w:t>本</w:t>
                  </w:r>
                  <w:r>
                    <w:rPr>
                      <w:color w:val="000000" w:themeColor="text1"/>
                      <w:sz w:val="21"/>
                      <w:szCs w:val="21"/>
                      <w14:textFill>
                        <w14:solidFill>
                          <w14:schemeClr w14:val="tx1"/>
                        </w14:solidFill>
                      </w14:textFill>
                    </w:rPr>
                    <w:t>项目位于</w:t>
                  </w:r>
                  <w:r>
                    <w:rPr>
                      <w:rFonts w:hint="eastAsia"/>
                      <w:color w:val="000000" w:themeColor="text1"/>
                      <w:sz w:val="21"/>
                      <w:szCs w:val="21"/>
                      <w:lang w:eastAsia="zh-CN"/>
                      <w14:textFill>
                        <w14:solidFill>
                          <w14:schemeClr w14:val="tx1"/>
                        </w14:solidFill>
                      </w14:textFill>
                    </w:rPr>
                    <w:t>璧山高新技术产业开发区青杠-来凤组团</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不属于化工项目，不属于纸浆制造、印染等存在环境风险的项目</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w:t>
                  </w:r>
                  <w:r>
                    <w:rPr>
                      <w:color w:val="000000" w:themeColor="text1"/>
                      <w:kern w:val="44"/>
                      <w:sz w:val="21"/>
                      <w:szCs w:val="21"/>
                      <w14:textFill>
                        <w14:solidFill>
                          <w14:schemeClr w14:val="tx1"/>
                        </w14:solidFill>
                      </w14:textFill>
                    </w:rPr>
                    <w:t>本</w:t>
                  </w:r>
                  <w:r>
                    <w:rPr>
                      <w:color w:val="000000" w:themeColor="text1"/>
                      <w:sz w:val="21"/>
                      <w:szCs w:val="21"/>
                      <w14:textFill>
                        <w14:solidFill>
                          <w14:schemeClr w14:val="tx1"/>
                        </w14:solidFill>
                      </w14:textFill>
                    </w:rPr>
                    <w:t>项目</w:t>
                  </w:r>
                  <w:r>
                    <w:rPr>
                      <w:rFonts w:hint="eastAsia"/>
                      <w:color w:val="000000" w:themeColor="text1"/>
                      <w:sz w:val="21"/>
                      <w:szCs w:val="21"/>
                      <w:lang w:val="en-US" w:eastAsia="zh-CN"/>
                      <w14:textFill>
                        <w14:solidFill>
                          <w14:schemeClr w14:val="tx1"/>
                        </w14:solidFill>
                      </w14:textFill>
                    </w:rPr>
                    <w:t>为</w:t>
                  </w:r>
                  <w:r>
                    <w:rPr>
                      <w:rFonts w:hint="eastAsia"/>
                      <w:color w:val="000000" w:themeColor="text1"/>
                      <w:sz w:val="21"/>
                      <w:szCs w:val="21"/>
                      <w:lang w:eastAsia="zh-CN"/>
                      <w14:textFill>
                        <w14:solidFill>
                          <w14:schemeClr w14:val="tx1"/>
                        </w14:solidFill>
                      </w14:textFill>
                    </w:rPr>
                    <w:t>摩托车零部件及配件制造生产项目，</w:t>
                  </w:r>
                  <w:r>
                    <w:rPr>
                      <w:rFonts w:hint="eastAsia"/>
                      <w:color w:val="000000" w:themeColor="text1"/>
                      <w:sz w:val="21"/>
                      <w:szCs w:val="21"/>
                      <w14:textFill>
                        <w14:solidFill>
                          <w14:schemeClr w14:val="tx1"/>
                        </w14:solidFill>
                      </w14:textFill>
                    </w:rPr>
                    <w:t>不属于围湖造田项目，不涉及水产种质资源保护区的岸线和河段。</w:t>
                  </w:r>
                </w:p>
              </w:tc>
              <w:tc>
                <w:tcPr>
                  <w:tcW w:w="509" w:type="pct"/>
                  <w:vMerge w:val="continue"/>
                  <w:tcBorders>
                    <w:left w:val="nil"/>
                    <w:bottom w:val="single" w:color="auto" w:sz="4" w:space="0"/>
                    <w:right w:val="single" w:color="auto" w:sz="4" w:space="0"/>
                  </w:tcBorders>
                  <w:vAlign w:val="center"/>
                </w:tcPr>
                <w:p w14:paraId="52375CE9">
                  <w:pPr>
                    <w:autoSpaceDE w:val="0"/>
                    <w:autoSpaceDN w:val="0"/>
                    <w:adjustRightInd w:val="0"/>
                    <w:snapToGrid w:val="0"/>
                    <w:rPr>
                      <w:color w:val="000000" w:themeColor="text1"/>
                      <w:sz w:val="21"/>
                      <w:szCs w:val="21"/>
                      <w14:textFill>
                        <w14:solidFill>
                          <w14:schemeClr w14:val="tx1"/>
                        </w14:solidFill>
                      </w14:textFill>
                    </w:rPr>
                  </w:pPr>
                </w:p>
              </w:tc>
            </w:tr>
          </w:tbl>
          <w:p w14:paraId="0EF301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bCs/>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14:textFill>
                  <w14:solidFill>
                    <w14:schemeClr w14:val="tx1"/>
                  </w14:solidFill>
                </w14:textFill>
              </w:rPr>
              <w:t>综上所述，本项目建设符合</w:t>
            </w:r>
            <w:r>
              <w:rPr>
                <w:rFonts w:hint="eastAsia" w:cs="Times New Roman"/>
                <w:snapToGrid w:val="0"/>
                <w:color w:val="000000" w:themeColor="text1"/>
                <w:kern w:val="0"/>
                <w:sz w:val="24"/>
                <w:szCs w:val="24"/>
                <w:lang w:eastAsia="zh-CN"/>
                <w14:textFill>
                  <w14:solidFill>
                    <w14:schemeClr w14:val="tx1"/>
                  </w14:solidFill>
                </w14:textFill>
              </w:rPr>
              <w:t>《重庆市发展和改革委员会关于印发重庆市产业投资准入工作手册的通知》（渝发改投资〔2022〕1436号）</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相关要求。</w:t>
            </w:r>
          </w:p>
          <w:p w14:paraId="579BAA4F">
            <w:pPr>
              <w:adjustRightInd w:val="0"/>
              <w:snapToGrid w:val="0"/>
              <w:spacing w:beforeLines="50" w:line="360" w:lineRule="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w:t>
            </w:r>
            <w:r>
              <w:rPr>
                <w:b/>
                <w:bCs/>
                <w:color w:val="000000" w:themeColor="text1"/>
                <w:sz w:val="24"/>
                <w:szCs w:val="24"/>
                <w14:textFill>
                  <w14:solidFill>
                    <w14:schemeClr w14:val="tx1"/>
                  </w14:solidFill>
                </w14:textFill>
              </w:rPr>
              <w:t>、与《四川省、重庆市长江经济带发展负面清单实施细则（试行，2022年版）》符合性分析</w:t>
            </w:r>
          </w:p>
          <w:p w14:paraId="65C98291">
            <w:pPr>
              <w:pStyle w:val="31"/>
              <w:spacing w:after="0" w:line="240" w:lineRule="auto"/>
              <w:ind w:left="0" w:leftChars="0" w:right="0" w:rightChars="0"/>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表1</w:t>
            </w:r>
            <w:r>
              <w:rPr>
                <w:rFonts w:ascii="Times New Roman" w:hAnsi="Times New Roman"/>
                <w:b/>
                <w:bCs/>
                <w:color w:val="000000" w:themeColor="text1"/>
                <w:sz w:val="24"/>
                <w:szCs w:val="24"/>
                <w:lang w:val="en-US"/>
                <w14:textFill>
                  <w14:solidFill>
                    <w14:schemeClr w14:val="tx1"/>
                  </w14:solidFill>
                </w14:textFill>
              </w:rPr>
              <w:t>-</w:t>
            </w:r>
            <w:r>
              <w:rPr>
                <w:rFonts w:hint="eastAsia" w:ascii="Times New Roman" w:hAnsi="Times New Roman"/>
                <w:b/>
                <w:bCs/>
                <w:color w:val="000000" w:themeColor="text1"/>
                <w:sz w:val="24"/>
                <w:szCs w:val="24"/>
                <w:lang w:val="en-US" w:eastAsia="zh-CN"/>
                <w14:textFill>
                  <w14:solidFill>
                    <w14:schemeClr w14:val="tx1"/>
                  </w14:solidFill>
                </w14:textFill>
              </w:rPr>
              <w:t>6</w:t>
            </w:r>
            <w:r>
              <w:rPr>
                <w:rFonts w:ascii="Times New Roman" w:hAnsi="Times New Roman"/>
                <w:b/>
                <w:bCs/>
                <w:color w:val="000000" w:themeColor="text1"/>
                <w:sz w:val="24"/>
                <w:szCs w:val="24"/>
                <w:lang w:val="en-US"/>
                <w14:textFill>
                  <w14:solidFill>
                    <w14:schemeClr w14:val="tx1"/>
                  </w14:solidFill>
                </w14:textFill>
              </w:rPr>
              <w:t>本</w:t>
            </w:r>
            <w:r>
              <w:rPr>
                <w:rFonts w:ascii="Times New Roman" w:hAnsi="Times New Roman"/>
                <w:b/>
                <w:bCs/>
                <w:color w:val="000000" w:themeColor="text1"/>
                <w:sz w:val="24"/>
                <w:szCs w:val="24"/>
                <w14:textFill>
                  <w14:solidFill>
                    <w14:schemeClr w14:val="tx1"/>
                  </w14:solidFill>
                </w14:textFill>
              </w:rPr>
              <w:t>项目与《四川省、重庆市长江经济带发展负面清单实施细则（试行，</w:t>
            </w:r>
            <w:r>
              <w:rPr>
                <w:rFonts w:ascii="Times New Roman" w:hAnsi="Times New Roman"/>
                <w:b/>
                <w:bCs/>
                <w:color w:val="000000" w:themeColor="text1"/>
                <w:sz w:val="24"/>
                <w:szCs w:val="24"/>
                <w:lang w:val="en-US"/>
                <w14:textFill>
                  <w14:solidFill>
                    <w14:schemeClr w14:val="tx1"/>
                  </w14:solidFill>
                </w14:textFill>
              </w:rPr>
              <w:t>2022年版</w:t>
            </w:r>
            <w:r>
              <w:rPr>
                <w:rFonts w:ascii="Times New Roman" w:hAnsi="Times New Roman"/>
                <w:b/>
                <w:bCs/>
                <w:color w:val="000000" w:themeColor="text1"/>
                <w:sz w:val="24"/>
                <w:szCs w:val="24"/>
                <w14:textFill>
                  <w14:solidFill>
                    <w14:schemeClr w14:val="tx1"/>
                  </w14:solidFill>
                </w14:textFill>
              </w:rPr>
              <w:t>）》符合性分析</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011"/>
              <w:gridCol w:w="2184"/>
              <w:gridCol w:w="742"/>
            </w:tblGrid>
            <w:tr w14:paraId="5765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260F876C">
                  <w:pPr>
                    <w:pStyle w:val="32"/>
                    <w:snapToGrid w:val="0"/>
                    <w:spacing w:line="240" w:lineRule="auto"/>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管控内容</w:t>
                  </w:r>
                </w:p>
              </w:tc>
              <w:tc>
                <w:tcPr>
                  <w:tcW w:w="1375" w:type="pct"/>
                  <w:vAlign w:val="center"/>
                </w:tcPr>
                <w:p w14:paraId="66DDBC75">
                  <w:pPr>
                    <w:pStyle w:val="32"/>
                    <w:snapToGrid w:val="0"/>
                    <w:spacing w:line="240" w:lineRule="auto"/>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本项目情况</w:t>
                  </w:r>
                </w:p>
              </w:tc>
              <w:tc>
                <w:tcPr>
                  <w:tcW w:w="467" w:type="pct"/>
                  <w:vAlign w:val="center"/>
                </w:tcPr>
                <w:p w14:paraId="3F3755F9">
                  <w:pPr>
                    <w:pStyle w:val="32"/>
                    <w:snapToGrid w:val="0"/>
                    <w:spacing w:line="240" w:lineRule="auto"/>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符合性分析</w:t>
                  </w:r>
                </w:p>
              </w:tc>
            </w:tr>
            <w:tr w14:paraId="2B194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5488D93A">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第五条 禁止新建、改建和扩建不符合全国港口布局规划，以及《四川省内河水运发展规划》《泸州-宜宾-乐山港口群布局规划》《重庆港总体规划（2035年）》等省级港口布局规划及市级港口总体规划的码头项目。</w:t>
                  </w:r>
                </w:p>
              </w:tc>
              <w:tc>
                <w:tcPr>
                  <w:tcW w:w="1375" w:type="pct"/>
                  <w:vAlign w:val="center"/>
                </w:tcPr>
                <w:p w14:paraId="580E39E3">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w:t>
                  </w:r>
                  <w:r>
                    <w:rPr>
                      <w:rFonts w:hint="eastAsia" w:ascii="Times New Roman" w:hAnsi="Times New Roman"/>
                      <w:color w:val="000000" w:themeColor="text1"/>
                      <w:sz w:val="21"/>
                      <w:szCs w:val="21"/>
                      <w:lang w:val="en-US" w:eastAsia="zh-CN"/>
                      <w14:textFill>
                        <w14:solidFill>
                          <w14:schemeClr w14:val="tx1"/>
                        </w14:solidFill>
                      </w14:textFill>
                    </w:rPr>
                    <w:t>为</w:t>
                  </w:r>
                  <w:r>
                    <w:rPr>
                      <w:rFonts w:hint="eastAsia"/>
                      <w:color w:val="000000" w:themeColor="text1"/>
                      <w:sz w:val="21"/>
                      <w:szCs w:val="21"/>
                      <w:lang w:eastAsia="zh-CN"/>
                      <w14:textFill>
                        <w14:solidFill>
                          <w14:schemeClr w14:val="tx1"/>
                        </w14:solidFill>
                      </w14:textFill>
                    </w:rPr>
                    <w:t>摩托车零部件及配件制造生产项目，</w:t>
                  </w:r>
                  <w:r>
                    <w:rPr>
                      <w:rFonts w:hint="eastAsia"/>
                      <w:color w:val="000000" w:themeColor="text1"/>
                      <w:sz w:val="21"/>
                      <w:szCs w:val="21"/>
                      <w:lang w:val="en-US" w:eastAsia="zh-CN"/>
                      <w14:textFill>
                        <w14:solidFill>
                          <w14:schemeClr w14:val="tx1"/>
                        </w14:solidFill>
                      </w14:textFill>
                    </w:rPr>
                    <w:t>不属于</w:t>
                  </w:r>
                  <w:r>
                    <w:rPr>
                      <w:rFonts w:ascii="Times New Roman" w:hAnsi="Times New Roman"/>
                      <w:color w:val="000000" w:themeColor="text1"/>
                      <w:sz w:val="21"/>
                      <w:szCs w:val="21"/>
                      <w14:textFill>
                        <w14:solidFill>
                          <w14:schemeClr w14:val="tx1"/>
                        </w14:solidFill>
                      </w14:textFill>
                    </w:rPr>
                    <w:t>码头项目。</w:t>
                  </w:r>
                </w:p>
              </w:tc>
              <w:tc>
                <w:tcPr>
                  <w:tcW w:w="467" w:type="pct"/>
                  <w:vAlign w:val="center"/>
                </w:tcPr>
                <w:p w14:paraId="4B70953F">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1734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4537CF83">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第六条 禁止新建、改建和扩建不符合《长江干线过江通道布局规划（2020-2035年）》的过长江通道项目（含桥梁、隧道），国家发展改革委同意过长江通道线位调整的除外。</w:t>
                  </w:r>
                </w:p>
              </w:tc>
              <w:tc>
                <w:tcPr>
                  <w:tcW w:w="1375" w:type="pct"/>
                  <w:vAlign w:val="center"/>
                </w:tcPr>
                <w:p w14:paraId="15589E7C">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本项目</w:t>
                  </w:r>
                  <w:r>
                    <w:rPr>
                      <w:rFonts w:hint="eastAsia" w:ascii="Times New Roman" w:hAnsi="Times New Roman"/>
                      <w:color w:val="000000" w:themeColor="text1"/>
                      <w:sz w:val="21"/>
                      <w:szCs w:val="21"/>
                      <w:lang w:val="en-US" w:eastAsia="zh-CN"/>
                      <w14:textFill>
                        <w14:solidFill>
                          <w14:schemeClr w14:val="tx1"/>
                        </w14:solidFill>
                      </w14:textFill>
                    </w:rPr>
                    <w:t>为</w:t>
                  </w:r>
                  <w:r>
                    <w:rPr>
                      <w:rFonts w:hint="eastAsia"/>
                      <w:color w:val="000000" w:themeColor="text1"/>
                      <w:sz w:val="21"/>
                      <w:szCs w:val="21"/>
                      <w:lang w:eastAsia="zh-CN"/>
                      <w14:textFill>
                        <w14:solidFill>
                          <w14:schemeClr w14:val="tx1"/>
                        </w14:solidFill>
                      </w14:textFill>
                    </w:rPr>
                    <w:t>摩托车零部件及配件制造生产项目，</w:t>
                  </w:r>
                  <w:r>
                    <w:rPr>
                      <w:rFonts w:hint="eastAsia" w:ascii="Times New Roman" w:hAnsi="Times New Roman"/>
                      <w:color w:val="000000" w:themeColor="text1"/>
                      <w:sz w:val="21"/>
                      <w:szCs w:val="21"/>
                      <w:lang w:val="en-US" w:eastAsia="zh-CN"/>
                      <w14:textFill>
                        <w14:solidFill>
                          <w14:schemeClr w14:val="tx1"/>
                        </w14:solidFill>
                      </w14:textFill>
                    </w:rPr>
                    <w:t>不属于</w:t>
                  </w:r>
                  <w:r>
                    <w:rPr>
                      <w:rFonts w:ascii="Times New Roman" w:hAnsi="Times New Roman"/>
                      <w:color w:val="000000" w:themeColor="text1"/>
                      <w:sz w:val="21"/>
                      <w:szCs w:val="21"/>
                      <w14:textFill>
                        <w14:solidFill>
                          <w14:schemeClr w14:val="tx1"/>
                        </w14:solidFill>
                      </w14:textFill>
                    </w:rPr>
                    <w:t>过长江通道项目。</w:t>
                  </w:r>
                </w:p>
              </w:tc>
              <w:tc>
                <w:tcPr>
                  <w:tcW w:w="467" w:type="pct"/>
                  <w:vAlign w:val="center"/>
                </w:tcPr>
                <w:p w14:paraId="3AC1FAE6">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5365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361668D7">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第七条 禁止在自然保护区核心区、缓冲区的岸线和河段范围内投资建设旅游和生产经营项目。自然保护区的内部未分区的，依照核心区和缓冲区的规定管控。</w:t>
                  </w:r>
                </w:p>
              </w:tc>
              <w:tc>
                <w:tcPr>
                  <w:tcW w:w="1375" w:type="pct"/>
                  <w:vAlign w:val="center"/>
                </w:tcPr>
                <w:p w14:paraId="5601FF75">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w:t>
                  </w:r>
                  <w:r>
                    <w:rPr>
                      <w:rFonts w:ascii="Times New Roman" w:hAnsi="Times New Roman"/>
                      <w:color w:val="000000" w:themeColor="text1"/>
                      <w:sz w:val="21"/>
                      <w:szCs w:val="21"/>
                      <w14:textFill>
                        <w14:solidFill>
                          <w14:schemeClr w14:val="tx1"/>
                        </w14:solidFill>
                      </w14:textFill>
                    </w:rPr>
                    <w:t>项目位于</w:t>
                  </w:r>
                  <w:r>
                    <w:rPr>
                      <w:rFonts w:hint="eastAsia" w:ascii="Times New Roman" w:hAnsi="Times New Roman"/>
                      <w:bCs/>
                      <w:color w:val="000000" w:themeColor="text1"/>
                      <w:sz w:val="21"/>
                      <w:szCs w:val="21"/>
                      <w:lang w:eastAsia="zh-CN"/>
                      <w14:textFill>
                        <w14:solidFill>
                          <w14:schemeClr w14:val="tx1"/>
                        </w14:solidFill>
                      </w14:textFill>
                    </w:rPr>
                    <w:t>璧山高新技术产业开发区青杠-来凤组团</w:t>
                  </w:r>
                  <w:r>
                    <w:rPr>
                      <w:rFonts w:ascii="Times New Roman" w:hAnsi="Times New Roman"/>
                      <w:color w:val="000000" w:themeColor="text1"/>
                      <w:sz w:val="21"/>
                      <w:szCs w:val="21"/>
                      <w14:textFill>
                        <w14:solidFill>
                          <w14:schemeClr w14:val="tx1"/>
                        </w14:solidFill>
                      </w14:textFill>
                    </w:rPr>
                    <w:t>，不涉及自然保护区。</w:t>
                  </w:r>
                </w:p>
              </w:tc>
              <w:tc>
                <w:tcPr>
                  <w:tcW w:w="467" w:type="pct"/>
                  <w:vAlign w:val="center"/>
                </w:tcPr>
                <w:p w14:paraId="7324F033">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0DA0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783F0B04">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第八条 禁止违反风景名胜区规划，在风景名胜区内设立各类开发区。禁止风景名胜区核心景区的岸线和河段范围内建设宾馆、招待所、培训中心、疗养院以及与风景名胜资源保护无关的项目。</w:t>
                  </w:r>
                </w:p>
              </w:tc>
              <w:tc>
                <w:tcPr>
                  <w:tcW w:w="1375" w:type="pct"/>
                  <w:vAlign w:val="center"/>
                </w:tcPr>
                <w:p w14:paraId="586C1E50">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w:t>
                  </w:r>
                  <w:r>
                    <w:rPr>
                      <w:rFonts w:ascii="Times New Roman" w:hAnsi="Times New Roman"/>
                      <w:color w:val="000000" w:themeColor="text1"/>
                      <w:sz w:val="21"/>
                      <w:szCs w:val="21"/>
                      <w14:textFill>
                        <w14:solidFill>
                          <w14:schemeClr w14:val="tx1"/>
                        </w14:solidFill>
                      </w14:textFill>
                    </w:rPr>
                    <w:t>项目位于</w:t>
                  </w:r>
                  <w:r>
                    <w:rPr>
                      <w:rFonts w:hint="eastAsia" w:ascii="Times New Roman" w:hAnsi="Times New Roman"/>
                      <w:bCs/>
                      <w:color w:val="000000" w:themeColor="text1"/>
                      <w:sz w:val="21"/>
                      <w:szCs w:val="21"/>
                      <w:lang w:eastAsia="zh-CN"/>
                      <w14:textFill>
                        <w14:solidFill>
                          <w14:schemeClr w14:val="tx1"/>
                        </w14:solidFill>
                      </w14:textFill>
                    </w:rPr>
                    <w:t>璧山高新技术产业开发区青杠-来凤组团</w:t>
                  </w:r>
                  <w:r>
                    <w:rPr>
                      <w:rFonts w:ascii="Times New Roman" w:hAnsi="Times New Roman"/>
                      <w:color w:val="000000" w:themeColor="text1"/>
                      <w:sz w:val="21"/>
                      <w:szCs w:val="21"/>
                      <w14:textFill>
                        <w14:solidFill>
                          <w14:schemeClr w14:val="tx1"/>
                        </w14:solidFill>
                      </w14:textFill>
                    </w:rPr>
                    <w:t>，不涉及风景名胜区。</w:t>
                  </w:r>
                </w:p>
              </w:tc>
              <w:tc>
                <w:tcPr>
                  <w:tcW w:w="467" w:type="pct"/>
                  <w:vAlign w:val="center"/>
                </w:tcPr>
                <w:p w14:paraId="622892A3">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3D13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7C0A3796">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第九条禁止在饮用水水源准保护区的岸线和河段范围内新建、扩建对水体污染严重的建设项目，禁止改建增加排污量的建设项目。</w:t>
                  </w:r>
                </w:p>
              </w:tc>
              <w:tc>
                <w:tcPr>
                  <w:tcW w:w="1375" w:type="pct"/>
                  <w:vAlign w:val="center"/>
                </w:tcPr>
                <w:p w14:paraId="2DBB2271">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w:t>
                  </w:r>
                  <w:r>
                    <w:rPr>
                      <w:rFonts w:ascii="Times New Roman" w:hAnsi="Times New Roman"/>
                      <w:color w:val="000000" w:themeColor="text1"/>
                      <w:sz w:val="21"/>
                      <w:szCs w:val="21"/>
                      <w14:textFill>
                        <w14:solidFill>
                          <w14:schemeClr w14:val="tx1"/>
                        </w14:solidFill>
                      </w14:textFill>
                    </w:rPr>
                    <w:t>项目位于</w:t>
                  </w:r>
                  <w:r>
                    <w:rPr>
                      <w:rFonts w:hint="eastAsia" w:ascii="Times New Roman" w:hAnsi="Times New Roman"/>
                      <w:bCs/>
                      <w:color w:val="000000" w:themeColor="text1"/>
                      <w:sz w:val="21"/>
                      <w:szCs w:val="21"/>
                      <w:lang w:eastAsia="zh-CN"/>
                      <w14:textFill>
                        <w14:solidFill>
                          <w14:schemeClr w14:val="tx1"/>
                        </w14:solidFill>
                      </w14:textFill>
                    </w:rPr>
                    <w:t>璧山高新技术产业开发区青杠-来凤组团</w:t>
                  </w:r>
                  <w:r>
                    <w:rPr>
                      <w:rFonts w:ascii="Times New Roman" w:hAnsi="Times New Roman"/>
                      <w:color w:val="000000" w:themeColor="text1"/>
                      <w:sz w:val="21"/>
                      <w:szCs w:val="21"/>
                      <w14:textFill>
                        <w14:solidFill>
                          <w14:schemeClr w14:val="tx1"/>
                        </w14:solidFill>
                      </w14:textFill>
                    </w:rPr>
                    <w:t>，不涉及饮用水源准保护区。</w:t>
                  </w:r>
                </w:p>
              </w:tc>
              <w:tc>
                <w:tcPr>
                  <w:tcW w:w="467" w:type="pct"/>
                  <w:vAlign w:val="center"/>
                </w:tcPr>
                <w:p w14:paraId="46144689">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7ECB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04855D3B">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第十条 饮用水水源二级保护区的岸线和河段范围内，除遵守准保护区规定外，禁止新建、改建、扩建排放污染物的投资建设项目；禁止从事对水体有污染的水产养殖等活动。</w:t>
                  </w:r>
                </w:p>
              </w:tc>
              <w:tc>
                <w:tcPr>
                  <w:tcW w:w="1375" w:type="pct"/>
                  <w:vAlign w:val="center"/>
                </w:tcPr>
                <w:p w14:paraId="49316167">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w:t>
                  </w:r>
                  <w:r>
                    <w:rPr>
                      <w:rFonts w:ascii="Times New Roman" w:hAnsi="Times New Roman"/>
                      <w:color w:val="000000" w:themeColor="text1"/>
                      <w:sz w:val="21"/>
                      <w:szCs w:val="21"/>
                      <w14:textFill>
                        <w14:solidFill>
                          <w14:schemeClr w14:val="tx1"/>
                        </w14:solidFill>
                      </w14:textFill>
                    </w:rPr>
                    <w:t>项目位于</w:t>
                  </w:r>
                  <w:r>
                    <w:rPr>
                      <w:rFonts w:hint="eastAsia" w:ascii="Times New Roman" w:hAnsi="Times New Roman"/>
                      <w:bCs/>
                      <w:color w:val="000000" w:themeColor="text1"/>
                      <w:sz w:val="21"/>
                      <w:szCs w:val="21"/>
                      <w:lang w:eastAsia="zh-CN"/>
                      <w14:textFill>
                        <w14:solidFill>
                          <w14:schemeClr w14:val="tx1"/>
                        </w14:solidFill>
                      </w14:textFill>
                    </w:rPr>
                    <w:t>璧山高新技术产业开发区青杠-来凤组团</w:t>
                  </w:r>
                  <w:r>
                    <w:rPr>
                      <w:rFonts w:ascii="Times New Roman" w:hAnsi="Times New Roman"/>
                      <w:color w:val="000000" w:themeColor="text1"/>
                      <w:sz w:val="21"/>
                      <w:szCs w:val="21"/>
                      <w14:textFill>
                        <w14:solidFill>
                          <w14:schemeClr w14:val="tx1"/>
                        </w14:solidFill>
                      </w14:textFill>
                    </w:rPr>
                    <w:t>，不涉及饮用水水源二级保护区。</w:t>
                  </w:r>
                </w:p>
              </w:tc>
              <w:tc>
                <w:tcPr>
                  <w:tcW w:w="467" w:type="pct"/>
                  <w:vAlign w:val="center"/>
                </w:tcPr>
                <w:p w14:paraId="1136A079">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6D8D8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1ACBA9EE">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第十一条 饮用水水源一级保护区的岸线和河段范围内，除遵守二级保护区规定外，禁止新建、改建、扩建与供水设施和保护水源无关的项目，以及网箱养殖、畜禽养殖、旅游等可能污染饮用水水体的投资建设项目。</w:t>
                  </w:r>
                </w:p>
              </w:tc>
              <w:tc>
                <w:tcPr>
                  <w:tcW w:w="1375" w:type="pct"/>
                  <w:vAlign w:val="center"/>
                </w:tcPr>
                <w:p w14:paraId="3FD567E5">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w:t>
                  </w:r>
                  <w:r>
                    <w:rPr>
                      <w:rFonts w:ascii="Times New Roman" w:hAnsi="Times New Roman"/>
                      <w:color w:val="000000" w:themeColor="text1"/>
                      <w:sz w:val="21"/>
                      <w:szCs w:val="21"/>
                      <w14:textFill>
                        <w14:solidFill>
                          <w14:schemeClr w14:val="tx1"/>
                        </w14:solidFill>
                      </w14:textFill>
                    </w:rPr>
                    <w:t>项目位于</w:t>
                  </w:r>
                  <w:r>
                    <w:rPr>
                      <w:rFonts w:hint="eastAsia" w:ascii="Times New Roman" w:hAnsi="Times New Roman"/>
                      <w:bCs/>
                      <w:color w:val="000000" w:themeColor="text1"/>
                      <w:sz w:val="21"/>
                      <w:szCs w:val="21"/>
                      <w:lang w:eastAsia="zh-CN"/>
                      <w14:textFill>
                        <w14:solidFill>
                          <w14:schemeClr w14:val="tx1"/>
                        </w14:solidFill>
                      </w14:textFill>
                    </w:rPr>
                    <w:t>璧山高新技术产业开发区青杠-来凤组团</w:t>
                  </w:r>
                  <w:r>
                    <w:rPr>
                      <w:rFonts w:ascii="Times New Roman" w:hAnsi="Times New Roman"/>
                      <w:color w:val="000000" w:themeColor="text1"/>
                      <w:sz w:val="21"/>
                      <w:szCs w:val="21"/>
                      <w14:textFill>
                        <w14:solidFill>
                          <w14:schemeClr w14:val="tx1"/>
                        </w14:solidFill>
                      </w14:textFill>
                    </w:rPr>
                    <w:t>，不涉及饮用水水源一级保护区。</w:t>
                  </w:r>
                </w:p>
              </w:tc>
              <w:tc>
                <w:tcPr>
                  <w:tcW w:w="467" w:type="pct"/>
                  <w:vAlign w:val="center"/>
                </w:tcPr>
                <w:p w14:paraId="6AB26B71">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507BC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078F401E">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第十二条 禁止在水产种质资源保护区岸线和河段范围内新建围湖造田、围海造地或挖沙采石等投资建设项目。</w:t>
                  </w:r>
                </w:p>
              </w:tc>
              <w:tc>
                <w:tcPr>
                  <w:tcW w:w="1375" w:type="pct"/>
                  <w:vAlign w:val="center"/>
                </w:tcPr>
                <w:p w14:paraId="5E1AB262">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w:t>
                  </w:r>
                  <w:r>
                    <w:rPr>
                      <w:rFonts w:ascii="Times New Roman" w:hAnsi="Times New Roman"/>
                      <w:color w:val="000000" w:themeColor="text1"/>
                      <w:sz w:val="21"/>
                      <w:szCs w:val="21"/>
                      <w14:textFill>
                        <w14:solidFill>
                          <w14:schemeClr w14:val="tx1"/>
                        </w14:solidFill>
                      </w14:textFill>
                    </w:rPr>
                    <w:t>项目位于</w:t>
                  </w:r>
                  <w:r>
                    <w:rPr>
                      <w:rFonts w:hint="eastAsia" w:ascii="Times New Roman" w:hAnsi="Times New Roman"/>
                      <w:bCs/>
                      <w:color w:val="000000" w:themeColor="text1"/>
                      <w:sz w:val="21"/>
                      <w:szCs w:val="21"/>
                      <w:lang w:eastAsia="zh-CN"/>
                      <w14:textFill>
                        <w14:solidFill>
                          <w14:schemeClr w14:val="tx1"/>
                        </w14:solidFill>
                      </w14:textFill>
                    </w:rPr>
                    <w:t>璧山高新技术产业开发区青杠-来凤组团</w:t>
                  </w:r>
                  <w:r>
                    <w:rPr>
                      <w:rFonts w:ascii="Times New Roman" w:hAnsi="Times New Roman"/>
                      <w:color w:val="000000" w:themeColor="text1"/>
                      <w:sz w:val="21"/>
                      <w:szCs w:val="21"/>
                      <w14:textFill>
                        <w14:solidFill>
                          <w14:schemeClr w14:val="tx1"/>
                        </w14:solidFill>
                      </w14:textFill>
                    </w:rPr>
                    <w:t>，不涉及水产资源保护区。</w:t>
                  </w:r>
                </w:p>
              </w:tc>
              <w:tc>
                <w:tcPr>
                  <w:tcW w:w="467" w:type="pct"/>
                  <w:vAlign w:val="center"/>
                </w:tcPr>
                <w:p w14:paraId="172BFB7C">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6AA04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5B6C92F1">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第十三条 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375" w:type="pct"/>
                  <w:vAlign w:val="center"/>
                </w:tcPr>
                <w:p w14:paraId="515A54C2">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w:t>
                  </w:r>
                  <w:r>
                    <w:rPr>
                      <w:rFonts w:ascii="Times New Roman" w:hAnsi="Times New Roman"/>
                      <w:color w:val="000000" w:themeColor="text1"/>
                      <w:sz w:val="21"/>
                      <w:szCs w:val="21"/>
                      <w14:textFill>
                        <w14:solidFill>
                          <w14:schemeClr w14:val="tx1"/>
                        </w14:solidFill>
                      </w14:textFill>
                    </w:rPr>
                    <w:t>项目位于</w:t>
                  </w:r>
                  <w:r>
                    <w:rPr>
                      <w:rFonts w:hint="eastAsia" w:ascii="Times New Roman" w:hAnsi="Times New Roman"/>
                      <w:bCs/>
                      <w:color w:val="000000" w:themeColor="text1"/>
                      <w:sz w:val="21"/>
                      <w:szCs w:val="21"/>
                      <w:lang w:eastAsia="zh-CN"/>
                      <w14:textFill>
                        <w14:solidFill>
                          <w14:schemeClr w14:val="tx1"/>
                        </w14:solidFill>
                      </w14:textFill>
                    </w:rPr>
                    <w:t>璧山高新技术产业开发区青杠-来凤组团</w:t>
                  </w:r>
                  <w:r>
                    <w:rPr>
                      <w:rFonts w:ascii="Times New Roman" w:hAnsi="Times New Roman"/>
                      <w:color w:val="000000" w:themeColor="text1"/>
                      <w:sz w:val="21"/>
                      <w:szCs w:val="21"/>
                      <w14:textFill>
                        <w14:solidFill>
                          <w14:schemeClr w14:val="tx1"/>
                        </w14:solidFill>
                      </w14:textFill>
                    </w:rPr>
                    <w:t>，不涉及国家湿地公园。</w:t>
                  </w:r>
                </w:p>
              </w:tc>
              <w:tc>
                <w:tcPr>
                  <w:tcW w:w="467" w:type="pct"/>
                  <w:vAlign w:val="center"/>
                </w:tcPr>
                <w:p w14:paraId="2182BC80">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0660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6A875217">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第十四条 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375" w:type="pct"/>
                  <w:vAlign w:val="center"/>
                </w:tcPr>
                <w:p w14:paraId="746FB0AF">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w:t>
                  </w:r>
                  <w:r>
                    <w:rPr>
                      <w:rFonts w:ascii="Times New Roman" w:hAnsi="Times New Roman"/>
                      <w:color w:val="000000" w:themeColor="text1"/>
                      <w:sz w:val="21"/>
                      <w:szCs w:val="21"/>
                      <w14:textFill>
                        <w14:solidFill>
                          <w14:schemeClr w14:val="tx1"/>
                        </w14:solidFill>
                      </w14:textFill>
                    </w:rPr>
                    <w:t>项目位于</w:t>
                  </w:r>
                  <w:r>
                    <w:rPr>
                      <w:rFonts w:hint="eastAsia" w:ascii="Times New Roman" w:hAnsi="Times New Roman"/>
                      <w:bCs/>
                      <w:color w:val="000000" w:themeColor="text1"/>
                      <w:sz w:val="21"/>
                      <w:szCs w:val="21"/>
                      <w:lang w:eastAsia="zh-CN"/>
                      <w14:textFill>
                        <w14:solidFill>
                          <w14:schemeClr w14:val="tx1"/>
                        </w14:solidFill>
                      </w14:textFill>
                    </w:rPr>
                    <w:t>璧山高新技术产业开发区青杠-来凤组团</w:t>
                  </w:r>
                  <w:r>
                    <w:rPr>
                      <w:rFonts w:ascii="Times New Roman" w:hAnsi="Times New Roman"/>
                      <w:color w:val="000000" w:themeColor="text1"/>
                      <w:sz w:val="21"/>
                      <w:szCs w:val="21"/>
                      <w14:textFill>
                        <w14:solidFill>
                          <w14:schemeClr w14:val="tx1"/>
                        </w14:solidFill>
                      </w14:textFill>
                    </w:rPr>
                    <w:t>，不在长江沿线内。</w:t>
                  </w:r>
                </w:p>
              </w:tc>
              <w:tc>
                <w:tcPr>
                  <w:tcW w:w="467" w:type="pct"/>
                  <w:vAlign w:val="center"/>
                </w:tcPr>
                <w:p w14:paraId="05C23349">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34DC4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287D0C99">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第十五条禁止在《全国重要江河湖泊水功能区划》划定的河段及湖泊保护区、保留区内投资建设不利于水资源及自然生态保护的项目。</w:t>
                  </w:r>
                </w:p>
              </w:tc>
              <w:tc>
                <w:tcPr>
                  <w:tcW w:w="1375" w:type="pct"/>
                  <w:vAlign w:val="center"/>
                </w:tcPr>
                <w:p w14:paraId="156D7599">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w:t>
                  </w:r>
                  <w:r>
                    <w:rPr>
                      <w:rFonts w:ascii="Times New Roman" w:hAnsi="Times New Roman"/>
                      <w:color w:val="000000" w:themeColor="text1"/>
                      <w:sz w:val="21"/>
                      <w:szCs w:val="21"/>
                      <w14:textFill>
                        <w14:solidFill>
                          <w14:schemeClr w14:val="tx1"/>
                        </w14:solidFill>
                      </w14:textFill>
                    </w:rPr>
                    <w:t>项目位于</w:t>
                  </w:r>
                  <w:r>
                    <w:rPr>
                      <w:rFonts w:hint="eastAsia" w:ascii="Times New Roman" w:hAnsi="Times New Roman"/>
                      <w:bCs/>
                      <w:color w:val="000000" w:themeColor="text1"/>
                      <w:sz w:val="21"/>
                      <w:szCs w:val="21"/>
                      <w:lang w:eastAsia="zh-CN"/>
                      <w14:textFill>
                        <w14:solidFill>
                          <w14:schemeClr w14:val="tx1"/>
                        </w14:solidFill>
                      </w14:textFill>
                    </w:rPr>
                    <w:t>璧山高新技术产业开发区青杠-来凤组团</w:t>
                  </w:r>
                  <w:r>
                    <w:rPr>
                      <w:rFonts w:ascii="Times New Roman" w:hAnsi="Times New Roman"/>
                      <w:color w:val="000000" w:themeColor="text1"/>
                      <w:sz w:val="21"/>
                      <w:szCs w:val="21"/>
                      <w14:textFill>
                        <w14:solidFill>
                          <w14:schemeClr w14:val="tx1"/>
                        </w14:solidFill>
                      </w14:textFill>
                    </w:rPr>
                    <w:t>，不在前述区域内。</w:t>
                  </w:r>
                </w:p>
              </w:tc>
              <w:tc>
                <w:tcPr>
                  <w:tcW w:w="467" w:type="pct"/>
                  <w:vAlign w:val="center"/>
                </w:tcPr>
                <w:p w14:paraId="44CB64C9">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551E9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38D8E620">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第十六条禁止在长江流域江河、湖泊新设、改设或者扩大排污口，经有管辖权的生态环境主管部门或者长江流域生态环境监督管理机构同意的除外。</w:t>
                  </w:r>
                </w:p>
              </w:tc>
              <w:tc>
                <w:tcPr>
                  <w:tcW w:w="1375" w:type="pct"/>
                  <w:vAlign w:val="center"/>
                </w:tcPr>
                <w:p w14:paraId="68CE1F9C">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w:t>
                  </w:r>
                  <w:r>
                    <w:rPr>
                      <w:rFonts w:ascii="Times New Roman" w:hAnsi="Times New Roman"/>
                      <w:color w:val="000000" w:themeColor="text1"/>
                      <w:sz w:val="21"/>
                      <w:szCs w:val="21"/>
                      <w14:textFill>
                        <w14:solidFill>
                          <w14:schemeClr w14:val="tx1"/>
                        </w14:solidFill>
                      </w14:textFill>
                    </w:rPr>
                    <w:t>项目不属于长江流域江河、湖泊新设、改设或者扩大排污口。</w:t>
                  </w:r>
                </w:p>
              </w:tc>
              <w:tc>
                <w:tcPr>
                  <w:tcW w:w="467" w:type="pct"/>
                  <w:vAlign w:val="center"/>
                </w:tcPr>
                <w:p w14:paraId="3764E24B">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48FCD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230ABC01">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第十七条 禁止在长江干流、大渡河、岷江、赤水河、沱江、嘉陵江、乌江、汉江和51个（四川省45个、重庆市6个）水生生物保护区开展生产性捕捞。</w:t>
                  </w:r>
                </w:p>
              </w:tc>
              <w:tc>
                <w:tcPr>
                  <w:tcW w:w="1375" w:type="pct"/>
                  <w:vAlign w:val="center"/>
                </w:tcPr>
                <w:p w14:paraId="6D0C3AF6">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w:t>
                  </w:r>
                  <w:r>
                    <w:rPr>
                      <w:rFonts w:ascii="Times New Roman" w:hAnsi="Times New Roman"/>
                      <w:color w:val="000000" w:themeColor="text1"/>
                      <w:sz w:val="21"/>
                      <w:szCs w:val="21"/>
                      <w14:textFill>
                        <w14:solidFill>
                          <w14:schemeClr w14:val="tx1"/>
                        </w14:solidFill>
                      </w14:textFill>
                    </w:rPr>
                    <w:t>项目</w:t>
                  </w:r>
                  <w:r>
                    <w:rPr>
                      <w:rFonts w:hint="eastAsia" w:ascii="Times New Roman" w:hAnsi="Times New Roman"/>
                      <w:color w:val="000000" w:themeColor="text1"/>
                      <w:sz w:val="21"/>
                      <w:szCs w:val="21"/>
                      <w:lang w:val="en-US" w:eastAsia="zh-CN"/>
                      <w14:textFill>
                        <w14:solidFill>
                          <w14:schemeClr w14:val="tx1"/>
                        </w14:solidFill>
                      </w14:textFill>
                    </w:rPr>
                    <w:t>为</w:t>
                  </w:r>
                  <w:r>
                    <w:rPr>
                      <w:rFonts w:hint="eastAsia"/>
                      <w:color w:val="000000" w:themeColor="text1"/>
                      <w:sz w:val="21"/>
                      <w:szCs w:val="21"/>
                      <w:lang w:eastAsia="zh-CN"/>
                      <w14:textFill>
                        <w14:solidFill>
                          <w14:schemeClr w14:val="tx1"/>
                        </w14:solidFill>
                      </w14:textFill>
                    </w:rPr>
                    <w:t>摩托车零部件及配件制造生产项目，</w:t>
                  </w:r>
                  <w:r>
                    <w:rPr>
                      <w:rFonts w:ascii="Times New Roman" w:hAnsi="Times New Roman"/>
                      <w:color w:val="000000" w:themeColor="text1"/>
                      <w:sz w:val="21"/>
                      <w:szCs w:val="21"/>
                      <w14:textFill>
                        <w14:solidFill>
                          <w14:schemeClr w14:val="tx1"/>
                        </w14:solidFill>
                      </w14:textFill>
                    </w:rPr>
                    <w:t>不涉及捕捞。</w:t>
                  </w:r>
                </w:p>
              </w:tc>
              <w:tc>
                <w:tcPr>
                  <w:tcW w:w="467" w:type="pct"/>
                  <w:vAlign w:val="center"/>
                </w:tcPr>
                <w:p w14:paraId="4D191BD2">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4C88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31426BF6">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第十八条 禁止在长江干支流、重要湖泊岸线一公里范围内新建、扩建化工园区和化工项目。</w:t>
                  </w:r>
                </w:p>
              </w:tc>
              <w:tc>
                <w:tcPr>
                  <w:tcW w:w="1375" w:type="pct"/>
                  <w:vAlign w:val="center"/>
                </w:tcPr>
                <w:p w14:paraId="2CC42714">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w:t>
                  </w:r>
                  <w:r>
                    <w:rPr>
                      <w:rFonts w:ascii="Times New Roman" w:hAnsi="Times New Roman"/>
                      <w:color w:val="000000" w:themeColor="text1"/>
                      <w:sz w:val="21"/>
                      <w:szCs w:val="21"/>
                      <w14:textFill>
                        <w14:solidFill>
                          <w14:schemeClr w14:val="tx1"/>
                        </w14:solidFill>
                      </w14:textFill>
                    </w:rPr>
                    <w:t>项目</w:t>
                  </w:r>
                  <w:r>
                    <w:rPr>
                      <w:rFonts w:hint="eastAsia" w:ascii="Times New Roman" w:hAnsi="Times New Roman"/>
                      <w:color w:val="000000" w:themeColor="text1"/>
                      <w:sz w:val="21"/>
                      <w:szCs w:val="21"/>
                      <w:lang w:val="en-US" w:eastAsia="zh-CN"/>
                      <w14:textFill>
                        <w14:solidFill>
                          <w14:schemeClr w14:val="tx1"/>
                        </w14:solidFill>
                      </w14:textFill>
                    </w:rPr>
                    <w:t>为</w:t>
                  </w:r>
                  <w:r>
                    <w:rPr>
                      <w:rFonts w:hint="eastAsia"/>
                      <w:color w:val="000000" w:themeColor="text1"/>
                      <w:sz w:val="21"/>
                      <w:szCs w:val="21"/>
                      <w:lang w:eastAsia="zh-CN"/>
                      <w14:textFill>
                        <w14:solidFill>
                          <w14:schemeClr w14:val="tx1"/>
                        </w14:solidFill>
                      </w14:textFill>
                    </w:rPr>
                    <w:t>摩托车零部件及配件制造生产项目，</w:t>
                  </w:r>
                  <w:r>
                    <w:rPr>
                      <w:rFonts w:hint="eastAsia" w:ascii="Times New Roman" w:hAnsi="Times New Roman"/>
                      <w:color w:val="000000" w:themeColor="text1"/>
                      <w:sz w:val="21"/>
                      <w:szCs w:val="21"/>
                      <w:lang w:val="en-US" w:eastAsia="zh-CN"/>
                      <w14:textFill>
                        <w14:solidFill>
                          <w14:schemeClr w14:val="tx1"/>
                        </w14:solidFill>
                      </w14:textFill>
                    </w:rPr>
                    <w:t>不属于</w:t>
                  </w:r>
                  <w:r>
                    <w:rPr>
                      <w:rFonts w:ascii="Times New Roman" w:hAnsi="Times New Roman"/>
                      <w:color w:val="000000" w:themeColor="text1"/>
                      <w:sz w:val="21"/>
                      <w:szCs w:val="21"/>
                      <w14:textFill>
                        <w14:solidFill>
                          <w14:schemeClr w14:val="tx1"/>
                        </w14:solidFill>
                      </w14:textFill>
                    </w:rPr>
                    <w:t>化工项目。</w:t>
                  </w:r>
                </w:p>
              </w:tc>
              <w:tc>
                <w:tcPr>
                  <w:tcW w:w="467" w:type="pct"/>
                  <w:vAlign w:val="center"/>
                </w:tcPr>
                <w:p w14:paraId="11CA98ED">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14ACC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020A7383">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第十九条 禁止在长江干流岸线三公里范围内和重要支流岸线一公里范围内新建、改建、扩建尾矿库、冶炼渣库、磷石膏库，以提升安全、生态环境保护水平为目的的改建除外。</w:t>
                  </w:r>
                </w:p>
              </w:tc>
              <w:tc>
                <w:tcPr>
                  <w:tcW w:w="1375" w:type="pct"/>
                  <w:vAlign w:val="center"/>
                </w:tcPr>
                <w:p w14:paraId="16ABED90">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w:t>
                  </w:r>
                  <w:r>
                    <w:rPr>
                      <w:rFonts w:ascii="Times New Roman" w:hAnsi="Times New Roman"/>
                      <w:color w:val="000000" w:themeColor="text1"/>
                      <w:sz w:val="21"/>
                      <w:szCs w:val="21"/>
                      <w14:textFill>
                        <w14:solidFill>
                          <w14:schemeClr w14:val="tx1"/>
                        </w14:solidFill>
                      </w14:textFill>
                    </w:rPr>
                    <w:t>项目</w:t>
                  </w:r>
                  <w:r>
                    <w:rPr>
                      <w:rFonts w:hint="eastAsia" w:ascii="Times New Roman" w:hAnsi="Times New Roman"/>
                      <w:color w:val="000000" w:themeColor="text1"/>
                      <w:sz w:val="21"/>
                      <w:szCs w:val="21"/>
                      <w:lang w:val="en-US" w:eastAsia="zh-CN"/>
                      <w14:textFill>
                        <w14:solidFill>
                          <w14:schemeClr w14:val="tx1"/>
                        </w14:solidFill>
                      </w14:textFill>
                    </w:rPr>
                    <w:t>为</w:t>
                  </w:r>
                  <w:r>
                    <w:rPr>
                      <w:rFonts w:hint="eastAsia"/>
                      <w:color w:val="000000" w:themeColor="text1"/>
                      <w:sz w:val="21"/>
                      <w:szCs w:val="21"/>
                      <w:lang w:eastAsia="zh-CN"/>
                      <w14:textFill>
                        <w14:solidFill>
                          <w14:schemeClr w14:val="tx1"/>
                        </w14:solidFill>
                      </w14:textFill>
                    </w:rPr>
                    <w:t>摩托车零部件及配件制造生产项目，</w:t>
                  </w:r>
                  <w:r>
                    <w:rPr>
                      <w:rFonts w:hint="eastAsia"/>
                      <w:color w:val="000000" w:themeColor="text1"/>
                      <w:sz w:val="21"/>
                      <w:szCs w:val="21"/>
                      <w:lang w:val="en-US" w:eastAsia="zh-CN"/>
                      <w14:textFill>
                        <w14:solidFill>
                          <w14:schemeClr w14:val="tx1"/>
                        </w14:solidFill>
                      </w14:textFill>
                    </w:rPr>
                    <w:t>不属于</w:t>
                  </w:r>
                  <w:r>
                    <w:rPr>
                      <w:rFonts w:ascii="Times New Roman" w:hAnsi="Times New Roman"/>
                      <w:color w:val="000000" w:themeColor="text1"/>
                      <w:sz w:val="21"/>
                      <w:szCs w:val="21"/>
                      <w14:textFill>
                        <w14:solidFill>
                          <w14:schemeClr w14:val="tx1"/>
                        </w14:solidFill>
                      </w14:textFill>
                    </w:rPr>
                    <w:t>尾矿库、冶炼渣库和磷石膏库项目。</w:t>
                  </w:r>
                </w:p>
              </w:tc>
              <w:tc>
                <w:tcPr>
                  <w:tcW w:w="467" w:type="pct"/>
                  <w:vAlign w:val="center"/>
                </w:tcPr>
                <w:p w14:paraId="1662F231">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00DCC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1F58802B">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第二十条 禁止在生态保护红线区域、永久基本农田集中区域和其他需要特别保护的区域内选址建设尾矿库、冶炼渣库、磷石膏库。</w:t>
                  </w:r>
                </w:p>
              </w:tc>
              <w:tc>
                <w:tcPr>
                  <w:tcW w:w="1375" w:type="pct"/>
                  <w:vAlign w:val="center"/>
                </w:tcPr>
                <w:p w14:paraId="7062B3FF">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w:t>
                  </w:r>
                  <w:r>
                    <w:rPr>
                      <w:rFonts w:ascii="Times New Roman" w:hAnsi="Times New Roman"/>
                      <w:color w:val="000000" w:themeColor="text1"/>
                      <w:sz w:val="21"/>
                      <w:szCs w:val="21"/>
                      <w14:textFill>
                        <w14:solidFill>
                          <w14:schemeClr w14:val="tx1"/>
                        </w14:solidFill>
                      </w14:textFill>
                    </w:rPr>
                    <w:t>项目</w:t>
                  </w:r>
                  <w:r>
                    <w:rPr>
                      <w:rFonts w:hint="eastAsia" w:ascii="Times New Roman" w:hAnsi="Times New Roman"/>
                      <w:color w:val="000000" w:themeColor="text1"/>
                      <w:sz w:val="21"/>
                      <w:szCs w:val="21"/>
                      <w:lang w:val="en-US" w:eastAsia="zh-CN"/>
                      <w14:textFill>
                        <w14:solidFill>
                          <w14:schemeClr w14:val="tx1"/>
                        </w14:solidFill>
                      </w14:textFill>
                    </w:rPr>
                    <w:t>为</w:t>
                  </w:r>
                  <w:r>
                    <w:rPr>
                      <w:rFonts w:hint="eastAsia"/>
                      <w:color w:val="000000" w:themeColor="text1"/>
                      <w:sz w:val="21"/>
                      <w:szCs w:val="21"/>
                      <w:lang w:eastAsia="zh-CN"/>
                      <w14:textFill>
                        <w14:solidFill>
                          <w14:schemeClr w14:val="tx1"/>
                        </w14:solidFill>
                      </w14:textFill>
                    </w:rPr>
                    <w:t>摩托车零部件及配件制造生产项目，</w:t>
                  </w:r>
                  <w:r>
                    <w:rPr>
                      <w:rFonts w:hint="eastAsia"/>
                      <w:color w:val="000000" w:themeColor="text1"/>
                      <w:sz w:val="21"/>
                      <w:szCs w:val="21"/>
                      <w:lang w:val="en-US" w:eastAsia="zh-CN"/>
                      <w14:textFill>
                        <w14:solidFill>
                          <w14:schemeClr w14:val="tx1"/>
                        </w14:solidFill>
                      </w14:textFill>
                    </w:rPr>
                    <w:t>不属于</w:t>
                  </w:r>
                  <w:r>
                    <w:rPr>
                      <w:rFonts w:ascii="Times New Roman" w:hAnsi="Times New Roman"/>
                      <w:color w:val="000000" w:themeColor="text1"/>
                      <w:sz w:val="21"/>
                      <w:szCs w:val="21"/>
                      <w14:textFill>
                        <w14:solidFill>
                          <w14:schemeClr w14:val="tx1"/>
                        </w14:solidFill>
                      </w14:textFill>
                    </w:rPr>
                    <w:t>尾矿库、冶炼渣库和磷石膏库项目。</w:t>
                  </w:r>
                </w:p>
              </w:tc>
              <w:tc>
                <w:tcPr>
                  <w:tcW w:w="467" w:type="pct"/>
                  <w:vAlign w:val="center"/>
                </w:tcPr>
                <w:p w14:paraId="231859A5">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71E6A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3D10E761">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第二十一条 禁止在合规园区外新建、扩建钢铁、石化、化工、焦化、建材、有色、制浆造纸等高污染项目。</w:t>
                  </w:r>
                </w:p>
              </w:tc>
              <w:tc>
                <w:tcPr>
                  <w:tcW w:w="1375" w:type="pct"/>
                  <w:vAlign w:val="center"/>
                </w:tcPr>
                <w:p w14:paraId="2CF0BFAA">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w:t>
                  </w:r>
                  <w:r>
                    <w:rPr>
                      <w:rFonts w:ascii="Times New Roman" w:hAnsi="Times New Roman"/>
                      <w:color w:val="000000" w:themeColor="text1"/>
                      <w:sz w:val="21"/>
                      <w:szCs w:val="21"/>
                      <w14:textFill>
                        <w14:solidFill>
                          <w14:schemeClr w14:val="tx1"/>
                        </w14:solidFill>
                      </w14:textFill>
                    </w:rPr>
                    <w:t>项目</w:t>
                  </w:r>
                  <w:r>
                    <w:rPr>
                      <w:rFonts w:hint="eastAsia" w:ascii="Times New Roman" w:hAnsi="Times New Roman"/>
                      <w:color w:val="000000" w:themeColor="text1"/>
                      <w:sz w:val="21"/>
                      <w:szCs w:val="21"/>
                      <w:lang w:val="en-US" w:eastAsia="zh-CN"/>
                      <w14:textFill>
                        <w14:solidFill>
                          <w14:schemeClr w14:val="tx1"/>
                        </w14:solidFill>
                      </w14:textFill>
                    </w:rPr>
                    <w:t>为</w:t>
                  </w:r>
                  <w:r>
                    <w:rPr>
                      <w:rFonts w:hint="eastAsia"/>
                      <w:color w:val="000000" w:themeColor="text1"/>
                      <w:sz w:val="21"/>
                      <w:szCs w:val="21"/>
                      <w:lang w:eastAsia="zh-CN"/>
                      <w14:textFill>
                        <w14:solidFill>
                          <w14:schemeClr w14:val="tx1"/>
                        </w14:solidFill>
                      </w14:textFill>
                    </w:rPr>
                    <w:t>摩托车零部件及配件制造生产项目，</w:t>
                  </w:r>
                  <w:r>
                    <w:rPr>
                      <w:rFonts w:ascii="Times New Roman" w:hAnsi="Times New Roman"/>
                      <w:color w:val="000000" w:themeColor="text1"/>
                      <w:sz w:val="21"/>
                      <w:szCs w:val="21"/>
                      <w14:textFill>
                        <w14:solidFill>
                          <w14:schemeClr w14:val="tx1"/>
                        </w14:solidFill>
                      </w14:textFill>
                    </w:rPr>
                    <w:t>不属于前述项目。</w:t>
                  </w:r>
                </w:p>
              </w:tc>
              <w:tc>
                <w:tcPr>
                  <w:tcW w:w="467" w:type="pct"/>
                  <w:vAlign w:val="center"/>
                </w:tcPr>
                <w:p w14:paraId="38F28FBC">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33B7A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542C6CC9">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第二十二条 禁止新建、扩建不符合国家石化、现代煤化工等产业布局规划的项目。</w:t>
                  </w:r>
                </w:p>
              </w:tc>
              <w:tc>
                <w:tcPr>
                  <w:tcW w:w="1375" w:type="pct"/>
                  <w:vAlign w:val="center"/>
                </w:tcPr>
                <w:p w14:paraId="2F614AD3">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w:t>
                  </w:r>
                  <w:r>
                    <w:rPr>
                      <w:rFonts w:ascii="Times New Roman" w:hAnsi="Times New Roman"/>
                      <w:color w:val="000000" w:themeColor="text1"/>
                      <w:sz w:val="21"/>
                      <w:szCs w:val="21"/>
                      <w14:textFill>
                        <w14:solidFill>
                          <w14:schemeClr w14:val="tx1"/>
                        </w14:solidFill>
                      </w14:textFill>
                    </w:rPr>
                    <w:t>项目</w:t>
                  </w:r>
                  <w:r>
                    <w:rPr>
                      <w:rFonts w:hint="eastAsia" w:ascii="Times New Roman" w:hAnsi="Times New Roman"/>
                      <w:color w:val="000000" w:themeColor="text1"/>
                      <w:sz w:val="21"/>
                      <w:szCs w:val="21"/>
                      <w:lang w:val="en-US" w:eastAsia="zh-CN"/>
                      <w14:textFill>
                        <w14:solidFill>
                          <w14:schemeClr w14:val="tx1"/>
                        </w14:solidFill>
                      </w14:textFill>
                    </w:rPr>
                    <w:t>为</w:t>
                  </w:r>
                  <w:r>
                    <w:rPr>
                      <w:rFonts w:hint="eastAsia"/>
                      <w:color w:val="000000" w:themeColor="text1"/>
                      <w:sz w:val="21"/>
                      <w:szCs w:val="21"/>
                      <w:lang w:eastAsia="zh-CN"/>
                      <w14:textFill>
                        <w14:solidFill>
                          <w14:schemeClr w14:val="tx1"/>
                        </w14:solidFill>
                      </w14:textFill>
                    </w:rPr>
                    <w:t>摩托车零部件及配件制造生产项目，</w:t>
                  </w:r>
                  <w:r>
                    <w:rPr>
                      <w:rFonts w:hint="eastAsia" w:ascii="Times New Roman" w:hAnsi="Times New Roman"/>
                      <w:color w:val="000000" w:themeColor="text1"/>
                      <w:sz w:val="21"/>
                      <w:szCs w:val="21"/>
                      <w:lang w:val="en-US" w:eastAsia="zh-CN"/>
                      <w14:textFill>
                        <w14:solidFill>
                          <w14:schemeClr w14:val="tx1"/>
                        </w14:solidFill>
                      </w14:textFill>
                    </w:rPr>
                    <w:t>不属于</w:t>
                  </w:r>
                  <w:r>
                    <w:rPr>
                      <w:rFonts w:ascii="Times New Roman" w:hAnsi="Times New Roman"/>
                      <w:color w:val="000000" w:themeColor="text1"/>
                      <w:sz w:val="21"/>
                      <w:szCs w:val="21"/>
                      <w14:textFill>
                        <w14:solidFill>
                          <w14:schemeClr w14:val="tx1"/>
                        </w14:solidFill>
                      </w14:textFill>
                    </w:rPr>
                    <w:t>石化、煤化工项目。</w:t>
                  </w:r>
                </w:p>
              </w:tc>
              <w:tc>
                <w:tcPr>
                  <w:tcW w:w="467" w:type="pct"/>
                  <w:vAlign w:val="center"/>
                </w:tcPr>
                <w:p w14:paraId="0FED2287">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61AC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0569BFFD">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375" w:type="pct"/>
                  <w:vAlign w:val="center"/>
                </w:tcPr>
                <w:p w14:paraId="6F157939">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本项目为</w:t>
                  </w:r>
                  <w:r>
                    <w:rPr>
                      <w:rFonts w:hint="eastAsia" w:ascii="Times New Roman" w:hAnsi="Times New Roman"/>
                      <w:color w:val="000000" w:themeColor="text1"/>
                      <w:sz w:val="21"/>
                      <w:szCs w:val="21"/>
                      <w:lang w:eastAsia="zh-CN"/>
                      <w14:textFill>
                        <w14:solidFill>
                          <w14:schemeClr w14:val="tx1"/>
                        </w14:solidFill>
                      </w14:textFill>
                    </w:rPr>
                    <w:t>摩托车零部件及配件制造生产项目</w:t>
                  </w:r>
                  <w:r>
                    <w:rPr>
                      <w:rFonts w:ascii="Times New Roman" w:hAnsi="Times New Roman"/>
                      <w:color w:val="000000" w:themeColor="text1"/>
                      <w:kern w:val="44"/>
                      <w:sz w:val="21"/>
                      <w:szCs w:val="21"/>
                      <w14:textFill>
                        <w14:solidFill>
                          <w14:schemeClr w14:val="tx1"/>
                        </w14:solidFill>
                      </w14:textFill>
                    </w:rPr>
                    <w:t>，</w:t>
                  </w:r>
                  <w:r>
                    <w:rPr>
                      <w:rFonts w:hint="eastAsia" w:ascii="Times New Roman" w:hAnsi="Times New Roman"/>
                      <w:color w:val="000000" w:themeColor="text1"/>
                      <w:kern w:val="44"/>
                      <w:sz w:val="21"/>
                      <w:szCs w:val="21"/>
                      <w:lang w:val="en-US" w:eastAsia="zh-CN"/>
                      <w14:textFill>
                        <w14:solidFill>
                          <w14:schemeClr w14:val="tx1"/>
                        </w14:solidFill>
                      </w14:textFill>
                    </w:rPr>
                    <w:t>不属于</w:t>
                  </w:r>
                  <w:r>
                    <w:rPr>
                      <w:rFonts w:ascii="Times New Roman" w:hAnsi="Times New Roman"/>
                      <w:color w:val="000000" w:themeColor="text1"/>
                      <w:kern w:val="44"/>
                      <w:sz w:val="21"/>
                      <w:szCs w:val="21"/>
                      <w14:textFill>
                        <w14:solidFill>
                          <w14:schemeClr w14:val="tx1"/>
                        </w14:solidFill>
                      </w14:textFill>
                    </w:rPr>
                    <w:t>落后产能、淘汰类、限制类项目。</w:t>
                  </w:r>
                </w:p>
              </w:tc>
              <w:tc>
                <w:tcPr>
                  <w:tcW w:w="467" w:type="pct"/>
                  <w:vAlign w:val="center"/>
                </w:tcPr>
                <w:p w14:paraId="2010F77B">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573B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150DFB0E">
                  <w:pPr>
                    <w:pStyle w:val="32"/>
                    <w:snapToGrid w:val="0"/>
                    <w:spacing w:line="240" w:lineRule="auto"/>
                    <w:jc w:val="left"/>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第二十四条禁止新建、扩建不符合国家产能置换要求的严重过剩产能行业的项目。禁止新建、扩建不符合要求的高能耗高排放项目。</w:t>
                  </w:r>
                </w:p>
              </w:tc>
              <w:tc>
                <w:tcPr>
                  <w:tcW w:w="1375" w:type="pct"/>
                  <w:vAlign w:val="center"/>
                </w:tcPr>
                <w:p w14:paraId="09C8A9CC">
                  <w:pPr>
                    <w:pStyle w:val="32"/>
                    <w:snapToGrid w:val="0"/>
                    <w:spacing w:line="240" w:lineRule="auto"/>
                    <w:jc w:val="both"/>
                    <w:rPr>
                      <w:rFonts w:ascii="Times New Roman" w:hAnsi="Times New Roman"/>
                      <w:color w:val="000000" w:themeColor="text1"/>
                      <w:kern w:val="44"/>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本项目为</w:t>
                  </w:r>
                  <w:r>
                    <w:rPr>
                      <w:rFonts w:hint="eastAsia" w:ascii="Times New Roman" w:hAnsi="Times New Roman"/>
                      <w:color w:val="000000" w:themeColor="text1"/>
                      <w:sz w:val="21"/>
                      <w:szCs w:val="21"/>
                      <w:lang w:eastAsia="zh-CN"/>
                      <w14:textFill>
                        <w14:solidFill>
                          <w14:schemeClr w14:val="tx1"/>
                        </w14:solidFill>
                      </w14:textFill>
                    </w:rPr>
                    <w:t>摩托车零部件及配件制造生产项目</w:t>
                  </w:r>
                  <w:r>
                    <w:rPr>
                      <w:rFonts w:ascii="Times New Roman" w:hAnsi="Times New Roman"/>
                      <w:color w:val="000000" w:themeColor="text1"/>
                      <w:kern w:val="44"/>
                      <w:sz w:val="21"/>
                      <w:szCs w:val="21"/>
                      <w14:textFill>
                        <w14:solidFill>
                          <w14:schemeClr w14:val="tx1"/>
                        </w14:solidFill>
                      </w14:textFill>
                    </w:rPr>
                    <w:t>，</w:t>
                  </w:r>
                  <w:r>
                    <w:rPr>
                      <w:rFonts w:hint="eastAsia" w:ascii="Times New Roman" w:hAnsi="Times New Roman"/>
                      <w:color w:val="000000" w:themeColor="text1"/>
                      <w:kern w:val="44"/>
                      <w:sz w:val="21"/>
                      <w:szCs w:val="21"/>
                      <w:lang w:val="en-US" w:eastAsia="zh-CN"/>
                      <w14:textFill>
                        <w14:solidFill>
                          <w14:schemeClr w14:val="tx1"/>
                        </w14:solidFill>
                      </w14:textFill>
                    </w:rPr>
                    <w:t>不属于</w:t>
                  </w:r>
                  <w:r>
                    <w:rPr>
                      <w:rFonts w:ascii="Times New Roman" w:hAnsi="Times New Roman"/>
                      <w:color w:val="000000" w:themeColor="text1"/>
                      <w:kern w:val="44"/>
                      <w:sz w:val="21"/>
                      <w:szCs w:val="21"/>
                      <w14:textFill>
                        <w14:solidFill>
                          <w14:schemeClr w14:val="tx1"/>
                        </w14:solidFill>
                      </w14:textFill>
                    </w:rPr>
                    <w:t>产能过剩、高能耗高排放项目。</w:t>
                  </w:r>
                </w:p>
              </w:tc>
              <w:tc>
                <w:tcPr>
                  <w:tcW w:w="467" w:type="pct"/>
                  <w:vAlign w:val="center"/>
                </w:tcPr>
                <w:p w14:paraId="67730E89">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3DA8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612CB0E4">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第二十五条 禁止建设以下燃油汽车投资项目（不在中国境内销售产品的投资项目除外）</w:t>
                  </w:r>
                </w:p>
                <w:p w14:paraId="57B74C0D">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（一）新建独立燃油汽车企业；</w:t>
                  </w:r>
                </w:p>
                <w:p w14:paraId="4F8DFB96">
                  <w:pPr>
                    <w:pStyle w:val="12"/>
                    <w:adjustRightInd w:val="0"/>
                    <w:spacing w:before="0" w:after="0" w:line="240" w:lineRule="auto"/>
                    <w:ind w:right="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（二）现有汽车企业跨乘用车、商用车类别建设燃油汽车生产能力；</w:t>
                  </w:r>
                </w:p>
                <w:p w14:paraId="6E9FF3F6">
                  <w:pPr>
                    <w:pStyle w:val="12"/>
                    <w:adjustRightInd w:val="0"/>
                    <w:spacing w:before="0" w:after="0" w:line="240" w:lineRule="auto"/>
                    <w:ind w:right="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（三）外省现有燃油汽车企业整体搬迁至本省（列入国家级区域发展规划或不改变企业股权结构的项目除外）；</w:t>
                  </w:r>
                </w:p>
                <w:p w14:paraId="20953051">
                  <w:pPr>
                    <w:pStyle w:val="15"/>
                    <w:numPr>
                      <w:ilvl w:val="0"/>
                      <w:numId w:val="0"/>
                    </w:numPr>
                    <w:adjustRightInd w:val="0"/>
                    <w:snapToGrid w:val="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（四）对行业管理部门特别公示的燃油汽车企业进行投资（企业原有股东投资或将该企业转为非独立法人的投资项目除外）。</w:t>
                  </w:r>
                </w:p>
              </w:tc>
              <w:tc>
                <w:tcPr>
                  <w:tcW w:w="1375" w:type="pct"/>
                  <w:vAlign w:val="center"/>
                </w:tcPr>
                <w:p w14:paraId="5D66B422">
                  <w:pPr>
                    <w:pStyle w:val="32"/>
                    <w:snapToGrid w:val="0"/>
                    <w:spacing w:line="240" w:lineRule="auto"/>
                    <w:jc w:val="both"/>
                    <w:rPr>
                      <w:rFonts w:ascii="Times New Roman" w:hAnsi="Times New Roman"/>
                      <w:color w:val="000000" w:themeColor="text1"/>
                      <w:kern w:val="44"/>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本项目为</w:t>
                  </w:r>
                  <w:r>
                    <w:rPr>
                      <w:rFonts w:hint="eastAsia" w:ascii="Times New Roman" w:hAnsi="Times New Roman"/>
                      <w:color w:val="000000" w:themeColor="text1"/>
                      <w:sz w:val="21"/>
                      <w:szCs w:val="21"/>
                      <w:lang w:eastAsia="zh-CN"/>
                      <w14:textFill>
                        <w14:solidFill>
                          <w14:schemeClr w14:val="tx1"/>
                        </w14:solidFill>
                      </w14:textFill>
                    </w:rPr>
                    <w:t>摩托车零部件及配件制造生产项目</w:t>
                  </w:r>
                  <w:r>
                    <w:rPr>
                      <w:rFonts w:ascii="Times New Roman" w:hAnsi="Times New Roman"/>
                      <w:color w:val="000000" w:themeColor="text1"/>
                      <w:kern w:val="44"/>
                      <w:sz w:val="21"/>
                      <w:szCs w:val="21"/>
                      <w14:textFill>
                        <w14:solidFill>
                          <w14:schemeClr w14:val="tx1"/>
                        </w14:solidFill>
                      </w14:textFill>
                    </w:rPr>
                    <w:t>，不属于燃油汽车投资项目。</w:t>
                  </w:r>
                </w:p>
              </w:tc>
              <w:tc>
                <w:tcPr>
                  <w:tcW w:w="467" w:type="pct"/>
                  <w:vAlign w:val="center"/>
                </w:tcPr>
                <w:p w14:paraId="3040D6FF">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1E25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56" w:type="pct"/>
                  <w:vAlign w:val="center"/>
                </w:tcPr>
                <w:p w14:paraId="3C47D369">
                  <w:pPr>
                    <w:pStyle w:val="32"/>
                    <w:snapToGrid w:val="0"/>
                    <w:spacing w:line="240" w:lineRule="auto"/>
                    <w:jc w:val="both"/>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第二十六条 禁止新建、扩建不符合要求的高能耗、高排放、低水平项目。</w:t>
                  </w:r>
                </w:p>
              </w:tc>
              <w:tc>
                <w:tcPr>
                  <w:tcW w:w="1375" w:type="pct"/>
                  <w:vAlign w:val="center"/>
                </w:tcPr>
                <w:p w14:paraId="780FFE2A">
                  <w:pPr>
                    <w:pStyle w:val="32"/>
                    <w:snapToGrid w:val="0"/>
                    <w:spacing w:line="240" w:lineRule="auto"/>
                    <w:jc w:val="both"/>
                    <w:rPr>
                      <w:rFonts w:ascii="Times New Roman" w:hAnsi="Times New Roman"/>
                      <w:color w:val="000000" w:themeColor="text1"/>
                      <w:kern w:val="44"/>
                      <w:sz w:val="21"/>
                      <w:szCs w:val="21"/>
                      <w14:textFill>
                        <w14:solidFill>
                          <w14:schemeClr w14:val="tx1"/>
                        </w14:solidFill>
                      </w14:textFill>
                    </w:rPr>
                  </w:pPr>
                  <w:r>
                    <w:rPr>
                      <w:rFonts w:ascii="Times New Roman" w:hAnsi="Times New Roman"/>
                      <w:color w:val="000000" w:themeColor="text1"/>
                      <w:kern w:val="44"/>
                      <w:sz w:val="21"/>
                      <w:szCs w:val="21"/>
                      <w14:textFill>
                        <w14:solidFill>
                          <w14:schemeClr w14:val="tx1"/>
                        </w14:solidFill>
                      </w14:textFill>
                    </w:rPr>
                    <w:t>本项目为</w:t>
                  </w:r>
                  <w:r>
                    <w:rPr>
                      <w:rFonts w:hint="eastAsia" w:ascii="Times New Roman" w:hAnsi="Times New Roman"/>
                      <w:color w:val="000000" w:themeColor="text1"/>
                      <w:sz w:val="21"/>
                      <w:szCs w:val="21"/>
                      <w:lang w:eastAsia="zh-CN"/>
                      <w14:textFill>
                        <w14:solidFill>
                          <w14:schemeClr w14:val="tx1"/>
                        </w14:solidFill>
                      </w14:textFill>
                    </w:rPr>
                    <w:t>摩托车零部件及配件制造生产项目</w:t>
                  </w:r>
                  <w:r>
                    <w:rPr>
                      <w:rFonts w:ascii="Times New Roman" w:hAnsi="Times New Roman"/>
                      <w:color w:val="000000" w:themeColor="text1"/>
                      <w:kern w:val="44"/>
                      <w:sz w:val="21"/>
                      <w:szCs w:val="21"/>
                      <w14:textFill>
                        <w14:solidFill>
                          <w14:schemeClr w14:val="tx1"/>
                        </w14:solidFill>
                      </w14:textFill>
                    </w:rPr>
                    <w:t>，</w:t>
                  </w:r>
                  <w:r>
                    <w:rPr>
                      <w:rFonts w:hint="eastAsia" w:ascii="Times New Roman" w:hAnsi="Times New Roman"/>
                      <w:color w:val="000000" w:themeColor="text1"/>
                      <w:kern w:val="44"/>
                      <w:sz w:val="21"/>
                      <w:szCs w:val="21"/>
                      <w:lang w:val="en-US" w:eastAsia="zh-CN"/>
                      <w14:textFill>
                        <w14:solidFill>
                          <w14:schemeClr w14:val="tx1"/>
                        </w14:solidFill>
                      </w14:textFill>
                    </w:rPr>
                    <w:t>不属于</w:t>
                  </w:r>
                  <w:r>
                    <w:rPr>
                      <w:rFonts w:ascii="Times New Roman" w:hAnsi="Times New Roman"/>
                      <w:color w:val="000000" w:themeColor="text1"/>
                      <w:kern w:val="44"/>
                      <w:sz w:val="21"/>
                      <w:szCs w:val="21"/>
                      <w14:textFill>
                        <w14:solidFill>
                          <w14:schemeClr w14:val="tx1"/>
                        </w14:solidFill>
                      </w14:textFill>
                    </w:rPr>
                    <w:t>高能耗、高排放、低水平项目。</w:t>
                  </w:r>
                </w:p>
              </w:tc>
              <w:tc>
                <w:tcPr>
                  <w:tcW w:w="467" w:type="pct"/>
                  <w:vAlign w:val="center"/>
                </w:tcPr>
                <w:p w14:paraId="58CE15B9">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bl>
          <w:p w14:paraId="580FF2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bCs/>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14:textFill>
                  <w14:solidFill>
                    <w14:schemeClr w14:val="tx1"/>
                  </w14:solidFill>
                </w14:textFill>
              </w:rPr>
              <w:t>综上所述，本项目建设符合</w:t>
            </w:r>
            <w:r>
              <w:rPr>
                <w:rFonts w:hint="eastAsia" w:cs="Times New Roman"/>
                <w:snapToGrid w:val="0"/>
                <w:color w:val="000000" w:themeColor="text1"/>
                <w:kern w:val="0"/>
                <w:sz w:val="24"/>
                <w:szCs w:val="24"/>
                <w:lang w:eastAsia="zh-CN"/>
                <w14:textFill>
                  <w14:solidFill>
                    <w14:schemeClr w14:val="tx1"/>
                  </w14:solidFill>
                </w14:textFill>
              </w:rPr>
              <w:t>《四川省、重庆市长江经济带发展负面清单实施细则（试行，2022年版）》</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相关要求。</w:t>
            </w:r>
          </w:p>
          <w:p w14:paraId="5BEC40CA">
            <w:pPr>
              <w:adjustRightInd w:val="0"/>
              <w:snapToGrid w:val="0"/>
              <w:spacing w:beforeLines="50" w:line="360" w:lineRule="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5</w:t>
            </w:r>
            <w:r>
              <w:rPr>
                <w:b/>
                <w:bCs/>
                <w:color w:val="000000" w:themeColor="text1"/>
                <w:sz w:val="24"/>
                <w:szCs w:val="24"/>
                <w14:textFill>
                  <w14:solidFill>
                    <w14:schemeClr w14:val="tx1"/>
                  </w14:solidFill>
                </w14:textFill>
              </w:rPr>
              <w:t>、与《中华人民共和国长江保护法》（2020年12月26日第十三届全国人民代表大会常务委员会第二十四次会议通过）符合性分析</w:t>
            </w:r>
          </w:p>
          <w:p w14:paraId="178BD943">
            <w:pPr>
              <w:adjustRightInd w:val="0"/>
              <w:snapToGrid w:val="0"/>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表1-</w:t>
            </w:r>
            <w:r>
              <w:rPr>
                <w:rFonts w:hint="eastAsia"/>
                <w:b/>
                <w:bCs/>
                <w:color w:val="000000" w:themeColor="text1"/>
                <w:sz w:val="24"/>
                <w:szCs w:val="24"/>
                <w:lang w:val="en-US" w:eastAsia="zh-CN"/>
                <w14:textFill>
                  <w14:solidFill>
                    <w14:schemeClr w14:val="tx1"/>
                  </w14:solidFill>
                </w14:textFill>
              </w:rPr>
              <w:t>7</w:t>
            </w:r>
            <w:r>
              <w:rPr>
                <w:b/>
                <w:bCs/>
                <w:color w:val="000000" w:themeColor="text1"/>
                <w:sz w:val="24"/>
                <w:szCs w:val="24"/>
                <w14:textFill>
                  <w14:solidFill>
                    <w14:schemeClr w14:val="tx1"/>
                  </w14:solidFill>
                </w14:textFill>
              </w:rPr>
              <w:t>与《中华人民共和国长江保护法》符合性分析一览表</w:t>
            </w:r>
          </w:p>
          <w:tbl>
            <w:tblPr>
              <w:tblStyle w:val="2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3523"/>
              <w:gridCol w:w="2826"/>
              <w:gridCol w:w="831"/>
            </w:tblGrid>
            <w:tr w14:paraId="6D97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Align w:val="center"/>
                </w:tcPr>
                <w:p w14:paraId="35789E77">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项目</w:t>
                  </w:r>
                </w:p>
              </w:tc>
              <w:tc>
                <w:tcPr>
                  <w:tcW w:w="3712" w:type="dxa"/>
                  <w:vAlign w:val="center"/>
                </w:tcPr>
                <w:p w14:paraId="48072128">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具体内容</w:t>
                  </w:r>
                </w:p>
              </w:tc>
              <w:tc>
                <w:tcPr>
                  <w:tcW w:w="2975" w:type="dxa"/>
                  <w:vAlign w:val="center"/>
                </w:tcPr>
                <w:p w14:paraId="730AE537">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本项目情况</w:t>
                  </w:r>
                </w:p>
              </w:tc>
              <w:tc>
                <w:tcPr>
                  <w:tcW w:w="866" w:type="dxa"/>
                  <w:vAlign w:val="center"/>
                </w:tcPr>
                <w:p w14:paraId="45557809">
                  <w:pPr>
                    <w:adjustRightInd w:val="0"/>
                    <w:snapToGrid w:val="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符合性</w:t>
                  </w:r>
                </w:p>
              </w:tc>
            </w:tr>
            <w:tr w14:paraId="7446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Merge w:val="restart"/>
                  <w:vAlign w:val="center"/>
                </w:tcPr>
                <w:p w14:paraId="4D9484B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规划与管控</w:t>
                  </w:r>
                </w:p>
              </w:tc>
              <w:tc>
                <w:tcPr>
                  <w:tcW w:w="3712" w:type="dxa"/>
                  <w:vAlign w:val="center"/>
                </w:tcPr>
                <w:p w14:paraId="43D94E5D">
                  <w:pPr>
                    <w:adjustRightInd w:val="0"/>
                    <w:snapToGrid w:val="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禁止在长江干支流岸线一公里范围内新建、扩建化工园区和化工项目</w:t>
                  </w:r>
                </w:p>
              </w:tc>
              <w:tc>
                <w:tcPr>
                  <w:tcW w:w="2975" w:type="dxa"/>
                  <w:vAlign w:val="center"/>
                </w:tcPr>
                <w:p w14:paraId="41189752">
                  <w:pPr>
                    <w:adjustRightInd w:val="0"/>
                    <w:snapToGrid w:val="0"/>
                    <w:jc w:val="both"/>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本项目</w:t>
                  </w:r>
                  <w:r>
                    <w:rPr>
                      <w:rFonts w:hint="eastAsia"/>
                      <w:color w:val="000000" w:themeColor="text1"/>
                      <w:kern w:val="0"/>
                      <w:sz w:val="21"/>
                      <w:szCs w:val="21"/>
                      <w:lang w:val="en-US" w:eastAsia="zh-CN"/>
                      <w14:textFill>
                        <w14:solidFill>
                          <w14:schemeClr w14:val="tx1"/>
                        </w14:solidFill>
                      </w14:textFill>
                    </w:rPr>
                    <w:t>为</w:t>
                  </w:r>
                  <w:r>
                    <w:rPr>
                      <w:rFonts w:hint="eastAsia"/>
                      <w:color w:val="000000" w:themeColor="text1"/>
                      <w:sz w:val="21"/>
                      <w:szCs w:val="21"/>
                      <w:lang w:eastAsia="zh-CN"/>
                      <w14:textFill>
                        <w14:solidFill>
                          <w14:schemeClr w14:val="tx1"/>
                        </w14:solidFill>
                      </w14:textFill>
                    </w:rPr>
                    <w:t>摩托车零部件及配件制造生产项目</w:t>
                  </w:r>
                  <w:r>
                    <w:rPr>
                      <w:color w:val="000000" w:themeColor="text1"/>
                      <w:kern w:val="0"/>
                      <w:sz w:val="21"/>
                      <w:szCs w:val="21"/>
                      <w14:textFill>
                        <w14:solidFill>
                          <w14:schemeClr w14:val="tx1"/>
                        </w14:solidFill>
                      </w14:textFill>
                    </w:rPr>
                    <w:t>，不属于化工项目。</w:t>
                  </w:r>
                </w:p>
              </w:tc>
              <w:tc>
                <w:tcPr>
                  <w:tcW w:w="866" w:type="dxa"/>
                  <w:vAlign w:val="center"/>
                </w:tcPr>
                <w:p w14:paraId="224184C9">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68C2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Merge w:val="continue"/>
                  <w:vAlign w:val="center"/>
                </w:tcPr>
                <w:p w14:paraId="3E9CE6F0">
                  <w:pPr>
                    <w:adjustRightInd w:val="0"/>
                    <w:snapToGrid w:val="0"/>
                    <w:jc w:val="center"/>
                    <w:rPr>
                      <w:color w:val="000000" w:themeColor="text1"/>
                      <w:sz w:val="21"/>
                      <w:szCs w:val="21"/>
                      <w:highlight w:val="yellow"/>
                      <w14:textFill>
                        <w14:solidFill>
                          <w14:schemeClr w14:val="tx1"/>
                        </w14:solidFill>
                      </w14:textFill>
                    </w:rPr>
                  </w:pPr>
                </w:p>
              </w:tc>
              <w:tc>
                <w:tcPr>
                  <w:tcW w:w="3712" w:type="dxa"/>
                  <w:vAlign w:val="center"/>
                </w:tcPr>
                <w:p w14:paraId="752336DF">
                  <w:pPr>
                    <w:adjustRightInd w:val="0"/>
                    <w:snapToGrid w:val="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禁止在长江干流岸线三公里范围内和重要支流岸线一公里范围内新建、改建、扩建尾矿库；但是以提升安全、生态环境保护水平为目的的改建除外。</w:t>
                  </w:r>
                </w:p>
              </w:tc>
              <w:tc>
                <w:tcPr>
                  <w:tcW w:w="2975" w:type="dxa"/>
                  <w:vAlign w:val="center"/>
                </w:tcPr>
                <w:p w14:paraId="55530611">
                  <w:pPr>
                    <w:adjustRightInd w:val="0"/>
                    <w:snapToGrid w:val="0"/>
                    <w:jc w:val="both"/>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本项目</w:t>
                  </w:r>
                  <w:r>
                    <w:rPr>
                      <w:rFonts w:hint="eastAsia"/>
                      <w:color w:val="000000" w:themeColor="text1"/>
                      <w:kern w:val="0"/>
                      <w:sz w:val="21"/>
                      <w:szCs w:val="21"/>
                      <w:lang w:eastAsia="zh-CN"/>
                      <w14:textFill>
                        <w14:solidFill>
                          <w14:schemeClr w14:val="tx1"/>
                        </w14:solidFill>
                      </w14:textFill>
                    </w:rPr>
                    <w:t>为</w:t>
                  </w:r>
                  <w:r>
                    <w:rPr>
                      <w:rFonts w:hint="eastAsia"/>
                      <w:color w:val="000000" w:themeColor="text1"/>
                      <w:sz w:val="21"/>
                      <w:szCs w:val="21"/>
                      <w:lang w:eastAsia="zh-CN"/>
                      <w14:textFill>
                        <w14:solidFill>
                          <w14:schemeClr w14:val="tx1"/>
                        </w14:solidFill>
                      </w14:textFill>
                    </w:rPr>
                    <w:t>摩托车零部件及配件制造生产项目</w:t>
                  </w:r>
                  <w:r>
                    <w:rPr>
                      <w:color w:val="000000" w:themeColor="text1"/>
                      <w:kern w:val="0"/>
                      <w:sz w:val="21"/>
                      <w:szCs w:val="21"/>
                      <w14:textFill>
                        <w14:solidFill>
                          <w14:schemeClr w14:val="tx1"/>
                        </w14:solidFill>
                      </w14:textFill>
                    </w:rPr>
                    <w:t>，不涉及尾矿库。</w:t>
                  </w:r>
                </w:p>
              </w:tc>
              <w:tc>
                <w:tcPr>
                  <w:tcW w:w="866" w:type="dxa"/>
                  <w:vAlign w:val="center"/>
                </w:tcPr>
                <w:p w14:paraId="31FC4CE6">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1369C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Align w:val="center"/>
                </w:tcPr>
                <w:p w14:paraId="18F23FCB">
                  <w:pPr>
                    <w:adjustRightInd w:val="0"/>
                    <w:snapToGrid w:val="0"/>
                    <w:jc w:val="center"/>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资源与保护</w:t>
                  </w:r>
                </w:p>
              </w:tc>
              <w:tc>
                <w:tcPr>
                  <w:tcW w:w="3712" w:type="dxa"/>
                  <w:vAlign w:val="center"/>
                </w:tcPr>
                <w:p w14:paraId="59878B9B">
                  <w:pPr>
                    <w:adjustRightInd w:val="0"/>
                    <w:snapToGrid w:val="0"/>
                    <w:jc w:val="both"/>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长江流域省级人民政府组织划定饮用水水源保护区，加强饮用水水源保护，保障饮用安全。</w:t>
                  </w:r>
                </w:p>
              </w:tc>
              <w:tc>
                <w:tcPr>
                  <w:tcW w:w="2975" w:type="dxa"/>
                  <w:vAlign w:val="center"/>
                </w:tcPr>
                <w:p w14:paraId="662C766A">
                  <w:pPr>
                    <w:adjustRightInd w:val="0"/>
                    <w:snapToGrid w:val="0"/>
                    <w:jc w:val="both"/>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本项目不在饮用水水源保护区内。</w:t>
                  </w:r>
                </w:p>
              </w:tc>
              <w:tc>
                <w:tcPr>
                  <w:tcW w:w="866" w:type="dxa"/>
                  <w:vAlign w:val="center"/>
                </w:tcPr>
                <w:p w14:paraId="66176983">
                  <w:pPr>
                    <w:adjustRightInd w:val="0"/>
                    <w:snapToGrid w:val="0"/>
                    <w:jc w:val="center"/>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符合</w:t>
                  </w:r>
                </w:p>
              </w:tc>
            </w:tr>
            <w:tr w14:paraId="0D9C4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atLeast"/>
                <w:jc w:val="center"/>
              </w:trPr>
              <w:tc>
                <w:tcPr>
                  <w:tcW w:w="788" w:type="dxa"/>
                  <w:vAlign w:val="center"/>
                </w:tcPr>
                <w:p w14:paraId="7679ACC1">
                  <w:pPr>
                    <w:adjustRightInd w:val="0"/>
                    <w:snapToGrid w:val="0"/>
                    <w:jc w:val="center"/>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水污染防治</w:t>
                  </w:r>
                </w:p>
              </w:tc>
              <w:tc>
                <w:tcPr>
                  <w:tcW w:w="3712" w:type="dxa"/>
                  <w:vAlign w:val="center"/>
                </w:tcPr>
                <w:p w14:paraId="79BC7978">
                  <w:pPr>
                    <w:adjustRightInd w:val="0"/>
                    <w:snapToGrid w:val="0"/>
                    <w:jc w:val="both"/>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磷矿开采加工、磷肥和含磷农药制造等企业，应当按照排污许可要求，采取有效措施控制总磷排放浓度和排放总量；对排污口和周边环境进行总磷监测，依法公开监测信息。</w:t>
                  </w:r>
                </w:p>
              </w:tc>
              <w:tc>
                <w:tcPr>
                  <w:tcW w:w="2975" w:type="dxa"/>
                  <w:vAlign w:val="center"/>
                </w:tcPr>
                <w:p w14:paraId="10647AEE">
                  <w:pPr>
                    <w:adjustRightInd w:val="0"/>
                    <w:snapToGrid w:val="0"/>
                    <w:jc w:val="both"/>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本项目</w:t>
                  </w:r>
                  <w:r>
                    <w:rPr>
                      <w:rFonts w:hint="eastAsia" w:ascii="Times New Roman" w:hAnsi="Times New Roman"/>
                      <w:color w:val="000000" w:themeColor="text1"/>
                      <w:sz w:val="21"/>
                      <w:szCs w:val="21"/>
                      <w:lang w:val="en-US" w:eastAsia="zh-CN"/>
                      <w14:textFill>
                        <w14:solidFill>
                          <w14:schemeClr w14:val="tx1"/>
                        </w14:solidFill>
                      </w14:textFill>
                    </w:rPr>
                    <w:t>为</w:t>
                  </w:r>
                  <w:r>
                    <w:rPr>
                      <w:rFonts w:hint="eastAsia"/>
                      <w:color w:val="000000" w:themeColor="text1"/>
                      <w:sz w:val="21"/>
                      <w:szCs w:val="21"/>
                      <w:lang w:eastAsia="zh-CN"/>
                      <w14:textFill>
                        <w14:solidFill>
                          <w14:schemeClr w14:val="tx1"/>
                        </w14:solidFill>
                      </w14:textFill>
                    </w:rPr>
                    <w:t>摩托车零部件及配件制造生产项目，</w:t>
                  </w:r>
                  <w:r>
                    <w:rPr>
                      <w:color w:val="000000" w:themeColor="text1"/>
                      <w:sz w:val="21"/>
                      <w:szCs w:val="21"/>
                      <w14:textFill>
                        <w14:solidFill>
                          <w14:schemeClr w14:val="tx1"/>
                        </w14:solidFill>
                      </w14:textFill>
                    </w:rPr>
                    <w:t>不属于磷矿开采加工、磷肥和含磷农药制造等企业。</w:t>
                  </w:r>
                </w:p>
              </w:tc>
              <w:tc>
                <w:tcPr>
                  <w:tcW w:w="866" w:type="dxa"/>
                  <w:vAlign w:val="center"/>
                </w:tcPr>
                <w:p w14:paraId="62C218BB">
                  <w:pPr>
                    <w:adjustRightInd w:val="0"/>
                    <w:snapToGrid w:val="0"/>
                    <w:jc w:val="center"/>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符合</w:t>
                  </w:r>
                </w:p>
              </w:tc>
            </w:tr>
            <w:tr w14:paraId="215B5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Merge w:val="restart"/>
                  <w:vAlign w:val="center"/>
                </w:tcPr>
                <w:p w14:paraId="25A7BCB9">
                  <w:pPr>
                    <w:adjustRightInd w:val="0"/>
                    <w:snapToGrid w:val="0"/>
                    <w:jc w:val="center"/>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生态环境修复</w:t>
                  </w:r>
                </w:p>
              </w:tc>
              <w:tc>
                <w:tcPr>
                  <w:tcW w:w="3712" w:type="dxa"/>
                  <w:vAlign w:val="center"/>
                </w:tcPr>
                <w:p w14:paraId="50509553">
                  <w:pPr>
                    <w:adjustRightInd w:val="0"/>
                    <w:snapToGrid w:val="0"/>
                    <w:jc w:val="both"/>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禁止违法利用、占用长江流域河湖岸线。</w:t>
                  </w:r>
                </w:p>
              </w:tc>
              <w:tc>
                <w:tcPr>
                  <w:tcW w:w="2975" w:type="dxa"/>
                  <w:vAlign w:val="center"/>
                </w:tcPr>
                <w:p w14:paraId="44B55F26">
                  <w:pPr>
                    <w:adjustRightInd w:val="0"/>
                    <w:snapToGrid w:val="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本项目位于</w:t>
                  </w:r>
                  <w:r>
                    <w:rPr>
                      <w:rFonts w:hint="eastAsia"/>
                      <w:bCs/>
                      <w:color w:val="000000" w:themeColor="text1"/>
                      <w:sz w:val="21"/>
                      <w:szCs w:val="21"/>
                      <w:lang w:eastAsia="zh-CN"/>
                      <w14:textFill>
                        <w14:solidFill>
                          <w14:schemeClr w14:val="tx1"/>
                        </w14:solidFill>
                      </w14:textFill>
                    </w:rPr>
                    <w:t>璧山高新技术产业开发区</w:t>
                  </w:r>
                  <w:r>
                    <w:rPr>
                      <w:bCs/>
                      <w:color w:val="000000" w:themeColor="text1"/>
                      <w:sz w:val="21"/>
                      <w:szCs w:val="21"/>
                      <w14:textFill>
                        <w14:solidFill>
                          <w14:schemeClr w14:val="tx1"/>
                        </w14:solidFill>
                      </w14:textFill>
                    </w:rPr>
                    <w:t>内</w:t>
                  </w:r>
                  <w:r>
                    <w:rPr>
                      <w:color w:val="000000" w:themeColor="text1"/>
                      <w:sz w:val="21"/>
                      <w:szCs w:val="21"/>
                      <w14:textFill>
                        <w14:solidFill>
                          <w14:schemeClr w14:val="tx1"/>
                        </w14:solidFill>
                      </w14:textFill>
                    </w:rPr>
                    <w:t>，不占用长江流域河湖岸线。</w:t>
                  </w:r>
                </w:p>
              </w:tc>
              <w:tc>
                <w:tcPr>
                  <w:tcW w:w="866" w:type="dxa"/>
                  <w:vAlign w:val="center"/>
                </w:tcPr>
                <w:p w14:paraId="2CE773B5">
                  <w:pPr>
                    <w:adjustRightInd w:val="0"/>
                    <w:snapToGrid w:val="0"/>
                    <w:jc w:val="center"/>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符合</w:t>
                  </w:r>
                </w:p>
              </w:tc>
            </w:tr>
            <w:tr w14:paraId="447A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Merge w:val="continue"/>
                  <w:vAlign w:val="center"/>
                </w:tcPr>
                <w:p w14:paraId="4E0C583B">
                  <w:pPr>
                    <w:adjustRightInd w:val="0"/>
                    <w:snapToGrid w:val="0"/>
                    <w:jc w:val="center"/>
                    <w:rPr>
                      <w:color w:val="000000" w:themeColor="text1"/>
                      <w:sz w:val="21"/>
                      <w:szCs w:val="21"/>
                      <w:highlight w:val="yellow"/>
                      <w14:textFill>
                        <w14:solidFill>
                          <w14:schemeClr w14:val="tx1"/>
                        </w14:solidFill>
                      </w14:textFill>
                    </w:rPr>
                  </w:pPr>
                </w:p>
              </w:tc>
              <w:tc>
                <w:tcPr>
                  <w:tcW w:w="3712" w:type="dxa"/>
                  <w:vAlign w:val="center"/>
                </w:tcPr>
                <w:p w14:paraId="56A9447C">
                  <w:pPr>
                    <w:adjustRightInd w:val="0"/>
                    <w:snapToGrid w:val="0"/>
                    <w:jc w:val="both"/>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禁止在长江流域水土流失严重、生态脆弱的区域开展可能造成水土流失的生产建设活动。确因国家发展战略和国计民生需要建设的，应当经科学论证，并依法办理审批手续。</w:t>
                  </w:r>
                </w:p>
              </w:tc>
              <w:tc>
                <w:tcPr>
                  <w:tcW w:w="2975" w:type="dxa"/>
                  <w:vAlign w:val="center"/>
                </w:tcPr>
                <w:p w14:paraId="0AD63791">
                  <w:pPr>
                    <w:adjustRightInd w:val="0"/>
                    <w:snapToGrid w:val="0"/>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w:t>
                  </w:r>
                  <w:r>
                    <w:rPr>
                      <w:rFonts w:ascii="Times New Roman" w:hAnsi="Times New Roman"/>
                      <w:color w:val="000000" w:themeColor="text1"/>
                      <w:sz w:val="21"/>
                      <w:szCs w:val="21"/>
                      <w14:textFill>
                        <w14:solidFill>
                          <w14:schemeClr w14:val="tx1"/>
                        </w14:solidFill>
                      </w14:textFill>
                    </w:rPr>
                    <w:t>位于</w:t>
                  </w:r>
                  <w:r>
                    <w:rPr>
                      <w:rFonts w:hint="eastAsia"/>
                      <w:bCs/>
                      <w:color w:val="000000" w:themeColor="text1"/>
                      <w:sz w:val="21"/>
                      <w:szCs w:val="21"/>
                      <w:lang w:eastAsia="zh-CN"/>
                      <w14:textFill>
                        <w14:solidFill>
                          <w14:schemeClr w14:val="tx1"/>
                        </w14:solidFill>
                      </w14:textFill>
                    </w:rPr>
                    <w:t>璧山高新技术产业开发区青杠-来凤组团</w:t>
                  </w:r>
                  <w:r>
                    <w:rPr>
                      <w:rFonts w:ascii="Times New Roman" w:hAnsi="Times New Roman"/>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不在长江流域水土流失严重、生态脆弱的区域。</w:t>
                  </w:r>
                </w:p>
              </w:tc>
              <w:tc>
                <w:tcPr>
                  <w:tcW w:w="866" w:type="dxa"/>
                  <w:vAlign w:val="center"/>
                </w:tcPr>
                <w:p w14:paraId="67CB2048">
                  <w:pPr>
                    <w:adjustRightInd w:val="0"/>
                    <w:snapToGrid w:val="0"/>
                    <w:jc w:val="center"/>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符合</w:t>
                  </w:r>
                </w:p>
              </w:tc>
            </w:tr>
            <w:tr w14:paraId="4852D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8" w:type="dxa"/>
                  <w:vAlign w:val="center"/>
                </w:tcPr>
                <w:p w14:paraId="3AA64451">
                  <w:pPr>
                    <w:adjustRightInd w:val="0"/>
                    <w:snapToGrid w:val="0"/>
                    <w:jc w:val="center"/>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绿色发展</w:t>
                  </w:r>
                </w:p>
              </w:tc>
              <w:tc>
                <w:tcPr>
                  <w:tcW w:w="3712" w:type="dxa"/>
                  <w:vAlign w:val="center"/>
                </w:tcPr>
                <w:p w14:paraId="24FBB98B">
                  <w:pPr>
                    <w:adjustRightInd w:val="0"/>
                    <w:snapToGrid w:val="0"/>
                    <w:jc w:val="both"/>
                    <w:rPr>
                      <w:color w:val="000000" w:themeColor="text1"/>
                      <w:sz w:val="21"/>
                      <w:szCs w:val="21"/>
                      <w:highlight w:val="yellow"/>
                      <w14:textFill>
                        <w14:solidFill>
                          <w14:schemeClr w14:val="tx1"/>
                        </w14:solidFill>
                      </w14:textFill>
                    </w:rPr>
                  </w:pPr>
                  <w:r>
                    <w:rPr>
                      <w:color w:val="000000" w:themeColor="text1"/>
                      <w:sz w:val="21"/>
                      <w:szCs w:val="21"/>
                      <w14:textFill>
                        <w14:solidFill>
                          <w14:schemeClr w14:val="tx1"/>
                        </w14:solidFill>
                      </w14:textFill>
                    </w:rPr>
                    <w:t>长江流域县级以上地方人民政府应当推动钢铁、石油、化工、有色金属、建材、船舶等产业升级改造，提升技术装备水平；推动造纸、制革、电镀、印染、有色金属、农药、氮肥、焦化、原料药制造等企业实施清洁化改造。企业应当通过技术创新减少资源消耗和污染物排放。</w:t>
                  </w:r>
                </w:p>
              </w:tc>
              <w:tc>
                <w:tcPr>
                  <w:tcW w:w="2975" w:type="dxa"/>
                  <w:vAlign w:val="center"/>
                </w:tcPr>
                <w:p w14:paraId="47171CDA">
                  <w:pPr>
                    <w:adjustRightInd w:val="0"/>
                    <w:snapToGrid w:val="0"/>
                    <w:jc w:val="both"/>
                    <w:rPr>
                      <w:rFonts w:hint="default" w:eastAsia="宋体"/>
                      <w:color w:val="000000" w:themeColor="text1"/>
                      <w:sz w:val="21"/>
                      <w:szCs w:val="21"/>
                      <w:lang w:val="en-US" w:eastAsia="zh-CN"/>
                      <w14:textFill>
                        <w14:solidFill>
                          <w14:schemeClr w14:val="tx1"/>
                        </w14:solidFill>
                      </w14:textFill>
                    </w:rPr>
                  </w:pPr>
                  <w:r>
                    <w:rPr>
                      <w:color w:val="000000" w:themeColor="text1"/>
                      <w:kern w:val="0"/>
                      <w:sz w:val="21"/>
                      <w:szCs w:val="21"/>
                      <w14:textFill>
                        <w14:solidFill>
                          <w14:schemeClr w14:val="tx1"/>
                        </w14:solidFill>
                      </w14:textFill>
                    </w:rPr>
                    <w:t>本项目属于</w:t>
                  </w:r>
                  <w:r>
                    <w:rPr>
                      <w:rFonts w:hint="eastAsia"/>
                      <w:color w:val="000000" w:themeColor="text1"/>
                      <w:sz w:val="21"/>
                      <w:szCs w:val="21"/>
                      <w:lang w:eastAsia="zh-CN"/>
                      <w14:textFill>
                        <w14:solidFill>
                          <w14:schemeClr w14:val="tx1"/>
                        </w14:solidFill>
                      </w14:textFill>
                    </w:rPr>
                    <w:t>摩托车零部件及配件制造生产项目</w:t>
                  </w:r>
                  <w:r>
                    <w:rPr>
                      <w:color w:val="000000" w:themeColor="text1"/>
                      <w:kern w:val="0"/>
                      <w:sz w:val="21"/>
                      <w:szCs w:val="21"/>
                      <w14:textFill>
                        <w14:solidFill>
                          <w14:schemeClr w14:val="tx1"/>
                        </w14:solidFill>
                      </w14:textFill>
                    </w:rPr>
                    <w:t>，</w:t>
                  </w:r>
                  <w:r>
                    <w:rPr>
                      <w:rFonts w:hint="eastAsia"/>
                      <w:color w:val="000000" w:themeColor="text1"/>
                      <w:kern w:val="0"/>
                      <w:sz w:val="21"/>
                      <w:szCs w:val="21"/>
                      <w:lang w:val="en-US" w:eastAsia="zh-CN"/>
                      <w14:textFill>
                        <w14:solidFill>
                          <w14:schemeClr w14:val="tx1"/>
                        </w14:solidFill>
                      </w14:textFill>
                    </w:rPr>
                    <w:t>不属于左述项目。</w:t>
                  </w:r>
                </w:p>
              </w:tc>
              <w:tc>
                <w:tcPr>
                  <w:tcW w:w="866" w:type="dxa"/>
                  <w:vAlign w:val="center"/>
                </w:tcPr>
                <w:p w14:paraId="28AE5325">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14:paraId="31D2DA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bCs/>
                <w:color w:val="000000" w:themeColor="text1"/>
                <w:sz w:val="24"/>
                <w:szCs w:val="24"/>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14:textFill>
                  <w14:solidFill>
                    <w14:schemeClr w14:val="tx1"/>
                  </w14:solidFill>
                </w14:textFill>
              </w:rPr>
              <w:t>综上所述，本项目建设符合</w:t>
            </w:r>
            <w:r>
              <w:rPr>
                <w:rFonts w:hint="eastAsia" w:cs="Times New Roman"/>
                <w:snapToGrid w:val="0"/>
                <w:color w:val="000000" w:themeColor="text1"/>
                <w:kern w:val="0"/>
                <w:sz w:val="24"/>
                <w:szCs w:val="24"/>
                <w:lang w:eastAsia="zh-CN"/>
                <w14:textFill>
                  <w14:solidFill>
                    <w14:schemeClr w14:val="tx1"/>
                  </w14:solidFill>
                </w14:textFill>
              </w:rPr>
              <w:t>《中华人民共和国长江保护法》（2020年12月26日第十三届全国人民代表大会常务委员会第二十四次会议通过）</w:t>
            </w:r>
            <w:r>
              <w:rPr>
                <w:rFonts w:hint="default" w:ascii="Times New Roman" w:hAnsi="Times New Roman" w:eastAsia="宋体" w:cs="Times New Roman"/>
                <w:snapToGrid w:val="0"/>
                <w:color w:val="000000" w:themeColor="text1"/>
                <w:kern w:val="0"/>
                <w:sz w:val="24"/>
                <w:szCs w:val="24"/>
                <w14:textFill>
                  <w14:solidFill>
                    <w14:schemeClr w14:val="tx1"/>
                  </w14:solidFill>
                </w14:textFill>
              </w:rPr>
              <w:t>相关要求。</w:t>
            </w:r>
          </w:p>
          <w:p w14:paraId="5B6C9E30">
            <w:pPr>
              <w:pStyle w:val="11"/>
              <w:keepNext w:val="0"/>
              <w:keepLines w:val="0"/>
              <w:pageBreakBefore w:val="0"/>
              <w:widowControl w:val="0"/>
              <w:kinsoku/>
              <w:wordWrap/>
              <w:overflowPunct/>
              <w:topLinePunct w:val="0"/>
              <w:autoSpaceDE/>
              <w:autoSpaceDN/>
              <w:bidi w:val="0"/>
              <w:spacing w:line="360" w:lineRule="auto"/>
              <w:ind w:firstLine="0" w:firstLineChars="0"/>
              <w:textAlignment w:val="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6</w:t>
            </w:r>
            <w:r>
              <w:rPr>
                <w:b/>
                <w:bCs/>
                <w:color w:val="000000" w:themeColor="text1"/>
                <w:sz w:val="24"/>
                <w:szCs w:val="24"/>
                <w14:textFill>
                  <w14:solidFill>
                    <w14:schemeClr w14:val="tx1"/>
                  </w14:solidFill>
                </w14:textFill>
              </w:rPr>
              <w:t>、与《重庆市生态环境保护“十四五”规划（2021-2025年）》符合性分析</w:t>
            </w:r>
          </w:p>
          <w:p w14:paraId="0E69C572">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规划中指出“严格落实VOCs（挥发性有机物）含量限值标准，大力推进低（无）VOCs原辅材料替代，将生产和使用高VOCs含量产品的企业列入强制性清洁生产审核名单。以工业涂装、包装印刷、家具制造、电子、石化、化工、油品储运销等行业为重点，强化VOCs无组织排放管控。”</w:t>
            </w:r>
          </w:p>
          <w:p w14:paraId="6BAADA06">
            <w:pPr>
              <w:keepNext w:val="0"/>
              <w:keepLines w:val="0"/>
              <w:pageBreakBefore w:val="0"/>
              <w:widowControl w:val="0"/>
              <w:shd w:val="clear" w:color="auto" w:fill="auto"/>
              <w:kinsoku/>
              <w:wordWrap/>
              <w:overflowPunct/>
              <w:topLinePunct w:val="0"/>
              <w:autoSpaceDE/>
              <w:autoSpaceDN/>
              <w:bidi w:val="0"/>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highlight w:val="none"/>
                <w14:textFill>
                  <w14:solidFill>
                    <w14:schemeClr w14:val="tx1"/>
                  </w14:solidFill>
                </w14:textFill>
              </w:rPr>
              <w:t>本项目涉及工业涂装，采用水性涂料，</w:t>
            </w:r>
            <w:r>
              <w:rPr>
                <w:rFonts w:hint="eastAsia"/>
                <w:color w:val="000000" w:themeColor="text1"/>
                <w:sz w:val="24"/>
                <w:highlight w:val="none"/>
                <w:lang w:val="en-US" w:eastAsia="zh-CN"/>
                <w14:textFill>
                  <w14:solidFill>
                    <w14:schemeClr w14:val="tx1"/>
                  </w14:solidFill>
                </w14:textFill>
              </w:rPr>
              <w:t>根据后文表2-11分析，项目使用的水性漆</w:t>
            </w:r>
            <w:r>
              <w:rPr>
                <w:rFonts w:hint="eastAsia"/>
                <w:color w:val="000000" w:themeColor="text1"/>
                <w:sz w:val="24"/>
                <w:highlight w:val="none"/>
                <w14:textFill>
                  <w14:solidFill>
                    <w14:schemeClr w14:val="tx1"/>
                  </w14:solidFill>
                </w14:textFill>
              </w:rPr>
              <w:t>挥发性有机物含量</w:t>
            </w:r>
            <w:r>
              <w:rPr>
                <w:rFonts w:hint="eastAsia"/>
                <w:color w:val="000000" w:themeColor="text1"/>
                <w:sz w:val="24"/>
                <w:highlight w:val="none"/>
                <w:lang w:val="en-US" w:eastAsia="zh-CN"/>
                <w14:textFill>
                  <w14:solidFill>
                    <w14:schemeClr w14:val="tx1"/>
                  </w14:solidFill>
                </w14:textFill>
              </w:rPr>
              <w:t>为98.1g/L，</w:t>
            </w:r>
            <w:r>
              <w:rPr>
                <w:rFonts w:hint="eastAsia"/>
                <w:color w:val="000000" w:themeColor="text1"/>
                <w:sz w:val="24"/>
                <w:highlight w:val="none"/>
                <w14:textFill>
                  <w14:solidFill>
                    <w14:schemeClr w14:val="tx1"/>
                  </w14:solidFill>
                </w14:textFill>
              </w:rPr>
              <w:t>满足低挥发性有机化合物含量涂料产品技术要求。因此符合《重庆市生态环境保护“十四五”规划》的要求。</w:t>
            </w:r>
          </w:p>
          <w:p w14:paraId="4CB34AD0">
            <w:pPr>
              <w:shd w:val="clear" w:color="auto" w:fill="auto"/>
              <w:spacing w:line="460" w:lineRule="exact"/>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7、</w:t>
            </w:r>
            <w:r>
              <w:rPr>
                <w:rFonts w:hint="eastAsia"/>
                <w:b/>
                <w:bCs/>
                <w:color w:val="000000" w:themeColor="text1"/>
                <w:sz w:val="24"/>
                <w:highlight w:val="none"/>
                <w14:textFill>
                  <w14:solidFill>
                    <w14:schemeClr w14:val="tx1"/>
                  </w14:solidFill>
                </w14:textFill>
              </w:rPr>
              <w:t>与《重庆市大气环境保护“十四五”规划（2021-2025年）》符合性分析</w:t>
            </w:r>
          </w:p>
          <w:p w14:paraId="3FD567BD">
            <w:pPr>
              <w:shd w:val="clear" w:color="auto" w:fill="auto"/>
              <w:spacing w:line="460" w:lineRule="exact"/>
              <w:ind w:firstLine="480" w:firstLineChars="200"/>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本项目与《重庆市大气环境保护“十四五”规划（2021-2025年）》的符合性分析见下表。</w:t>
            </w:r>
          </w:p>
          <w:p w14:paraId="30869288">
            <w:pPr>
              <w:shd w:val="clear" w:color="auto" w:fill="auto"/>
              <w:spacing w:line="460" w:lineRule="exact"/>
              <w:jc w:val="center"/>
              <w:rPr>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表1</w:t>
            </w:r>
            <w:r>
              <w:rPr>
                <w:rFonts w:hint="eastAsia"/>
                <w:b/>
                <w:bCs/>
                <w:color w:val="000000" w:themeColor="text1"/>
                <w:sz w:val="24"/>
                <w:highlight w:val="none"/>
                <w14:textFill>
                  <w14:solidFill>
                    <w14:schemeClr w14:val="tx1"/>
                  </w14:solidFill>
                </w14:textFill>
              </w:rPr>
              <w:noBreakHyphen/>
            </w:r>
            <w:r>
              <w:rPr>
                <w:rFonts w:hint="eastAsia"/>
                <w:b/>
                <w:bCs/>
                <w:color w:val="000000" w:themeColor="text1"/>
                <w:sz w:val="24"/>
                <w:highlight w:val="none"/>
                <w:lang w:val="en-US" w:eastAsia="zh-CN"/>
                <w14:textFill>
                  <w14:solidFill>
                    <w14:schemeClr w14:val="tx1"/>
                  </w14:solidFill>
                </w14:textFill>
              </w:rPr>
              <w:t>8</w:t>
            </w:r>
            <w:r>
              <w:rPr>
                <w:rFonts w:hint="eastAsia"/>
                <w:b/>
                <w:bCs/>
                <w:color w:val="000000" w:themeColor="text1"/>
                <w:sz w:val="24"/>
                <w:highlight w:val="none"/>
                <w14:textFill>
                  <w14:solidFill>
                    <w14:schemeClr w14:val="tx1"/>
                  </w14:solidFill>
                </w14:textFill>
              </w:rPr>
              <w:t xml:space="preserve">  本项目与《重庆市大气环境保护“十四五”规划（2021-2025年）》符合性分析</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2"/>
              <w:gridCol w:w="1842"/>
              <w:gridCol w:w="493"/>
            </w:tblGrid>
            <w:tr w14:paraId="528A7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pct"/>
                  <w:noWrap w:val="0"/>
                  <w:vAlign w:val="center"/>
                </w:tcPr>
                <w:p w14:paraId="6BFA818D">
                  <w:pPr>
                    <w:shd w:val="clear" w:color="auto" w:fill="auto"/>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实施方案</w:t>
                  </w:r>
                </w:p>
              </w:tc>
              <w:tc>
                <w:tcPr>
                  <w:tcW w:w="1160" w:type="pct"/>
                  <w:noWrap w:val="0"/>
                  <w:vAlign w:val="center"/>
                </w:tcPr>
                <w:p w14:paraId="34C934DD">
                  <w:pPr>
                    <w:shd w:val="clear" w:color="auto" w:fill="auto"/>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本项目</w:t>
                  </w:r>
                  <w:r>
                    <w:rPr>
                      <w:b/>
                      <w:bCs/>
                      <w:color w:val="000000" w:themeColor="text1"/>
                      <w:szCs w:val="21"/>
                      <w:highlight w:val="none"/>
                      <w14:textFill>
                        <w14:solidFill>
                          <w14:schemeClr w14:val="tx1"/>
                        </w14:solidFill>
                      </w14:textFill>
                    </w:rPr>
                    <w:t>情况</w:t>
                  </w:r>
                </w:p>
              </w:tc>
              <w:tc>
                <w:tcPr>
                  <w:tcW w:w="310" w:type="pct"/>
                  <w:noWrap w:val="0"/>
                  <w:vAlign w:val="center"/>
                </w:tcPr>
                <w:p w14:paraId="7B63673F">
                  <w:pPr>
                    <w:shd w:val="clear" w:color="auto" w:fill="auto"/>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符合性</w:t>
                  </w:r>
                </w:p>
              </w:tc>
            </w:tr>
            <w:tr w14:paraId="7C999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pct"/>
                  <w:noWrap w:val="0"/>
                  <w:vAlign w:val="center"/>
                </w:tcPr>
                <w:p w14:paraId="64A1CF30">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（一）持续推进VOCs全过程综合治理。</w:t>
                  </w:r>
                </w:p>
                <w:p w14:paraId="71A24D79">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加强源头控制。实施VOCs排放总量控制，涉VOCs建设项目按照新增排放量进行减量替代。以工业涂装、包装印刷等行业为重点，实施原辅材料和产品源头替代。加快对溶剂型涂料、油墨、胶粘剂、清洗剂使用企业制定低VOCs含量原辅材料替代计划。将生产和使用高VOCs含量产品的企业列入强制性清洁生产审核名单。到2025年，基本完成汽车、摩托车整车制造底漆、中涂、色漆低VOCs含量涂料替代；在木质家具、汽车零部件、工程机械、钢结构、船舶制造等行业技术成熟环节，大力推广低VOCs含量涂料。在房屋建筑、市政工程和城市道路交通标志中，除特殊功能要求外，全面推广使用低VOCs含量的涂料、胶粘剂。到2025年，全市溶剂型工业涂料、溶剂型油墨使用比例分别降低20%、15%，溶剂型胶粘剂使用量下降20%。</w:t>
                  </w:r>
                </w:p>
              </w:tc>
              <w:tc>
                <w:tcPr>
                  <w:tcW w:w="1160" w:type="pct"/>
                  <w:noWrap w:val="0"/>
                  <w:vAlign w:val="center"/>
                </w:tcPr>
                <w:p w14:paraId="439211FD">
                  <w:pPr>
                    <w:shd w:val="clear" w:color="auto" w:fill="auto"/>
                    <w:adjustRightInd w:val="0"/>
                    <w:snapToGrid w:val="0"/>
                    <w:jc w:val="both"/>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据后文表2-11分析，</w:t>
                  </w:r>
                  <w:r>
                    <w:rPr>
                      <w:rFonts w:hint="eastAsia"/>
                      <w:color w:val="000000" w:themeColor="text1"/>
                      <w:szCs w:val="21"/>
                      <w:highlight w:val="none"/>
                      <w14:textFill>
                        <w14:solidFill>
                          <w14:schemeClr w14:val="tx1"/>
                        </w14:solidFill>
                      </w14:textFill>
                    </w:rPr>
                    <w:t>本项目</w:t>
                  </w:r>
                  <w:r>
                    <w:rPr>
                      <w:rFonts w:hint="eastAsia"/>
                      <w:color w:val="000000" w:themeColor="text1"/>
                      <w:szCs w:val="21"/>
                      <w:highlight w:val="none"/>
                      <w:lang w:val="en-US" w:eastAsia="zh-CN"/>
                      <w14:textFill>
                        <w14:solidFill>
                          <w14:schemeClr w14:val="tx1"/>
                        </w14:solidFill>
                      </w14:textFill>
                    </w:rPr>
                    <w:t>水性漆</w:t>
                  </w:r>
                  <w:r>
                    <w:rPr>
                      <w:color w:val="000000" w:themeColor="text1"/>
                      <w:szCs w:val="21"/>
                      <w:highlight w:val="none"/>
                      <w14:textFill>
                        <w14:solidFill>
                          <w14:schemeClr w14:val="tx1"/>
                        </w14:solidFill>
                      </w14:textFill>
                    </w:rPr>
                    <w:t>满足</w:t>
                  </w:r>
                  <w:r>
                    <w:rPr>
                      <w:rFonts w:hint="eastAsia"/>
                      <w:color w:val="000000" w:themeColor="text1"/>
                      <w:szCs w:val="21"/>
                      <w:highlight w:val="none"/>
                      <w14:textFill>
                        <w14:solidFill>
                          <w14:schemeClr w14:val="tx1"/>
                        </w14:solidFill>
                      </w14:textFill>
                    </w:rPr>
                    <w:t>《低挥发性有机化合物含量涂料产品技术要求》（GB/T 38597-2020）相关</w:t>
                  </w:r>
                  <w:r>
                    <w:rPr>
                      <w:color w:val="000000" w:themeColor="text1"/>
                      <w:szCs w:val="21"/>
                      <w:highlight w:val="none"/>
                      <w14:textFill>
                        <w14:solidFill>
                          <w14:schemeClr w14:val="tx1"/>
                        </w14:solidFill>
                      </w14:textFill>
                    </w:rPr>
                    <w:t>要求。</w:t>
                  </w:r>
                </w:p>
              </w:tc>
              <w:tc>
                <w:tcPr>
                  <w:tcW w:w="310" w:type="pct"/>
                  <w:noWrap w:val="0"/>
                  <w:vAlign w:val="center"/>
                </w:tcPr>
                <w:p w14:paraId="6C104DE7">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649C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pct"/>
                  <w:noWrap w:val="0"/>
                  <w:vAlign w:val="center"/>
                </w:tcPr>
                <w:p w14:paraId="7C6943B3">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推动VOCs末端治理升级。推行</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一企一策</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引导企业选择多种技术的组合工艺提高VOCs治理效率。石化、化工企业加强火炬系统排放监管，保证燃烧温度和污染物停留时间能有效去除污染物。加强非正常工况废气排放管控，制定非正常工况VOCs管控规程，严格按规程操作。有条件的工业集聚区建设集中喷涂工程中心，配备高效治污设施，替代企业独立喷涂工序，对涉及喷漆、喷粉、印刷等废气进行集中处理。鼓励对中小型企业集群开展企业分散收集—活性炭移动集中再生治理模式的示范推广。</w:t>
                  </w:r>
                </w:p>
              </w:tc>
              <w:tc>
                <w:tcPr>
                  <w:tcW w:w="1160" w:type="pct"/>
                  <w:noWrap w:val="0"/>
                  <w:vAlign w:val="center"/>
                </w:tcPr>
                <w:p w14:paraId="7888CEB5">
                  <w:pPr>
                    <w:shd w:val="clear" w:color="auto" w:fill="auto"/>
                    <w:adjustRightInd w:val="0"/>
                    <w:snapToGrid w:val="0"/>
                    <w:jc w:val="both"/>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喷涂工序在全密闭的喷漆房内作用，有机废气收集后经</w:t>
                  </w:r>
                  <w:r>
                    <w:rPr>
                      <w:color w:val="000000" w:themeColor="text1"/>
                      <w:szCs w:val="21"/>
                      <w:highlight w:val="none"/>
                      <w14:textFill>
                        <w14:solidFill>
                          <w14:schemeClr w14:val="tx1"/>
                        </w14:solidFill>
                      </w14:textFill>
                    </w:rPr>
                    <w:t>采取</w:t>
                  </w:r>
                  <w:r>
                    <w:rPr>
                      <w:rFonts w:hint="eastAsia" w:cs="Times New Roman"/>
                      <w:bCs/>
                      <w:color w:val="000000" w:themeColor="text1"/>
                      <w:kern w:val="0"/>
                      <w:sz w:val="21"/>
                      <w:szCs w:val="21"/>
                      <w:highlight w:val="none"/>
                      <w:lang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水帘湿式漆雾净化+高分子过滤盒+干式过滤棉+二级活性炭吸附</w:t>
                  </w:r>
                  <w:r>
                    <w:rPr>
                      <w:rFonts w:hint="eastAsia" w:cs="Times New Roman"/>
                      <w:bCs/>
                      <w:color w:val="000000" w:themeColor="text1"/>
                      <w:kern w:val="0"/>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处理</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通过15m高排气筒排放</w:t>
                  </w:r>
                  <w:r>
                    <w:rPr>
                      <w:rFonts w:hint="eastAsia"/>
                      <w:color w:val="000000" w:themeColor="text1"/>
                      <w:szCs w:val="21"/>
                      <w:highlight w:val="none"/>
                      <w14:textFill>
                        <w14:solidFill>
                          <w14:schemeClr w14:val="tx1"/>
                        </w14:solidFill>
                      </w14:textFill>
                    </w:rPr>
                    <w:t>。</w:t>
                  </w:r>
                </w:p>
              </w:tc>
              <w:tc>
                <w:tcPr>
                  <w:tcW w:w="310" w:type="pct"/>
                  <w:noWrap w:val="0"/>
                  <w:vAlign w:val="center"/>
                </w:tcPr>
                <w:p w14:paraId="3EE53434">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2708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pct"/>
                  <w:noWrap w:val="0"/>
                  <w:vAlign w:val="center"/>
                </w:tcPr>
                <w:p w14:paraId="5C443CC7">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推进清洁生产和能源资源节约高效利用。引导重点行业深入实施清洁生产改造，依法开展自愿性清洁生产评价认证。依法将超标准超总量排放、高耗能、使用或排放有毒有害物质的企业列入强制性生产审核名单，推进清洁生产。大力推行绿色制造，构建资源循环利用体系。推动煤炭等化石能源清洁高效利用，利用多通道喷煤燃烧、富氧燃烧、余热利用等煤炭清洁高效利用技术对工业炉窑进行改造。加强重点领域节能，提高能源使用效率。鼓励使用闭式热源塔技术、空调蓄冷技术等高效用能技术。</w:t>
                  </w:r>
                </w:p>
              </w:tc>
              <w:tc>
                <w:tcPr>
                  <w:tcW w:w="1160" w:type="pct"/>
                  <w:noWrap w:val="0"/>
                  <w:vAlign w:val="center"/>
                </w:tcPr>
                <w:p w14:paraId="4B01B49E">
                  <w:pPr>
                    <w:shd w:val="clear" w:color="auto" w:fill="auto"/>
                    <w:adjustRightInd w:val="0"/>
                    <w:snapToGrid w:val="0"/>
                    <w:jc w:val="both"/>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w:t>
                  </w:r>
                  <w:r>
                    <w:rPr>
                      <w:color w:val="000000" w:themeColor="text1"/>
                      <w:szCs w:val="21"/>
                      <w:highlight w:val="none"/>
                      <w14:textFill>
                        <w14:solidFill>
                          <w14:schemeClr w14:val="tx1"/>
                        </w14:solidFill>
                      </w14:textFill>
                    </w:rPr>
                    <w:t>清洁生产水平达到国内先进水平</w:t>
                  </w:r>
                  <w:r>
                    <w:rPr>
                      <w:rFonts w:hint="eastAsia"/>
                      <w:color w:val="000000" w:themeColor="text1"/>
                      <w:szCs w:val="21"/>
                      <w:highlight w:val="none"/>
                      <w14:textFill>
                        <w14:solidFill>
                          <w14:schemeClr w14:val="tx1"/>
                        </w14:solidFill>
                      </w14:textFill>
                    </w:rPr>
                    <w:t>。</w:t>
                  </w:r>
                </w:p>
              </w:tc>
              <w:tc>
                <w:tcPr>
                  <w:tcW w:w="310" w:type="pct"/>
                  <w:noWrap w:val="0"/>
                  <w:vAlign w:val="center"/>
                </w:tcPr>
                <w:p w14:paraId="72F14488">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560D9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9" w:type="pct"/>
                  <w:noWrap w:val="0"/>
                  <w:vAlign w:val="center"/>
                </w:tcPr>
                <w:p w14:paraId="6D048CD9">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坚决遏制高耗能、高排放、低水平项目盲目发展。严格落实国家和本市产业规划、产业政策、“三线一单”、规划环评以及产能置换、煤炭消费减量替代、区域污染物削减等相关要求，严控高耗能、高排放、低水平项目，因地制宜制定“两高”和资源型行业准入标准。适时修订并严格执行产业禁投清单等准入政策，合理控制煤制油气产能规模，未纳入国家有关领域产业规划的新、改、</w:t>
                  </w:r>
                  <w:r>
                    <w:rPr>
                      <w:rFonts w:hint="eastAsia"/>
                      <w:color w:val="000000" w:themeColor="text1"/>
                      <w:szCs w:val="21"/>
                      <w:highlight w:val="none"/>
                      <w14:textFill>
                        <w14:solidFill>
                          <w14:schemeClr w14:val="tx1"/>
                        </w14:solidFill>
                      </w14:textFill>
                    </w:rPr>
                    <w:t>技改</w:t>
                  </w:r>
                  <w:r>
                    <w:rPr>
                      <w:color w:val="000000" w:themeColor="text1"/>
                      <w:szCs w:val="21"/>
                      <w:highlight w:val="none"/>
                      <w14:textFill>
                        <w14:solidFill>
                          <w14:schemeClr w14:val="tx1"/>
                        </w14:solidFill>
                      </w14:textFill>
                    </w:rPr>
                    <w:t>炼油和新建乙烯、对二甲苯、煤制烯烃项目，一律不得建设。新、改、</w:t>
                  </w:r>
                  <w:r>
                    <w:rPr>
                      <w:rFonts w:hint="eastAsia"/>
                      <w:color w:val="000000" w:themeColor="text1"/>
                      <w:szCs w:val="21"/>
                      <w:highlight w:val="none"/>
                      <w14:textFill>
                        <w14:solidFill>
                          <w14:schemeClr w14:val="tx1"/>
                        </w14:solidFill>
                      </w14:textFill>
                    </w:rPr>
                    <w:t>本项目</w:t>
                  </w:r>
                  <w:r>
                    <w:rPr>
                      <w:color w:val="000000" w:themeColor="text1"/>
                      <w:szCs w:val="21"/>
                      <w:highlight w:val="none"/>
                      <w14:textFill>
                        <w14:solidFill>
                          <w14:schemeClr w14:val="tx1"/>
                        </w14:solidFill>
                      </w14:textFill>
                    </w:rPr>
                    <w:t>所需二氧化硫、氮氧化物、VOCs排放量指标要进行减量替代，PM2.5或者臭氧未达标区县要加大替代比例。加快推进“两高”和资源型行业依法开展清洁生产审核，推动一批重点企业达到国际清洁生产领先水平，确保新上的“两高”项目达到标杆值水平和污染物排放标准先进值。</w:t>
                  </w:r>
                </w:p>
              </w:tc>
              <w:tc>
                <w:tcPr>
                  <w:tcW w:w="1160" w:type="pct"/>
                  <w:noWrap w:val="0"/>
                  <w:vAlign w:val="center"/>
                </w:tcPr>
                <w:p w14:paraId="39645DB6">
                  <w:pPr>
                    <w:shd w:val="clear" w:color="auto" w:fill="auto"/>
                    <w:adjustRightInd w:val="0"/>
                    <w:snapToGrid w:val="0"/>
                    <w:jc w:val="both"/>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本项目</w:t>
                  </w:r>
                  <w:r>
                    <w:rPr>
                      <w:color w:val="000000" w:themeColor="text1"/>
                      <w:szCs w:val="21"/>
                      <w:highlight w:val="none"/>
                      <w14:textFill>
                        <w14:solidFill>
                          <w14:schemeClr w14:val="tx1"/>
                        </w14:solidFill>
                      </w14:textFill>
                    </w:rPr>
                    <w:t>满足</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三线一单</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、规划环评区域污染物削减等相关要求。</w:t>
                  </w:r>
                  <w:r>
                    <w:rPr>
                      <w:rFonts w:hint="eastAsia"/>
                      <w:color w:val="000000" w:themeColor="text1"/>
                      <w:szCs w:val="21"/>
                      <w:highlight w:val="none"/>
                      <w14:textFill>
                        <w14:solidFill>
                          <w14:schemeClr w14:val="tx1"/>
                        </w14:solidFill>
                      </w14:textFill>
                    </w:rPr>
                    <w:t>本项目</w:t>
                  </w:r>
                  <w:r>
                    <w:rPr>
                      <w:color w:val="000000" w:themeColor="text1"/>
                      <w:szCs w:val="21"/>
                      <w:highlight w:val="none"/>
                      <w14:textFill>
                        <w14:solidFill>
                          <w14:schemeClr w14:val="tx1"/>
                        </w14:solidFill>
                      </w14:textFill>
                    </w:rPr>
                    <w:t>清洁生产水平达到国内先进水平。</w:t>
                  </w:r>
                  <w:r>
                    <w:rPr>
                      <w:rFonts w:hint="eastAsia"/>
                      <w:color w:val="000000" w:themeColor="text1"/>
                      <w:szCs w:val="21"/>
                      <w:highlight w:val="none"/>
                      <w:lang w:val="en-US" w:eastAsia="zh-CN"/>
                      <w14:textFill>
                        <w14:solidFill>
                          <w14:schemeClr w14:val="tx1"/>
                        </w14:solidFill>
                      </w14:textFill>
                    </w:rPr>
                    <w:t>项目不属于“两高”项目。</w:t>
                  </w:r>
                </w:p>
              </w:tc>
              <w:tc>
                <w:tcPr>
                  <w:tcW w:w="310" w:type="pct"/>
                  <w:noWrap w:val="0"/>
                  <w:vAlign w:val="center"/>
                </w:tcPr>
                <w:p w14:paraId="3FA01791">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bl>
          <w:p w14:paraId="18BB6FAD">
            <w:pPr>
              <w:pStyle w:val="11"/>
              <w:ind w:firstLine="0" w:firstLineChars="0"/>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8</w:t>
            </w:r>
            <w:r>
              <w:rPr>
                <w:b/>
                <w:bCs/>
                <w:color w:val="000000" w:themeColor="text1"/>
                <w:sz w:val="24"/>
                <w:szCs w:val="24"/>
                <w14:textFill>
                  <w14:solidFill>
                    <w14:schemeClr w14:val="tx1"/>
                  </w14:solidFill>
                </w14:textFill>
              </w:rPr>
              <w:t>、与《</w:t>
            </w:r>
            <w:r>
              <w:rPr>
                <w:rFonts w:hint="eastAsia"/>
                <w:b/>
                <w:bCs/>
                <w:color w:val="000000" w:themeColor="text1"/>
                <w:sz w:val="24"/>
                <w:szCs w:val="24"/>
                <w14:textFill>
                  <w14:solidFill>
                    <w14:schemeClr w14:val="tx1"/>
                  </w14:solidFill>
                </w14:textFill>
              </w:rPr>
              <w:t>重庆市璧山区“十四五”生态环境保护规划和二〇三五年远景目标》（璧山府发﹝2021﹞44号）</w:t>
            </w:r>
            <w:r>
              <w:rPr>
                <w:b/>
                <w:bCs/>
                <w:color w:val="000000" w:themeColor="text1"/>
                <w:sz w:val="24"/>
                <w:szCs w:val="24"/>
                <w14:textFill>
                  <w14:solidFill>
                    <w14:schemeClr w14:val="tx1"/>
                  </w14:solidFill>
                </w14:textFill>
              </w:rPr>
              <w:t>符合性分析</w:t>
            </w:r>
          </w:p>
          <w:p w14:paraId="49811EC2">
            <w:pPr>
              <w:pStyle w:val="31"/>
              <w:spacing w:after="0" w:line="240" w:lineRule="auto"/>
              <w:ind w:left="0" w:leftChars="0" w:right="0" w:rightChars="0"/>
              <w:rPr>
                <w:rFonts w:ascii="Times New Roman" w:hAnsi="Times New Roman"/>
                <w:b/>
                <w:bCs/>
                <w:color w:val="000000" w:themeColor="text1"/>
                <w:sz w:val="24"/>
                <w:szCs w:val="24"/>
                <w14:textFill>
                  <w14:solidFill>
                    <w14:schemeClr w14:val="tx1"/>
                  </w14:solidFill>
                </w14:textFill>
              </w:rPr>
            </w:pPr>
            <w:r>
              <w:rPr>
                <w:rFonts w:ascii="Times New Roman" w:hAnsi="Times New Roman"/>
                <w:b/>
                <w:bCs/>
                <w:color w:val="000000" w:themeColor="text1"/>
                <w:sz w:val="24"/>
                <w:szCs w:val="24"/>
                <w14:textFill>
                  <w14:solidFill>
                    <w14:schemeClr w14:val="tx1"/>
                  </w14:solidFill>
                </w14:textFill>
              </w:rPr>
              <w:t>表1</w:t>
            </w:r>
            <w:r>
              <w:rPr>
                <w:rFonts w:ascii="Times New Roman" w:hAnsi="Times New Roman"/>
                <w:b/>
                <w:bCs/>
                <w:color w:val="000000" w:themeColor="text1"/>
                <w:sz w:val="24"/>
                <w:szCs w:val="24"/>
                <w:lang w:val="en-US"/>
                <w14:textFill>
                  <w14:solidFill>
                    <w14:schemeClr w14:val="tx1"/>
                  </w14:solidFill>
                </w14:textFill>
              </w:rPr>
              <w:t>-</w:t>
            </w:r>
            <w:r>
              <w:rPr>
                <w:rFonts w:hint="eastAsia" w:ascii="Times New Roman" w:hAnsi="Times New Roman"/>
                <w:b/>
                <w:bCs/>
                <w:color w:val="000000" w:themeColor="text1"/>
                <w:sz w:val="24"/>
                <w:szCs w:val="24"/>
                <w:lang w:val="en-US"/>
                <w14:textFill>
                  <w14:solidFill>
                    <w14:schemeClr w14:val="tx1"/>
                  </w14:solidFill>
                </w14:textFill>
              </w:rPr>
              <w:t>9</w:t>
            </w:r>
            <w:r>
              <w:rPr>
                <w:rFonts w:ascii="Times New Roman" w:hAnsi="Times New Roman"/>
                <w:b/>
                <w:bCs/>
                <w:color w:val="000000" w:themeColor="text1"/>
                <w:sz w:val="24"/>
                <w:szCs w:val="24"/>
                <w:lang w:val="en-US"/>
                <w14:textFill>
                  <w14:solidFill>
                    <w14:schemeClr w14:val="tx1"/>
                  </w14:solidFill>
                </w14:textFill>
              </w:rPr>
              <w:t>本</w:t>
            </w:r>
            <w:r>
              <w:rPr>
                <w:rFonts w:ascii="Times New Roman" w:hAnsi="Times New Roman"/>
                <w:b/>
                <w:bCs/>
                <w:color w:val="000000" w:themeColor="text1"/>
                <w:sz w:val="24"/>
                <w:szCs w:val="24"/>
                <w14:textFill>
                  <w14:solidFill>
                    <w14:schemeClr w14:val="tx1"/>
                  </w14:solidFill>
                </w14:textFill>
              </w:rPr>
              <w:t>项目与</w:t>
            </w:r>
            <w:r>
              <w:rPr>
                <w:rFonts w:hint="eastAsia" w:ascii="Times New Roman" w:hAnsi="Times New Roman"/>
                <w:b/>
                <w:bCs/>
                <w:color w:val="000000" w:themeColor="text1"/>
                <w:sz w:val="24"/>
                <w:szCs w:val="24"/>
                <w14:textFill>
                  <w14:solidFill>
                    <w14:schemeClr w14:val="tx1"/>
                  </w14:solidFill>
                </w14:textFill>
              </w:rPr>
              <w:t>《重庆市璧山区“十四五”生态环境保护规划和二〇三五年远景目标》</w:t>
            </w:r>
            <w:r>
              <w:rPr>
                <w:rFonts w:ascii="Times New Roman" w:hAnsi="Times New Roman"/>
                <w:b/>
                <w:bCs/>
                <w:color w:val="000000" w:themeColor="text1"/>
                <w:sz w:val="24"/>
                <w:szCs w:val="24"/>
                <w14:textFill>
                  <w14:solidFill>
                    <w14:schemeClr w14:val="tx1"/>
                  </w14:solidFill>
                </w14:textFill>
              </w:rPr>
              <w:t>的符合性分析</w:t>
            </w:r>
          </w:p>
          <w:tbl>
            <w:tblPr>
              <w:tblStyle w:val="21"/>
              <w:tblW w:w="47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865"/>
              <w:gridCol w:w="3478"/>
              <w:gridCol w:w="594"/>
            </w:tblGrid>
            <w:tr w14:paraId="2778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434" w:type="pct"/>
                  <w:vAlign w:val="center"/>
                </w:tcPr>
                <w:p w14:paraId="1BB722CA">
                  <w:pPr>
                    <w:pStyle w:val="32"/>
                    <w:snapToGrid w:val="0"/>
                    <w:spacing w:line="240" w:lineRule="auto"/>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相关要求</w:t>
                  </w:r>
                </w:p>
              </w:tc>
              <w:tc>
                <w:tcPr>
                  <w:tcW w:w="2191" w:type="pct"/>
                  <w:vAlign w:val="center"/>
                </w:tcPr>
                <w:p w14:paraId="1917DE23">
                  <w:pPr>
                    <w:pStyle w:val="32"/>
                    <w:snapToGrid w:val="0"/>
                    <w:spacing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本项目情况</w:t>
                  </w:r>
                </w:p>
              </w:tc>
              <w:tc>
                <w:tcPr>
                  <w:tcW w:w="374" w:type="pct"/>
                  <w:vAlign w:val="center"/>
                </w:tcPr>
                <w:p w14:paraId="187CCB00">
                  <w:pPr>
                    <w:pStyle w:val="32"/>
                    <w:snapToGrid w:val="0"/>
                    <w:spacing w:line="240" w:lineRule="auto"/>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符合性分析</w:t>
                  </w:r>
                </w:p>
              </w:tc>
            </w:tr>
            <w:tr w14:paraId="213D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34" w:type="pct"/>
                  <w:vAlign w:val="center"/>
                </w:tcPr>
                <w:p w14:paraId="2A32B5BD">
                  <w:pPr>
                    <w:widowControl/>
                    <w:jc w:val="both"/>
                    <w:rPr>
                      <w:rFonts w:ascii="Times New Roman" w:hAnsi="Times New Roman"/>
                      <w:color w:val="000000" w:themeColor="text1"/>
                      <w:sz w:val="21"/>
                      <w:szCs w:val="21"/>
                      <w14:textFill>
                        <w14:solidFill>
                          <w14:schemeClr w14:val="tx1"/>
                        </w14:solidFill>
                      </w14:textFill>
                    </w:rPr>
                  </w:pPr>
                  <w:r>
                    <w:rPr>
                      <w:color w:val="000000" w:themeColor="text1"/>
                      <w:kern w:val="0"/>
                      <w:szCs w:val="21"/>
                      <w:highlight w:val="none"/>
                      <w14:textFill>
                        <w14:solidFill>
                          <w14:schemeClr w14:val="tx1"/>
                        </w14:solidFill>
                      </w14:textFill>
                    </w:rPr>
                    <w:t>改善水环境质量：整治污水偷排直排乱排问题；完善污水收集和处理设施；修复水生态扩大水环境容量；加强重点流域水质目标管理；严格保护饮用水水源地水质安全。</w:t>
                  </w:r>
                </w:p>
              </w:tc>
              <w:tc>
                <w:tcPr>
                  <w:tcW w:w="2191" w:type="pct"/>
                  <w:shd w:val="clear" w:color="auto" w:fill="auto"/>
                  <w:vAlign w:val="center"/>
                </w:tcPr>
                <w:p w14:paraId="54C90010">
                  <w:pPr>
                    <w:autoSpaceDE w:val="0"/>
                    <w:autoSpaceDN w:val="0"/>
                    <w:adjustRightInd w:val="0"/>
                    <w:jc w:val="both"/>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Cs w:val="21"/>
                      <w:highlight w:val="none"/>
                      <w14:textFill>
                        <w14:solidFill>
                          <w14:schemeClr w14:val="tx1"/>
                        </w14:solidFill>
                      </w14:textFill>
                    </w:rPr>
                    <w:t>洗枪废水</w:t>
                  </w:r>
                  <w:r>
                    <w:rPr>
                      <w:rFonts w:hint="eastAsia"/>
                      <w:color w:val="000000" w:themeColor="text1"/>
                      <w:szCs w:val="21"/>
                      <w:highlight w:val="none"/>
                      <w:lang w:val="en-US" w:eastAsia="zh-CN"/>
                      <w14:textFill>
                        <w14:solidFill>
                          <w14:schemeClr w14:val="tx1"/>
                        </w14:solidFill>
                      </w14:textFill>
                    </w:rPr>
                    <w:t>回用于调漆；</w:t>
                  </w:r>
                  <w:r>
                    <w:rPr>
                      <w:rFonts w:hint="default"/>
                      <w:color w:val="000000" w:themeColor="text1"/>
                      <w:szCs w:val="21"/>
                      <w:highlight w:val="none"/>
                      <w14:textFill>
                        <w14:solidFill>
                          <w14:schemeClr w14:val="tx1"/>
                        </w14:solidFill>
                      </w14:textFill>
                    </w:rPr>
                    <w:t>洗手废水经油水分离器预处理后；</w:t>
                  </w:r>
                  <w:r>
                    <w:rPr>
                      <w:rFonts w:hint="default" w:ascii="Times New Roman" w:hAnsi="Times New Roman" w:cs="Times New Roman"/>
                      <w:color w:val="000000" w:themeColor="text1"/>
                      <w:sz w:val="21"/>
                      <w:szCs w:val="21"/>
                      <w:lang w:val="en-US" w:eastAsia="zh-CN"/>
                      <w14:textFill>
                        <w14:solidFill>
                          <w14:schemeClr w14:val="tx1"/>
                        </w14:solidFill>
                      </w14:textFill>
                    </w:rPr>
                    <w:t>水帘湿式漆雾净化废水经</w:t>
                  </w:r>
                  <w:r>
                    <w:rPr>
                      <w:rFonts w:hint="eastAsia" w:cs="Times New Roman"/>
                      <w:color w:val="000000" w:themeColor="text1"/>
                      <w:sz w:val="21"/>
                      <w:szCs w:val="21"/>
                      <w:lang w:val="en-US" w:eastAsia="zh-CN"/>
                      <w14:textFill>
                        <w14:solidFill>
                          <w14:schemeClr w14:val="tx1"/>
                        </w14:solidFill>
                      </w14:textFill>
                    </w:rPr>
                    <w:t>一体化生产废水处理站</w:t>
                  </w:r>
                  <w:r>
                    <w:rPr>
                      <w:rFonts w:hint="default" w:ascii="Times New Roman" w:hAnsi="Times New Roman" w:cs="Times New Roman"/>
                      <w:color w:val="000000" w:themeColor="text1"/>
                      <w:sz w:val="21"/>
                      <w:szCs w:val="21"/>
                      <w:lang w:val="en-US" w:eastAsia="zh-CN"/>
                      <w14:textFill>
                        <w14:solidFill>
                          <w14:schemeClr w14:val="tx1"/>
                        </w14:solidFill>
                      </w14:textFill>
                    </w:rPr>
                    <w:t>预处理；生活污水、</w:t>
                  </w:r>
                  <w:r>
                    <w:rPr>
                      <w:rFonts w:hint="eastAsia" w:cs="Times New Roman"/>
                      <w:color w:val="000000" w:themeColor="text1"/>
                      <w:sz w:val="21"/>
                      <w:szCs w:val="21"/>
                      <w:lang w:val="en-US" w:eastAsia="zh-CN"/>
                      <w14:textFill>
                        <w14:solidFill>
                          <w14:schemeClr w14:val="tx1"/>
                        </w14:solidFill>
                      </w14:textFill>
                    </w:rPr>
                    <w:t>洗手废水</w:t>
                  </w:r>
                  <w:r>
                    <w:rPr>
                      <w:rFonts w:hint="default" w:ascii="Times New Roman" w:hAnsi="Times New Roman" w:cs="Times New Roman"/>
                      <w:color w:val="000000" w:themeColor="text1"/>
                      <w:sz w:val="21"/>
                      <w:szCs w:val="21"/>
                      <w:lang w:val="en-US" w:eastAsia="zh-CN"/>
                      <w14:textFill>
                        <w14:solidFill>
                          <w14:schemeClr w14:val="tx1"/>
                        </w14:solidFill>
                      </w14:textFill>
                    </w:rPr>
                    <w:t>与</w:t>
                  </w:r>
                  <w:r>
                    <w:rPr>
                      <w:rFonts w:hint="eastAsia" w:cs="Times New Roman"/>
                      <w:color w:val="000000" w:themeColor="text1"/>
                      <w:sz w:val="21"/>
                      <w:szCs w:val="21"/>
                      <w:lang w:val="en-US" w:eastAsia="zh-CN"/>
                      <w14:textFill>
                        <w14:solidFill>
                          <w14:schemeClr w14:val="tx1"/>
                        </w14:solidFill>
                      </w14:textFill>
                    </w:rPr>
                    <w:t>一体化生产废水处理站</w:t>
                  </w:r>
                  <w:r>
                    <w:rPr>
                      <w:rFonts w:hint="default" w:ascii="Times New Roman" w:hAnsi="Times New Roman" w:cs="Times New Roman"/>
                      <w:color w:val="000000" w:themeColor="text1"/>
                      <w:sz w:val="21"/>
                      <w:szCs w:val="21"/>
                      <w:lang w:val="en-US" w:eastAsia="zh-CN"/>
                      <w14:textFill>
                        <w14:solidFill>
                          <w14:schemeClr w14:val="tx1"/>
                        </w14:solidFill>
                      </w14:textFill>
                    </w:rPr>
                    <w:t>废水一并经生化池处理</w:t>
                  </w:r>
                  <w:r>
                    <w:rPr>
                      <w:color w:val="000000" w:themeColor="text1"/>
                      <w:szCs w:val="21"/>
                      <w:highlight w:val="none"/>
                      <w14:textFill>
                        <w14:solidFill>
                          <w14:schemeClr w14:val="tx1"/>
                        </w14:solidFill>
                      </w14:textFill>
                    </w:rPr>
                    <w:t>达《污水综合排放标准》（GB8978-1996）三级标准</w:t>
                  </w:r>
                  <w:r>
                    <w:rPr>
                      <w:rFonts w:hint="eastAsia"/>
                      <w:color w:val="000000" w:themeColor="text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再由青杠污水处理厂深度处理，COD、BOD</w:t>
                  </w:r>
                  <w:r>
                    <w:rPr>
                      <w:rFonts w:hint="eastAsia"/>
                      <w:color w:val="000000" w:themeColor="text1"/>
                      <w:sz w:val="21"/>
                      <w:szCs w:val="21"/>
                      <w:highlight w:val="none"/>
                      <w:vertAlign w:val="subscript"/>
                      <w:lang w:val="en-US" w:eastAsia="zh-CN"/>
                      <w14:textFill>
                        <w14:solidFill>
                          <w14:schemeClr w14:val="tx1"/>
                        </w14:solidFill>
                      </w14:textFill>
                    </w:rPr>
                    <w:t>5</w:t>
                  </w:r>
                  <w:r>
                    <w:rPr>
                      <w:rFonts w:hint="eastAsia"/>
                      <w:color w:val="000000" w:themeColor="text1"/>
                      <w:sz w:val="21"/>
                      <w:szCs w:val="21"/>
                      <w:highlight w:val="none"/>
                      <w:lang w:val="en-US" w:eastAsia="zh-CN"/>
                      <w14:textFill>
                        <w14:solidFill>
                          <w14:schemeClr w14:val="tx1"/>
                        </w14:solidFill>
                      </w14:textFill>
                    </w:rPr>
                    <w:t>、NH</w:t>
                  </w:r>
                  <w:r>
                    <w:rPr>
                      <w:rFonts w:hint="eastAsia"/>
                      <w:color w:val="000000" w:themeColor="text1"/>
                      <w:sz w:val="21"/>
                      <w:szCs w:val="21"/>
                      <w:highlight w:val="none"/>
                      <w:vertAlign w:val="subscript"/>
                      <w:lang w:val="en-US" w:eastAsia="zh-CN"/>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-N、TP达《地表水环境质量标准》（GB3838-2002）IV类标准，其余污染物达《城镇污水处理厂污染物排放标准》（GB18918-2002）一级A标准排入璧南河</w:t>
                  </w:r>
                  <w:r>
                    <w:rPr>
                      <w:color w:val="000000" w:themeColor="text1"/>
                      <w:sz w:val="21"/>
                      <w:szCs w:val="21"/>
                      <w:highlight w:val="none"/>
                      <w14:textFill>
                        <w14:solidFill>
                          <w14:schemeClr w14:val="tx1"/>
                        </w14:solidFill>
                      </w14:textFill>
                    </w:rPr>
                    <w:t>。</w:t>
                  </w:r>
                </w:p>
              </w:tc>
              <w:tc>
                <w:tcPr>
                  <w:tcW w:w="374" w:type="pct"/>
                  <w:vAlign w:val="center"/>
                </w:tcPr>
                <w:p w14:paraId="4BE1E2CE">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28C1C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34" w:type="pct"/>
                  <w:vAlign w:val="center"/>
                </w:tcPr>
                <w:p w14:paraId="25D47611">
                  <w:pPr>
                    <w:adjustRightInd w:val="0"/>
                    <w:snapToGrid w:val="0"/>
                    <w:jc w:val="both"/>
                    <w:rPr>
                      <w:rFonts w:hint="default" w:ascii="Times New Roman" w:hAnsi="Times New Roman" w:cs="Times New Roman"/>
                      <w:color w:val="000000" w:themeColor="text1"/>
                      <w:sz w:val="21"/>
                      <w:szCs w:val="21"/>
                      <w14:textFill>
                        <w14:solidFill>
                          <w14:schemeClr w14:val="tx1"/>
                        </w14:solidFill>
                      </w14:textFill>
                    </w:rPr>
                  </w:pPr>
                  <w:r>
                    <w:rPr>
                      <w:color w:val="000000" w:themeColor="text1"/>
                      <w:szCs w:val="21"/>
                      <w:highlight w:val="none"/>
                      <w14:textFill>
                        <w14:solidFill>
                          <w14:schemeClr w14:val="tx1"/>
                        </w14:solidFill>
                      </w14:textFill>
                    </w:rPr>
                    <w:t>改善大气环境质量：治理工业废气。加大国际生物城、大江科创城、经济园区等重点区域及制药、化工等重点行业集中整治力度，推进源头治理。实施小微企业规范化清理整治，进一步降低能耗、煤炭消费量和污染物排放量，鼓励实施超低排放改造、减量或等量替代等措施。推动工业炉窑深度治理和升级改造，继续推进烧结砖瓦企业错峰生产，推进燃气锅炉低氮燃烧改造。以工业涂装、化工、电子、包装印刷、家具制造、油品储运销等行业为重点，以完善“源头-过程一末端”治理模式，“一企一策”管理为主要导向，深入开展挥发性有机物（VOCs）综合整治。严格落实国家和地方VOCs含量限值标准，大力推进低（无）VOCs含量原辅材料替代。加强砖瓦、建材加工等行业废气无组织排放监管。</w:t>
                  </w:r>
                </w:p>
              </w:tc>
              <w:tc>
                <w:tcPr>
                  <w:tcW w:w="2191" w:type="pct"/>
                  <w:shd w:val="clear" w:color="auto" w:fill="auto"/>
                  <w:vAlign w:val="center"/>
                </w:tcPr>
                <w:p w14:paraId="1EAB3F41">
                  <w:pPr>
                    <w:adjustRightInd w:val="0"/>
                    <w:snapToGrid w:val="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本项目</w:t>
                  </w:r>
                  <w:r>
                    <w:rPr>
                      <w:color w:val="000000" w:themeColor="text1"/>
                      <w:szCs w:val="21"/>
                      <w:highlight w:val="none"/>
                      <w14:textFill>
                        <w14:solidFill>
                          <w14:schemeClr w14:val="tx1"/>
                        </w14:solidFill>
                      </w14:textFill>
                    </w:rPr>
                    <w:t>喷涂废气经密闭喷漆房收集，通过“</w:t>
                  </w:r>
                  <w:r>
                    <w:rPr>
                      <w:rFonts w:hint="eastAsia" w:cs="Times New Roman"/>
                      <w:color w:val="000000" w:themeColor="text1"/>
                      <w:sz w:val="21"/>
                      <w:szCs w:val="21"/>
                      <w:lang w:eastAsia="zh-CN"/>
                      <w14:textFill>
                        <w14:solidFill>
                          <w14:schemeClr w14:val="tx1"/>
                        </w14:solidFill>
                      </w14:textFill>
                    </w:rPr>
                    <w:t>水帘湿式漆雾净化</w:t>
                  </w: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高分子过滤盒</w:t>
                  </w:r>
                  <w:r>
                    <w:rPr>
                      <w:rFonts w:hint="default" w:ascii="Times New Roman" w:hAnsi="Times New Roman" w:cs="Times New Roman"/>
                      <w:color w:val="000000" w:themeColor="text1"/>
                      <w:sz w:val="21"/>
                      <w:szCs w:val="21"/>
                      <w14:textFill>
                        <w14:solidFill>
                          <w14:schemeClr w14:val="tx1"/>
                        </w14:solidFill>
                      </w14:textFill>
                    </w:rPr>
                    <w:t>+干式过滤棉+二级活性炭</w:t>
                  </w:r>
                  <w:r>
                    <w:rPr>
                      <w:color w:val="000000" w:themeColor="text1"/>
                      <w:szCs w:val="21"/>
                      <w:highlight w:val="none"/>
                      <w14:textFill>
                        <w14:solidFill>
                          <w14:schemeClr w14:val="tx1"/>
                        </w14:solidFill>
                      </w14:textFill>
                    </w:rPr>
                    <w:t>”处理。</w:t>
                  </w:r>
                  <w:r>
                    <w:rPr>
                      <w:rFonts w:hint="eastAsia"/>
                      <w:color w:val="000000" w:themeColor="text1"/>
                      <w:szCs w:val="21"/>
                      <w:highlight w:val="none"/>
                      <w:lang w:eastAsia="zh-CN"/>
                      <w14:textFill>
                        <w14:solidFill>
                          <w14:schemeClr w14:val="tx1"/>
                        </w14:solidFill>
                      </w14:textFill>
                    </w:rPr>
                    <w:t>本项目</w:t>
                  </w:r>
                  <w:r>
                    <w:rPr>
                      <w:color w:val="000000" w:themeColor="text1"/>
                      <w:szCs w:val="21"/>
                      <w:highlight w:val="none"/>
                      <w14:textFill>
                        <w14:solidFill>
                          <w14:schemeClr w14:val="tx1"/>
                        </w14:solidFill>
                      </w14:textFill>
                    </w:rPr>
                    <w:t>所使用的涂料，挥发性有机物（VOCs）含量满足《低挥发性有机化合物含量涂料产品技术要求》（GB/T38597-2020）</w:t>
                  </w:r>
                  <w:r>
                    <w:rPr>
                      <w:rFonts w:hint="eastAsia"/>
                      <w:color w:val="000000" w:themeColor="text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《工业防护涂料中有害物质限量》（GB30981-2020）</w:t>
                  </w:r>
                  <w:r>
                    <w:rPr>
                      <w:color w:val="000000" w:themeColor="text1"/>
                      <w:szCs w:val="21"/>
                      <w:highlight w:val="none"/>
                      <w14:textFill>
                        <w14:solidFill>
                          <w14:schemeClr w14:val="tx1"/>
                        </w14:solidFill>
                      </w14:textFill>
                    </w:rPr>
                    <w:t>及《车辆涂料中有害物质限量》（GB24409-2020）中车辆涂料VOCs含量限值要求。严格落实了国家和地方VOCs含量限值标准。</w:t>
                  </w:r>
                </w:p>
              </w:tc>
              <w:tc>
                <w:tcPr>
                  <w:tcW w:w="374" w:type="pct"/>
                  <w:vAlign w:val="center"/>
                </w:tcPr>
                <w:p w14:paraId="32522CFE">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77AA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34" w:type="pct"/>
                  <w:vAlign w:val="center"/>
                </w:tcPr>
                <w:p w14:paraId="3C3A4AAC">
                  <w:pPr>
                    <w:adjustRightInd w:val="0"/>
                    <w:snapToGrid w:val="0"/>
                    <w:jc w:val="both"/>
                    <w:rPr>
                      <w:rFonts w:ascii="Times New Roman" w:hAnsi="Times New Roman"/>
                      <w:color w:val="000000" w:themeColor="text1"/>
                      <w:sz w:val="21"/>
                      <w:szCs w:val="21"/>
                      <w14:textFill>
                        <w14:solidFill>
                          <w14:schemeClr w14:val="tx1"/>
                        </w14:solidFill>
                      </w14:textFill>
                    </w:rPr>
                  </w:pPr>
                  <w:r>
                    <w:rPr>
                      <w:color w:val="000000" w:themeColor="text1"/>
                      <w:szCs w:val="21"/>
                      <w:highlight w:val="none"/>
                      <w14:textFill>
                        <w14:solidFill>
                          <w14:schemeClr w14:val="tx1"/>
                        </w14:solidFill>
                      </w14:textFill>
                    </w:rPr>
                    <w:t>严格管控土壤环境污染</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实施土壤污染综合防控。加强土壤污染源头防控和治理，严格按照生态红线、基本农田保护、高标准农田建设等相关要求，合理确定土壤环境功能定位，突出土壤资源环境承载力约束。以沿江工业园区、矿山企业、受污染耕地和污染地块为重点，开展土壤污染突出问题综合治理</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持续开展土壤污染综合防治示范区建设。</w:t>
                  </w:r>
                </w:p>
              </w:tc>
              <w:tc>
                <w:tcPr>
                  <w:tcW w:w="2191" w:type="pct"/>
                  <w:shd w:val="clear" w:color="auto" w:fill="auto"/>
                  <w:vAlign w:val="center"/>
                </w:tcPr>
                <w:p w14:paraId="0F81F472">
                  <w:pPr>
                    <w:adjustRightInd w:val="0"/>
                    <w:snapToGrid w:val="0"/>
                    <w:jc w:val="both"/>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本</w:t>
                  </w:r>
                  <w:r>
                    <w:rPr>
                      <w:color w:val="000000" w:themeColor="text1"/>
                      <w:szCs w:val="21"/>
                      <w:highlight w:val="none"/>
                      <w14:textFill>
                        <w14:solidFill>
                          <w14:schemeClr w14:val="tx1"/>
                        </w14:solidFill>
                      </w14:textFill>
                    </w:rPr>
                    <w:t>项目设置分区分级防渗，重点防渗区为</w:t>
                  </w:r>
                  <w:r>
                    <w:rPr>
                      <w:rFonts w:hint="eastAsia"/>
                      <w:color w:val="000000" w:themeColor="text1"/>
                      <w:szCs w:val="21"/>
                      <w:highlight w:val="none"/>
                      <w:lang w:eastAsia="zh-CN"/>
                      <w14:textFill>
                        <w14:solidFill>
                          <w14:schemeClr w14:val="tx1"/>
                        </w14:solidFill>
                      </w14:textFill>
                    </w:rPr>
                    <w:t>危废贮存库</w:t>
                  </w:r>
                  <w:r>
                    <w:rPr>
                      <w:rFonts w:hint="eastAsia"/>
                      <w:color w:val="000000" w:themeColor="text1"/>
                      <w:szCs w:val="21"/>
                      <w:highlight w:val="none"/>
                      <w14:textFill>
                        <w14:solidFill>
                          <w14:schemeClr w14:val="tx1"/>
                        </w14:solidFill>
                      </w14:textFill>
                    </w:rPr>
                    <w:t>、水性漆库房、喷涂区、备漆间、</w:t>
                  </w:r>
                  <w:r>
                    <w:rPr>
                      <w:rFonts w:hint="eastAsia"/>
                      <w:color w:val="000000" w:themeColor="text1"/>
                      <w:szCs w:val="21"/>
                      <w:highlight w:val="none"/>
                      <w:lang w:eastAsia="zh-CN"/>
                      <w14:textFill>
                        <w14:solidFill>
                          <w14:schemeClr w14:val="tx1"/>
                        </w14:solidFill>
                      </w14:textFill>
                    </w:rPr>
                    <w:t>一体化生产废水处理站</w:t>
                  </w:r>
                  <w:r>
                    <w:rPr>
                      <w:rFonts w:hint="eastAsia"/>
                      <w:color w:val="000000" w:themeColor="text1"/>
                      <w:szCs w:val="21"/>
                      <w:highlight w:val="none"/>
                      <w14:textFill>
                        <w14:solidFill>
                          <w14:schemeClr w14:val="tx1"/>
                        </w14:solidFill>
                      </w14:textFill>
                    </w:rPr>
                    <w:t>、空压机区域</w:t>
                  </w:r>
                  <w:r>
                    <w:rPr>
                      <w:color w:val="000000" w:themeColor="text1"/>
                      <w:szCs w:val="21"/>
                      <w:highlight w:val="none"/>
                      <w14:textFill>
                        <w14:solidFill>
                          <w14:schemeClr w14:val="tx1"/>
                        </w14:solidFill>
                      </w14:textFill>
                    </w:rPr>
                    <w:t>；一般防渗区为</w:t>
                  </w:r>
                  <w:r>
                    <w:rPr>
                      <w:rFonts w:hint="eastAsia"/>
                      <w:color w:val="000000" w:themeColor="text1"/>
                      <w:szCs w:val="21"/>
                      <w:highlight w:val="none"/>
                      <w:lang w:eastAsia="zh-CN"/>
                      <w14:textFill>
                        <w14:solidFill>
                          <w14:schemeClr w14:val="tx1"/>
                        </w14:solidFill>
                      </w14:textFill>
                    </w:rPr>
                    <w:t>一般暂存固废</w:t>
                  </w:r>
                  <w:r>
                    <w:rPr>
                      <w:rFonts w:hint="eastAsia"/>
                      <w:color w:val="000000" w:themeColor="text1"/>
                      <w:szCs w:val="21"/>
                      <w:highlight w:val="none"/>
                      <w:lang w:val="en-US" w:eastAsia="zh-CN"/>
                      <w14:textFill>
                        <w14:solidFill>
                          <w14:schemeClr w14:val="tx1"/>
                        </w14:solidFill>
                      </w14:textFill>
                    </w:rPr>
                    <w:t>间</w:t>
                  </w:r>
                  <w:r>
                    <w:rPr>
                      <w:color w:val="000000" w:themeColor="text1"/>
                      <w:szCs w:val="21"/>
                      <w:highlight w:val="none"/>
                      <w14:textFill>
                        <w14:solidFill>
                          <w14:schemeClr w14:val="tx1"/>
                        </w14:solidFill>
                      </w14:textFill>
                    </w:rPr>
                    <w:t>；简单防渗区为</w:t>
                  </w:r>
                  <w:r>
                    <w:rPr>
                      <w:rFonts w:hint="eastAsia"/>
                      <w:color w:val="000000" w:themeColor="text1"/>
                      <w:szCs w:val="21"/>
                      <w:highlight w:val="none"/>
                      <w:lang w:val="en-US" w:eastAsia="zh-CN"/>
                      <w14:textFill>
                        <w14:solidFill>
                          <w14:schemeClr w14:val="tx1"/>
                        </w14:solidFill>
                      </w14:textFill>
                    </w:rPr>
                    <w:t>物流通道</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毛坯件堆放区</w:t>
                  </w:r>
                  <w:r>
                    <w:rPr>
                      <w:color w:val="000000" w:themeColor="text1"/>
                      <w:szCs w:val="21"/>
                      <w:highlight w:val="none"/>
                      <w14:textFill>
                        <w14:solidFill>
                          <w14:schemeClr w14:val="tx1"/>
                        </w14:solidFill>
                      </w14:textFill>
                    </w:rPr>
                    <w:t>、成品</w:t>
                  </w:r>
                  <w:r>
                    <w:rPr>
                      <w:rFonts w:hint="eastAsia"/>
                      <w:color w:val="000000" w:themeColor="text1"/>
                      <w:szCs w:val="21"/>
                      <w:highlight w:val="none"/>
                      <w:lang w:val="en-US" w:eastAsia="zh-CN"/>
                      <w14:textFill>
                        <w14:solidFill>
                          <w14:schemeClr w14:val="tx1"/>
                        </w14:solidFill>
                      </w14:textFill>
                    </w:rPr>
                    <w:t>半成品堆放</w:t>
                  </w:r>
                  <w:r>
                    <w:rPr>
                      <w:color w:val="000000" w:themeColor="text1"/>
                      <w:szCs w:val="21"/>
                      <w:highlight w:val="none"/>
                      <w14:textFill>
                        <w14:solidFill>
                          <w14:schemeClr w14:val="tx1"/>
                        </w14:solidFill>
                      </w14:textFill>
                    </w:rPr>
                    <w:t>区等；其中危险废物贮存库设置托盘，危险废物不得与其他垃圾混存，必须委托具有危险废物处理资质的单位进行回收处置，禁止私自处理。</w:t>
                  </w:r>
                </w:p>
              </w:tc>
              <w:tc>
                <w:tcPr>
                  <w:tcW w:w="374" w:type="pct"/>
                  <w:vAlign w:val="center"/>
                </w:tcPr>
                <w:p w14:paraId="413C53EE">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r w14:paraId="53F72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34" w:type="pct"/>
                  <w:vAlign w:val="center"/>
                </w:tcPr>
                <w:p w14:paraId="788F3CE6">
                  <w:pPr>
                    <w:adjustRightInd w:val="0"/>
                    <w:snapToGrid w:val="0"/>
                    <w:jc w:val="both"/>
                    <w:rPr>
                      <w:rFonts w:ascii="Times New Roman" w:hAnsi="Times New Roman"/>
                      <w:color w:val="000000" w:themeColor="text1"/>
                      <w:sz w:val="21"/>
                      <w:szCs w:val="21"/>
                      <w14:textFill>
                        <w14:solidFill>
                          <w14:schemeClr w14:val="tx1"/>
                        </w14:solidFill>
                      </w14:textFill>
                    </w:rPr>
                  </w:pPr>
                  <w:r>
                    <w:rPr>
                      <w:color w:val="000000" w:themeColor="text1"/>
                      <w:szCs w:val="21"/>
                      <w:highlight w:val="none"/>
                      <w14:textFill>
                        <w14:solidFill>
                          <w14:schemeClr w14:val="tx1"/>
                        </w14:solidFill>
                      </w14:textFill>
                    </w:rPr>
                    <w:t>管控噪声环境污染</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强化工业企业噪声监管。对位于人口稠密区、噪声排放不达标、居民反</w:t>
                  </w:r>
                  <w:r>
                    <w:rPr>
                      <w:rFonts w:hint="eastAsia"/>
                      <w:color w:val="000000" w:themeColor="text1"/>
                      <w:szCs w:val="21"/>
                      <w:highlight w:val="none"/>
                      <w:lang w:val="en-US" w:eastAsia="zh-CN"/>
                      <w14:textFill>
                        <w14:solidFill>
                          <w14:schemeClr w14:val="tx1"/>
                        </w14:solidFill>
                      </w14:textFill>
                    </w:rPr>
                    <w:t>应</w:t>
                  </w:r>
                  <w:r>
                    <w:rPr>
                      <w:color w:val="000000" w:themeColor="text1"/>
                      <w:szCs w:val="21"/>
                      <w:highlight w:val="none"/>
                      <w14:textFill>
                        <w14:solidFill>
                          <w14:schemeClr w14:val="tx1"/>
                        </w14:solidFill>
                      </w14:textFill>
                    </w:rPr>
                    <w:t>强烈的噪声污染工业企业依法实施限期治理，基本消除城区工业噪声扰民污染源。加强工业园区噪声污染防治，严格限制在2类声环境功能区建设产生噪声污染的工业项目。积极采用降噪工艺和强化管理措施，确保厂界噪声达标。严肃查处工业企业噪声排放超标扰民行为。</w:t>
                  </w:r>
                </w:p>
              </w:tc>
              <w:tc>
                <w:tcPr>
                  <w:tcW w:w="2191" w:type="pct"/>
                  <w:shd w:val="clear" w:color="auto" w:fill="auto"/>
                  <w:vAlign w:val="center"/>
                </w:tcPr>
                <w:p w14:paraId="5EBB8886">
                  <w:pPr>
                    <w:adjustRightInd w:val="0"/>
                    <w:snapToGrid w:val="0"/>
                    <w:jc w:val="both"/>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本</w:t>
                  </w:r>
                  <w:r>
                    <w:rPr>
                      <w:color w:val="000000" w:themeColor="text1"/>
                      <w:szCs w:val="21"/>
                      <w:highlight w:val="none"/>
                      <w14:textFill>
                        <w14:solidFill>
                          <w14:schemeClr w14:val="tx1"/>
                        </w14:solidFill>
                      </w14:textFill>
                    </w:rPr>
                    <w:t>项目位于工业园区内，项目实施后，厂界噪声可满足《工业企业厂界环境噪声排放标准》</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GB12348-2008</w:t>
                  </w:r>
                  <w:r>
                    <w:rPr>
                      <w:rFonts w:hint="eastAsia"/>
                      <w:color w:val="000000" w:themeColor="text1"/>
                      <w:szCs w:val="21"/>
                      <w:highlight w:val="none"/>
                      <w:lang w:eastAsia="zh-CN"/>
                      <w14:textFill>
                        <w14:solidFill>
                          <w14:schemeClr w14:val="tx1"/>
                        </w14:solidFill>
                      </w14:textFill>
                    </w:rPr>
                    <w:t>）</w:t>
                  </w:r>
                  <w:r>
                    <w:rPr>
                      <w:color w:val="000000" w:themeColor="text1"/>
                      <w:szCs w:val="21"/>
                      <w:highlight w:val="none"/>
                      <w14:textFill>
                        <w14:solidFill>
                          <w14:schemeClr w14:val="tx1"/>
                        </w14:solidFill>
                      </w14:textFill>
                    </w:rPr>
                    <w:t>3类排放限值要求。根据项目现状调查，厂区外50m范围内无声环境敏感目标，均为工业园区的在建或已建企业，运营期不会造成噪声污染。</w:t>
                  </w:r>
                </w:p>
              </w:tc>
              <w:tc>
                <w:tcPr>
                  <w:tcW w:w="374" w:type="pct"/>
                  <w:vAlign w:val="center"/>
                </w:tcPr>
                <w:p w14:paraId="58EC6AFB">
                  <w:pPr>
                    <w:pStyle w:val="32"/>
                    <w:snapToGrid w:val="0"/>
                    <w:spacing w:line="240" w:lineRule="auto"/>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符合</w:t>
                  </w:r>
                </w:p>
              </w:tc>
            </w:tr>
          </w:tbl>
          <w:p w14:paraId="503A5EF9">
            <w:pPr>
              <w:adjustRightInd w:val="0"/>
              <w:snapToGrid w:val="0"/>
              <w:spacing w:beforeLines="50"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由上表可见，本项目符合</w:t>
            </w:r>
            <w:r>
              <w:rPr>
                <w:rFonts w:hint="eastAsia"/>
                <w:color w:val="000000" w:themeColor="text1"/>
                <w:sz w:val="24"/>
                <w:szCs w:val="24"/>
                <w14:textFill>
                  <w14:solidFill>
                    <w14:schemeClr w14:val="tx1"/>
                  </w14:solidFill>
                </w14:textFill>
              </w:rPr>
              <w:t>《重庆市璧山区“十四五”生态环境保护规划和二〇三五年远景目标》（璧山府发﹝2021﹞44号）</w:t>
            </w:r>
            <w:r>
              <w:rPr>
                <w:color w:val="000000" w:themeColor="text1"/>
                <w:sz w:val="24"/>
                <w:szCs w:val="24"/>
                <w14:textFill>
                  <w14:solidFill>
                    <w14:schemeClr w14:val="tx1"/>
                  </w14:solidFill>
                </w14:textFill>
              </w:rPr>
              <w:t>文件的相关要求。</w:t>
            </w:r>
          </w:p>
          <w:p w14:paraId="764F97A9">
            <w:pPr>
              <w:adjustRightInd w:val="0"/>
              <w:snapToGrid w:val="0"/>
              <w:spacing w:beforeLines="50" w:line="360" w:lineRule="auto"/>
              <w:rPr>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9</w:t>
            </w:r>
            <w:r>
              <w:rPr>
                <w:b/>
                <w:bCs/>
                <w:color w:val="000000" w:themeColor="text1"/>
                <w:sz w:val="24"/>
                <w:szCs w:val="24"/>
                <w14:textFill>
                  <w14:solidFill>
                    <w14:schemeClr w14:val="tx1"/>
                  </w14:solidFill>
                </w14:textFill>
              </w:rPr>
              <w:t>、与《挥发性有机物无组织排放控制标准》（GB37822-2019）符合性分析</w:t>
            </w:r>
          </w:p>
          <w:p w14:paraId="4D481C0E">
            <w:pPr>
              <w:pStyle w:val="11"/>
              <w:spacing w:line="240" w:lineRule="auto"/>
              <w:ind w:firstLine="422"/>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表1-1</w:t>
            </w:r>
            <w:r>
              <w:rPr>
                <w:rFonts w:hint="eastAsia"/>
                <w:b/>
                <w:bCs/>
                <w:color w:val="000000" w:themeColor="text1"/>
                <w:sz w:val="24"/>
                <w:szCs w:val="24"/>
                <w14:textFill>
                  <w14:solidFill>
                    <w14:schemeClr w14:val="tx1"/>
                  </w14:solidFill>
                </w14:textFill>
              </w:rPr>
              <w:t>0</w:t>
            </w:r>
            <w:r>
              <w:rPr>
                <w:b/>
                <w:bCs/>
                <w:color w:val="000000" w:themeColor="text1"/>
                <w:sz w:val="24"/>
                <w:szCs w:val="24"/>
                <w14:textFill>
                  <w14:solidFill>
                    <w14:schemeClr w14:val="tx1"/>
                  </w14:solidFill>
                </w14:textFill>
              </w:rPr>
              <w:t xml:space="preserve"> 与《挥发性有机物无组织排放控制标准》（GB37822-2019）的符合性分析</w:t>
            </w:r>
          </w:p>
          <w:tbl>
            <w:tblPr>
              <w:tblStyle w:val="21"/>
              <w:tblW w:w="793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4200"/>
              <w:gridCol w:w="2997"/>
              <w:gridCol w:w="740"/>
            </w:tblGrid>
            <w:tr w14:paraId="72907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2645" w:type="pct"/>
                  <w:tcBorders>
                    <w:top w:val="single" w:color="auto" w:sz="6" w:space="0"/>
                    <w:left w:val="single" w:color="auto" w:sz="6" w:space="0"/>
                    <w:bottom w:val="single" w:color="auto" w:sz="6" w:space="0"/>
                    <w:right w:val="single" w:color="auto" w:sz="6" w:space="0"/>
                  </w:tcBorders>
                  <w:vAlign w:val="center"/>
                </w:tcPr>
                <w:p w14:paraId="7F8B280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与项目相关要求</w:t>
                  </w:r>
                </w:p>
              </w:tc>
              <w:tc>
                <w:tcPr>
                  <w:tcW w:w="1887" w:type="pct"/>
                  <w:tcBorders>
                    <w:top w:val="single" w:color="auto" w:sz="6" w:space="0"/>
                    <w:left w:val="single" w:color="auto" w:sz="6" w:space="0"/>
                    <w:bottom w:val="single" w:color="auto" w:sz="6" w:space="0"/>
                    <w:right w:val="single" w:color="auto" w:sz="6" w:space="0"/>
                  </w:tcBorders>
                  <w:vAlign w:val="center"/>
                </w:tcPr>
                <w:p w14:paraId="0572528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项目情况</w:t>
                  </w:r>
                </w:p>
              </w:tc>
              <w:tc>
                <w:tcPr>
                  <w:tcW w:w="466" w:type="pct"/>
                  <w:tcBorders>
                    <w:top w:val="single" w:color="auto" w:sz="6" w:space="0"/>
                    <w:left w:val="single" w:color="auto" w:sz="6" w:space="0"/>
                    <w:bottom w:val="single" w:color="auto" w:sz="6" w:space="0"/>
                    <w:right w:val="single" w:color="auto" w:sz="6" w:space="0"/>
                  </w:tcBorders>
                  <w:vAlign w:val="center"/>
                </w:tcPr>
                <w:p w14:paraId="73736B53">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符合性</w:t>
                  </w:r>
                </w:p>
              </w:tc>
            </w:tr>
            <w:tr w14:paraId="0921F1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2645" w:type="pct"/>
                  <w:tcBorders>
                    <w:top w:val="single" w:color="auto" w:sz="6" w:space="0"/>
                    <w:left w:val="single" w:color="auto" w:sz="6" w:space="0"/>
                    <w:bottom w:val="single" w:color="auto" w:sz="6" w:space="0"/>
                    <w:right w:val="single" w:color="auto" w:sz="6" w:space="0"/>
                  </w:tcBorders>
                  <w:vAlign w:val="center"/>
                </w:tcPr>
                <w:p w14:paraId="223F5F43">
                  <w:pPr>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VOCs物料应储存于密闭的容器、包装袋、储罐、储库、料仓中。</w:t>
                  </w:r>
                </w:p>
              </w:tc>
              <w:tc>
                <w:tcPr>
                  <w:tcW w:w="1887" w:type="pct"/>
                  <w:tcBorders>
                    <w:top w:val="single" w:color="auto" w:sz="6" w:space="0"/>
                    <w:left w:val="single" w:color="auto" w:sz="6" w:space="0"/>
                    <w:bottom w:val="single" w:color="auto" w:sz="6" w:space="0"/>
                    <w:right w:val="single" w:color="auto" w:sz="6" w:space="0"/>
                  </w:tcBorders>
                  <w:vAlign w:val="center"/>
                </w:tcPr>
                <w:p w14:paraId="6B07039A">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本项目使用的含VOCs物料储存于密闭的容器中</w:t>
                  </w:r>
                </w:p>
              </w:tc>
              <w:tc>
                <w:tcPr>
                  <w:tcW w:w="466" w:type="pct"/>
                  <w:tcBorders>
                    <w:top w:val="single" w:color="auto" w:sz="6" w:space="0"/>
                    <w:left w:val="single" w:color="auto" w:sz="6" w:space="0"/>
                    <w:bottom w:val="single" w:color="auto" w:sz="6" w:space="0"/>
                    <w:right w:val="single" w:color="auto" w:sz="6" w:space="0"/>
                  </w:tcBorders>
                  <w:vAlign w:val="center"/>
                </w:tcPr>
                <w:p w14:paraId="3199A6B9">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2D891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2645" w:type="pct"/>
                  <w:tcBorders>
                    <w:top w:val="single" w:color="auto" w:sz="6" w:space="0"/>
                    <w:left w:val="single" w:color="auto" w:sz="6" w:space="0"/>
                    <w:bottom w:val="single" w:color="auto" w:sz="6" w:space="0"/>
                    <w:right w:val="single" w:color="auto" w:sz="6" w:space="0"/>
                  </w:tcBorders>
                  <w:vAlign w:val="center"/>
                </w:tcPr>
                <w:p w14:paraId="01219894">
                  <w:pPr>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液态VOCs物料应采用密闭管道输送。采用非管道输送方式转移液态VOCs物料时，应采用密闭容器、罐车。</w:t>
                  </w:r>
                </w:p>
              </w:tc>
              <w:tc>
                <w:tcPr>
                  <w:tcW w:w="1887" w:type="pct"/>
                  <w:tcBorders>
                    <w:top w:val="single" w:color="auto" w:sz="6" w:space="0"/>
                    <w:left w:val="single" w:color="auto" w:sz="6" w:space="0"/>
                    <w:bottom w:val="single" w:color="auto" w:sz="6" w:space="0"/>
                    <w:right w:val="single" w:color="auto" w:sz="6" w:space="0"/>
                  </w:tcBorders>
                  <w:vAlign w:val="center"/>
                </w:tcPr>
                <w:p w14:paraId="6CE25F30">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本项目使用的液态VOCs转移过程均采用密闭的容器</w:t>
                  </w:r>
                </w:p>
              </w:tc>
              <w:tc>
                <w:tcPr>
                  <w:tcW w:w="466" w:type="pct"/>
                  <w:tcBorders>
                    <w:top w:val="single" w:color="auto" w:sz="6" w:space="0"/>
                    <w:left w:val="single" w:color="auto" w:sz="6" w:space="0"/>
                    <w:bottom w:val="single" w:color="auto" w:sz="6" w:space="0"/>
                    <w:right w:val="single" w:color="auto" w:sz="6" w:space="0"/>
                  </w:tcBorders>
                  <w:vAlign w:val="center"/>
                </w:tcPr>
                <w:p w14:paraId="6F0B6B0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2A7212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2645" w:type="pct"/>
                  <w:tcBorders>
                    <w:top w:val="single" w:color="auto" w:sz="6" w:space="0"/>
                    <w:left w:val="single" w:color="auto" w:sz="6" w:space="0"/>
                    <w:bottom w:val="single" w:color="auto" w:sz="6" w:space="0"/>
                    <w:right w:val="single" w:color="auto" w:sz="6" w:space="0"/>
                  </w:tcBorders>
                  <w:vAlign w:val="center"/>
                </w:tcPr>
                <w:p w14:paraId="23A46DFF">
                  <w:pPr>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液态VOCs物料应采用密闭管道输送方式或采用高位槽（罐</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、桶泵等给料方式密闭投加。无法密闭投加的，应在密闭空间内操作，或进行局部气体收集，废气应排至VOCs废气收集处理系统。</w:t>
                  </w:r>
                </w:p>
              </w:tc>
              <w:tc>
                <w:tcPr>
                  <w:tcW w:w="1887" w:type="pct"/>
                  <w:tcBorders>
                    <w:top w:val="single" w:color="auto" w:sz="6" w:space="0"/>
                    <w:left w:val="single" w:color="auto" w:sz="6" w:space="0"/>
                    <w:bottom w:val="single" w:color="auto" w:sz="6" w:space="0"/>
                    <w:right w:val="single" w:color="auto" w:sz="6" w:space="0"/>
                  </w:tcBorders>
                  <w:vAlign w:val="center"/>
                </w:tcPr>
                <w:p w14:paraId="5A47DD89">
                  <w:pPr>
                    <w:jc w:val="both"/>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本项目喷</w:t>
                  </w:r>
                  <w:r>
                    <w:rPr>
                      <w:rFonts w:hint="eastAsia"/>
                      <w:color w:val="000000" w:themeColor="text1"/>
                      <w:sz w:val="21"/>
                      <w:szCs w:val="21"/>
                      <w:lang w:val="en-US" w:eastAsia="zh-CN"/>
                      <w14:textFill>
                        <w14:solidFill>
                          <w14:schemeClr w14:val="tx1"/>
                        </w14:solidFill>
                      </w14:textFill>
                    </w:rPr>
                    <w:t>涂</w:t>
                  </w:r>
                  <w:r>
                    <w:rPr>
                      <w:rFonts w:hint="eastAsia"/>
                      <w:color w:val="000000" w:themeColor="text1"/>
                      <w:sz w:val="21"/>
                      <w:szCs w:val="21"/>
                      <w14:textFill>
                        <w14:solidFill>
                          <w14:schemeClr w14:val="tx1"/>
                        </w14:solidFill>
                      </w14:textFill>
                    </w:rPr>
                    <w:t>作业位于密闭的漆房内，对有机废气采取负压</w:t>
                  </w:r>
                  <w:r>
                    <w:rPr>
                      <w:rFonts w:hint="eastAsia"/>
                      <w:color w:val="000000" w:themeColor="text1"/>
                      <w:sz w:val="21"/>
                      <w:szCs w:val="21"/>
                      <w:lang w:eastAsia="zh-CN"/>
                      <w14:textFill>
                        <w14:solidFill>
                          <w14:schemeClr w14:val="tx1"/>
                        </w14:solidFill>
                      </w14:textFill>
                    </w:rPr>
                    <w:t>抽风</w:t>
                  </w:r>
                  <w:r>
                    <w:rPr>
                      <w:rFonts w:hint="eastAsia"/>
                      <w:color w:val="000000" w:themeColor="text1"/>
                      <w:sz w:val="21"/>
                      <w:szCs w:val="21"/>
                      <w14:textFill>
                        <w14:solidFill>
                          <w14:schemeClr w14:val="tx1"/>
                        </w14:solidFill>
                      </w14:textFill>
                    </w:rPr>
                    <w:t>；喷漆工件在密闭喷漆房内晾干，有机废气经负压</w:t>
                  </w:r>
                  <w:r>
                    <w:rPr>
                      <w:rFonts w:hint="eastAsia"/>
                      <w:color w:val="000000" w:themeColor="text1"/>
                      <w:sz w:val="21"/>
                      <w:szCs w:val="21"/>
                      <w:lang w:eastAsia="zh-CN"/>
                      <w14:textFill>
                        <w14:solidFill>
                          <w14:schemeClr w14:val="tx1"/>
                        </w14:solidFill>
                      </w14:textFill>
                    </w:rPr>
                    <w:t>抽风</w:t>
                  </w:r>
                  <w:r>
                    <w:rPr>
                      <w:rFonts w:hint="eastAsia"/>
                      <w:color w:val="000000" w:themeColor="text1"/>
                      <w:sz w:val="21"/>
                      <w:szCs w:val="21"/>
                      <w14:textFill>
                        <w14:solidFill>
                          <w14:schemeClr w14:val="tx1"/>
                        </w14:solidFill>
                      </w14:textFill>
                    </w:rPr>
                    <w:t>收集后进入废气治理设施处理。综上，企业基本实现有机废气的全过程收集、处理，有效减少了有机废气</w:t>
                  </w:r>
                  <w:r>
                    <w:rPr>
                      <w:rFonts w:hint="eastAsia"/>
                      <w:color w:val="000000" w:themeColor="text1"/>
                      <w:sz w:val="21"/>
                      <w:szCs w:val="21"/>
                      <w:lang w:eastAsia="zh-CN"/>
                      <w14:textFill>
                        <w14:solidFill>
                          <w14:schemeClr w14:val="tx1"/>
                        </w14:solidFill>
                      </w14:textFill>
                    </w:rPr>
                    <w:t>的无组织排放。</w:t>
                  </w:r>
                </w:p>
              </w:tc>
              <w:tc>
                <w:tcPr>
                  <w:tcW w:w="466" w:type="pct"/>
                  <w:tcBorders>
                    <w:top w:val="single" w:color="auto" w:sz="6" w:space="0"/>
                    <w:left w:val="single" w:color="auto" w:sz="6" w:space="0"/>
                    <w:bottom w:val="single" w:color="auto" w:sz="6" w:space="0"/>
                    <w:right w:val="single" w:color="auto" w:sz="6" w:space="0"/>
                  </w:tcBorders>
                  <w:vAlign w:val="center"/>
                </w:tcPr>
                <w:p w14:paraId="37F5F5DB">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41C3D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2645" w:type="pct"/>
                  <w:tcBorders>
                    <w:top w:val="single" w:color="auto" w:sz="6" w:space="0"/>
                    <w:left w:val="single" w:color="auto" w:sz="6" w:space="0"/>
                    <w:bottom w:val="single" w:color="auto" w:sz="6" w:space="0"/>
                    <w:right w:val="single" w:color="auto" w:sz="6" w:space="0"/>
                  </w:tcBorders>
                  <w:vAlign w:val="center"/>
                </w:tcPr>
                <w:p w14:paraId="2A27C3B8">
                  <w:pPr>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企业应建立台账，记录含VOCs原辅材料和含VOCs产品的名称、使用量、回收量、废弃量、去向以及含量等信息</w:t>
                  </w:r>
                </w:p>
              </w:tc>
              <w:tc>
                <w:tcPr>
                  <w:tcW w:w="1887" w:type="pct"/>
                  <w:tcBorders>
                    <w:top w:val="single" w:color="auto" w:sz="6" w:space="0"/>
                    <w:left w:val="single" w:color="auto" w:sz="6" w:space="0"/>
                    <w:bottom w:val="single" w:color="auto" w:sz="6" w:space="0"/>
                    <w:right w:val="single" w:color="auto" w:sz="6" w:space="0"/>
                  </w:tcBorders>
                  <w:vAlign w:val="center"/>
                </w:tcPr>
                <w:p w14:paraId="75BCCF61">
                  <w:pPr>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本项目设置台账记录含VOCs原辅材料和含VOCs产品的名称、使用量、回收量、废弃量、去向</w:t>
                  </w:r>
                  <w:r>
                    <w:rPr>
                      <w:rFonts w:hint="eastAsia"/>
                      <w:color w:val="000000" w:themeColor="text1"/>
                      <w:sz w:val="21"/>
                      <w:szCs w:val="21"/>
                      <w:lang w:eastAsia="zh-CN"/>
                      <w14:textFill>
                        <w14:solidFill>
                          <w14:schemeClr w14:val="tx1"/>
                        </w14:solidFill>
                      </w14:textFill>
                    </w:rPr>
                    <w:t>、</w:t>
                  </w:r>
                  <w:r>
                    <w:rPr>
                      <w:color w:val="000000" w:themeColor="text1"/>
                      <w:sz w:val="21"/>
                      <w:szCs w:val="21"/>
                      <w14:textFill>
                        <w14:solidFill>
                          <w14:schemeClr w14:val="tx1"/>
                        </w14:solidFill>
                      </w14:textFill>
                    </w:rPr>
                    <w:t>含量等信息。</w:t>
                  </w:r>
                </w:p>
              </w:tc>
              <w:tc>
                <w:tcPr>
                  <w:tcW w:w="466" w:type="pct"/>
                  <w:tcBorders>
                    <w:top w:val="single" w:color="auto" w:sz="6" w:space="0"/>
                    <w:left w:val="single" w:color="auto" w:sz="6" w:space="0"/>
                    <w:bottom w:val="single" w:color="auto" w:sz="6" w:space="0"/>
                    <w:right w:val="single" w:color="auto" w:sz="6" w:space="0"/>
                  </w:tcBorders>
                  <w:vAlign w:val="center"/>
                </w:tcPr>
                <w:p w14:paraId="03DD1395">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14:paraId="118BE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2645" w:type="pct"/>
                  <w:tcBorders>
                    <w:top w:val="single" w:color="auto" w:sz="6" w:space="0"/>
                    <w:left w:val="single" w:color="auto" w:sz="6" w:space="0"/>
                    <w:bottom w:val="single" w:color="auto" w:sz="6" w:space="0"/>
                    <w:right w:val="single" w:color="auto" w:sz="6" w:space="0"/>
                  </w:tcBorders>
                  <w:vAlign w:val="center"/>
                </w:tcPr>
                <w:p w14:paraId="682DF281">
                  <w:pPr>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通风生产设备、操作工位、车间厂房等应在符合安全生产、职业卫生相关规定的前提下，根据行业作业规程与标准、工业建筑及洁净厂房通风设计规范等的要求，采用合理的通风量</w:t>
                  </w:r>
                </w:p>
              </w:tc>
              <w:tc>
                <w:tcPr>
                  <w:tcW w:w="1887" w:type="pct"/>
                  <w:tcBorders>
                    <w:top w:val="single" w:color="auto" w:sz="6" w:space="0"/>
                    <w:left w:val="single" w:color="auto" w:sz="6" w:space="0"/>
                    <w:bottom w:val="single" w:color="auto" w:sz="6" w:space="0"/>
                    <w:right w:val="single" w:color="auto" w:sz="6" w:space="0"/>
                  </w:tcBorders>
                  <w:vAlign w:val="center"/>
                </w:tcPr>
                <w:p w14:paraId="1BFCF98C">
                  <w:pPr>
                    <w:jc w:val="both"/>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本项目根据行业作业规程与标准、工业建筑及洁净厂房通风设计规范等的要求，合理设置通风量。</w:t>
                  </w:r>
                </w:p>
              </w:tc>
              <w:tc>
                <w:tcPr>
                  <w:tcW w:w="466" w:type="pct"/>
                  <w:tcBorders>
                    <w:top w:val="single" w:color="auto" w:sz="6" w:space="0"/>
                    <w:left w:val="single" w:color="auto" w:sz="6" w:space="0"/>
                    <w:bottom w:val="single" w:color="auto" w:sz="6" w:space="0"/>
                    <w:right w:val="single" w:color="auto" w:sz="6" w:space="0"/>
                  </w:tcBorders>
                  <w:vAlign w:val="center"/>
                </w:tcPr>
                <w:p w14:paraId="35FB996F">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14:paraId="78DB988A">
            <w:pPr>
              <w:pStyle w:val="11"/>
              <w:keepNext w:val="0"/>
              <w:keepLines w:val="0"/>
              <w:pageBreakBefore w:val="0"/>
              <w:widowControl w:val="0"/>
              <w:kinsoku/>
              <w:wordWrap/>
              <w:overflowPunct/>
              <w:topLinePunct w:val="0"/>
              <w:autoSpaceDE/>
              <w:autoSpaceDN/>
              <w:bidi w:val="0"/>
              <w:adjustRightInd w:val="0"/>
              <w:spacing w:line="360"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由上表可知，本项目符合《挥发性有机物无组织排放控制标准》（GB 37822-2019）文件的相关要求。</w:t>
            </w:r>
          </w:p>
          <w:p w14:paraId="44CD2FEF">
            <w:pPr>
              <w:pStyle w:val="33"/>
              <w:keepNext w:val="0"/>
              <w:keepLines w:val="0"/>
              <w:pageBreakBefore w:val="0"/>
              <w:widowControl w:val="0"/>
              <w:shd w:val="clear" w:color="auto" w:fill="auto"/>
              <w:kinsoku/>
              <w:wordWrap/>
              <w:overflowPunct/>
              <w:topLinePunct w:val="0"/>
              <w:autoSpaceDE/>
              <w:autoSpaceDN/>
              <w:bidi w:val="0"/>
              <w:adjustRightInd w:val="0"/>
              <w:spacing w:line="360" w:lineRule="auto"/>
              <w:ind w:left="0" w:leftChars="0" w:firstLine="0" w:firstLineChars="0"/>
              <w:jc w:val="left"/>
              <w:rPr>
                <w:rFonts w:eastAsia="宋体"/>
                <w:b/>
                <w:bCs/>
                <w:color w:val="000000" w:themeColor="text1"/>
                <w:highlight w:val="none"/>
                <w14:textFill>
                  <w14:solidFill>
                    <w14:schemeClr w14:val="tx1"/>
                  </w14:solidFill>
                </w14:textFill>
              </w:rPr>
            </w:pPr>
            <w:r>
              <w:rPr>
                <w:rFonts w:hint="eastAsia" w:eastAsia="宋体"/>
                <w:b/>
                <w:bCs/>
                <w:color w:val="000000" w:themeColor="text1"/>
                <w:highlight w:val="none"/>
                <w:lang w:val="en-US" w:eastAsia="zh-CN"/>
                <w14:textFill>
                  <w14:solidFill>
                    <w14:schemeClr w14:val="tx1"/>
                  </w14:solidFill>
                </w14:textFill>
              </w:rPr>
              <w:t>10、</w:t>
            </w:r>
            <w:r>
              <w:rPr>
                <w:rFonts w:eastAsia="宋体"/>
                <w:b/>
                <w:bCs/>
                <w:color w:val="000000" w:themeColor="text1"/>
                <w:highlight w:val="none"/>
                <w14:textFill>
                  <w14:solidFill>
                    <w14:schemeClr w14:val="tx1"/>
                  </w14:solidFill>
                </w14:textFill>
              </w:rPr>
              <w:t>与《挥发性有机物（VOCs）污染防治技术政策》符合性分析</w:t>
            </w:r>
          </w:p>
          <w:p w14:paraId="3A2F3D92">
            <w:pPr>
              <w:pStyle w:val="33"/>
              <w:keepNext w:val="0"/>
              <w:keepLines w:val="0"/>
              <w:pageBreakBefore w:val="0"/>
              <w:widowControl w:val="0"/>
              <w:shd w:val="clear" w:color="auto" w:fill="auto"/>
              <w:kinsoku/>
              <w:wordWrap/>
              <w:overflowPunct/>
              <w:topLinePunct w:val="0"/>
              <w:autoSpaceDE/>
              <w:autoSpaceDN/>
              <w:bidi w:val="0"/>
              <w:adjustRightInd w:val="0"/>
              <w:spacing w:line="360" w:lineRule="auto"/>
              <w:ind w:firstLineChars="200"/>
              <w:jc w:val="left"/>
              <w:rPr>
                <w:rFonts w:eastAsia="宋体"/>
                <w:color w:val="000000" w:themeColor="text1"/>
                <w:highlight w:val="none"/>
                <w14:textFill>
                  <w14:solidFill>
                    <w14:schemeClr w14:val="tx1"/>
                  </w14:solidFill>
                </w14:textFill>
              </w:rPr>
            </w:pPr>
            <w:r>
              <w:rPr>
                <w:rFonts w:hint="eastAsia" w:eastAsia="宋体"/>
                <w:color w:val="000000" w:themeColor="text1"/>
                <w:highlight w:val="none"/>
                <w14:textFill>
                  <w14:solidFill>
                    <w14:schemeClr w14:val="tx1"/>
                  </w14:solidFill>
                </w14:textFill>
              </w:rPr>
              <w:t>本项目</w:t>
            </w:r>
            <w:r>
              <w:rPr>
                <w:rFonts w:eastAsia="宋体"/>
                <w:color w:val="000000" w:themeColor="text1"/>
                <w:highlight w:val="none"/>
                <w14:textFill>
                  <w14:solidFill>
                    <w14:schemeClr w14:val="tx1"/>
                  </w14:solidFill>
                </w14:textFill>
              </w:rPr>
              <w:t>与《挥发性有机物（VOCs）污染防治技术政策》相关要求对比分析情况见下</w:t>
            </w:r>
            <w:r>
              <w:rPr>
                <w:rFonts w:hint="eastAsia" w:eastAsia="宋体"/>
                <w:color w:val="000000" w:themeColor="text1"/>
                <w:highlight w:val="none"/>
                <w14:textFill>
                  <w14:solidFill>
                    <w14:schemeClr w14:val="tx1"/>
                  </w14:solidFill>
                </w14:textFill>
              </w:rPr>
              <w:t>。</w:t>
            </w:r>
          </w:p>
          <w:p w14:paraId="7E8B60E9">
            <w:pPr>
              <w:pStyle w:val="33"/>
              <w:keepNext w:val="0"/>
              <w:keepLines w:val="0"/>
              <w:pageBreakBefore w:val="0"/>
              <w:widowControl w:val="0"/>
              <w:shd w:val="clear" w:color="auto" w:fill="auto"/>
              <w:kinsoku/>
              <w:wordWrap/>
              <w:overflowPunct/>
              <w:topLinePunct w:val="0"/>
              <w:autoSpaceDE/>
              <w:autoSpaceDN/>
              <w:bidi w:val="0"/>
              <w:adjustRightInd w:val="0"/>
              <w:spacing w:line="360" w:lineRule="auto"/>
              <w:ind w:firstLineChars="200"/>
              <w:rPr>
                <w:rFonts w:eastAsia="宋体"/>
                <w:b/>
                <w:bCs/>
                <w:color w:val="000000" w:themeColor="text1"/>
                <w:highlight w:val="none"/>
                <w14:textFill>
                  <w14:solidFill>
                    <w14:schemeClr w14:val="tx1"/>
                  </w14:solidFill>
                </w14:textFill>
              </w:rPr>
            </w:pPr>
            <w:r>
              <w:rPr>
                <w:rFonts w:eastAsia="宋体"/>
                <w:b/>
                <w:bCs/>
                <w:color w:val="000000" w:themeColor="text1"/>
                <w:highlight w:val="none"/>
                <w14:textFill>
                  <w14:solidFill>
                    <w14:schemeClr w14:val="tx1"/>
                  </w14:solidFill>
                </w14:textFill>
              </w:rPr>
              <w:t>表</w:t>
            </w:r>
            <w:r>
              <w:rPr>
                <w:rFonts w:hint="eastAsia" w:eastAsia="宋体"/>
                <w:b/>
                <w:bCs/>
                <w:color w:val="000000" w:themeColor="text1"/>
                <w:highlight w:val="none"/>
                <w14:textFill>
                  <w14:solidFill>
                    <w14:schemeClr w14:val="tx1"/>
                  </w14:solidFill>
                </w14:textFill>
              </w:rPr>
              <w:t>1-1</w:t>
            </w:r>
            <w:r>
              <w:rPr>
                <w:rFonts w:hint="eastAsia" w:eastAsia="宋体"/>
                <w:b/>
                <w:bCs/>
                <w:color w:val="000000" w:themeColor="text1"/>
                <w:highlight w:val="none"/>
                <w:lang w:val="en-US" w:eastAsia="zh-CN"/>
                <w14:textFill>
                  <w14:solidFill>
                    <w14:schemeClr w14:val="tx1"/>
                  </w14:solidFill>
                </w14:textFill>
              </w:rPr>
              <w:t>1</w:t>
            </w:r>
            <w:r>
              <w:rPr>
                <w:rFonts w:hint="eastAsia" w:eastAsia="宋体"/>
                <w:b/>
                <w:bCs/>
                <w:color w:val="000000" w:themeColor="text1"/>
                <w:highlight w:val="none"/>
                <w14:textFill>
                  <w14:solidFill>
                    <w14:schemeClr w14:val="tx1"/>
                  </w14:solidFill>
                </w14:textFill>
              </w:rPr>
              <w:t xml:space="preserve"> </w:t>
            </w:r>
            <w:r>
              <w:rPr>
                <w:rFonts w:eastAsia="宋体"/>
                <w:b/>
                <w:bCs/>
                <w:color w:val="000000" w:themeColor="text1"/>
                <w:highlight w:val="none"/>
                <w14:textFill>
                  <w14:solidFill>
                    <w14:schemeClr w14:val="tx1"/>
                  </w14:solidFill>
                </w14:textFill>
              </w:rPr>
              <w:t>与《挥发性有机物（VOCs）污染防治技术政策》符合性分析</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3855"/>
              <w:gridCol w:w="2786"/>
              <w:gridCol w:w="839"/>
            </w:tblGrid>
            <w:tr w14:paraId="32B77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287" w:type="pct"/>
                  <w:noWrap w:val="0"/>
                  <w:vAlign w:val="center"/>
                </w:tcPr>
                <w:p w14:paraId="61BDD03B">
                  <w:pPr>
                    <w:pStyle w:val="34"/>
                    <w:shd w:val="clear" w:color="auto" w:fill="auto"/>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2428" w:type="pct"/>
                  <w:noWrap w:val="0"/>
                  <w:vAlign w:val="center"/>
                </w:tcPr>
                <w:p w14:paraId="36BD4A35">
                  <w:pPr>
                    <w:pStyle w:val="34"/>
                    <w:shd w:val="clear" w:color="auto" w:fill="auto"/>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《挥发性有机物（VOCs）污染防治技术政策》相关要求</w:t>
                  </w:r>
                </w:p>
              </w:tc>
              <w:tc>
                <w:tcPr>
                  <w:tcW w:w="1755" w:type="pct"/>
                  <w:noWrap w:val="0"/>
                  <w:vAlign w:val="center"/>
                </w:tcPr>
                <w:p w14:paraId="3F31BC87">
                  <w:pPr>
                    <w:pStyle w:val="34"/>
                    <w:shd w:val="clear" w:color="auto" w:fill="auto"/>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本项目</w:t>
                  </w:r>
                  <w:r>
                    <w:rPr>
                      <w:b/>
                      <w:bCs/>
                      <w:color w:val="000000" w:themeColor="text1"/>
                      <w:sz w:val="21"/>
                      <w:szCs w:val="21"/>
                      <w:highlight w:val="none"/>
                      <w14:textFill>
                        <w14:solidFill>
                          <w14:schemeClr w14:val="tx1"/>
                        </w14:solidFill>
                      </w14:textFill>
                    </w:rPr>
                    <w:t>情况</w:t>
                  </w:r>
                </w:p>
              </w:tc>
              <w:tc>
                <w:tcPr>
                  <w:tcW w:w="528" w:type="pct"/>
                  <w:noWrap w:val="0"/>
                  <w:vAlign w:val="center"/>
                </w:tcPr>
                <w:p w14:paraId="7DF0EB64">
                  <w:pPr>
                    <w:pStyle w:val="34"/>
                    <w:shd w:val="clear" w:color="auto" w:fill="auto"/>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符合性</w:t>
                  </w:r>
                </w:p>
              </w:tc>
            </w:tr>
            <w:tr w14:paraId="6B6F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 w:type="pct"/>
                  <w:noWrap w:val="0"/>
                  <w:vAlign w:val="center"/>
                </w:tcPr>
                <w:p w14:paraId="34EAE931">
                  <w:pPr>
                    <w:pStyle w:val="34"/>
                    <w:shd w:val="clear" w:color="auto" w:fill="auto"/>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2428" w:type="pct"/>
                  <w:noWrap w:val="0"/>
                  <w:vAlign w:val="center"/>
                </w:tcPr>
                <w:p w14:paraId="4C44C770">
                  <w:pPr>
                    <w:pStyle w:val="34"/>
                    <w:shd w:val="clear" w:color="auto" w:fill="auto"/>
                    <w:adjustRightInd w:val="0"/>
                    <w:snapToGrid w:val="0"/>
                    <w:spacing w:line="240" w:lineRule="auto"/>
                    <w:ind w:firstLine="0" w:firstLineChars="0"/>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根据涂装工艺的不同，鼓励使用水性涂料、高固份涂料、粉末涂料、紫外光固化（UV）涂料等环保型涂料；推广采用静电喷涂、淋涂、辊涂、浸涂等效率较高的涂装工艺；应尽量避免无VOCs净化、回收措施的露天喷涂作业</w:t>
                  </w:r>
                </w:p>
              </w:tc>
              <w:tc>
                <w:tcPr>
                  <w:tcW w:w="1755" w:type="pct"/>
                  <w:noWrap w:val="0"/>
                  <w:vAlign w:val="center"/>
                </w:tcPr>
                <w:p w14:paraId="31427408">
                  <w:pPr>
                    <w:pStyle w:val="34"/>
                    <w:shd w:val="clear" w:color="auto" w:fill="auto"/>
                    <w:adjustRightInd w:val="0"/>
                    <w:snapToGrid w:val="0"/>
                    <w:spacing w:line="240" w:lineRule="auto"/>
                    <w:ind w:firstLine="0" w:firstLineChars="0"/>
                    <w:jc w:val="both"/>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w:t>
                  </w:r>
                  <w:r>
                    <w:rPr>
                      <w:color w:val="000000" w:themeColor="text1"/>
                      <w:sz w:val="21"/>
                      <w:szCs w:val="21"/>
                      <w:highlight w:val="none"/>
                      <w14:textFill>
                        <w14:solidFill>
                          <w14:schemeClr w14:val="tx1"/>
                        </w14:solidFill>
                      </w14:textFill>
                    </w:rPr>
                    <w:t>所采用涂料满足</w:t>
                  </w:r>
                  <w:r>
                    <w:rPr>
                      <w:rFonts w:hint="eastAsia"/>
                      <w:color w:val="000000" w:themeColor="text1"/>
                      <w:sz w:val="21"/>
                      <w:szCs w:val="21"/>
                      <w:highlight w:val="none"/>
                      <w14:textFill>
                        <w14:solidFill>
                          <w14:schemeClr w14:val="tx1"/>
                        </w14:solidFill>
                      </w14:textFill>
                    </w:rPr>
                    <w:t>《低挥发性有机化合物含量涂料产品技术要求》（GB/T 38597—2020）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项目喷漆位于密闭空间</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负压抽风，不涉及</w:t>
                  </w:r>
                  <w:r>
                    <w:rPr>
                      <w:color w:val="000000" w:themeColor="text1"/>
                      <w:sz w:val="21"/>
                      <w:szCs w:val="21"/>
                      <w:highlight w:val="none"/>
                      <w14:textFill>
                        <w14:solidFill>
                          <w14:schemeClr w14:val="tx1"/>
                        </w14:solidFill>
                      </w14:textFill>
                    </w:rPr>
                    <w:t>露天喷涂作业</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VOCs采用</w:t>
                  </w:r>
                  <w:r>
                    <w:rPr>
                      <w:rFonts w:hint="eastAsia"/>
                      <w:color w:val="000000" w:themeColor="text1"/>
                      <w:sz w:val="21"/>
                      <w:szCs w:val="21"/>
                      <w:highlight w:val="none"/>
                      <w:lang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水帘湿式漆雾净化+高分子过滤盒+干式过滤棉+二级活性炭吸附</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处理</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处理后经15m高排气筒排放（DA001）</w:t>
                  </w:r>
                  <w:r>
                    <w:rPr>
                      <w:rFonts w:hint="eastAsia"/>
                      <w:color w:val="000000" w:themeColor="text1"/>
                      <w:sz w:val="21"/>
                      <w:szCs w:val="21"/>
                      <w:highlight w:val="none"/>
                      <w14:textFill>
                        <w14:solidFill>
                          <w14:schemeClr w14:val="tx1"/>
                        </w14:solidFill>
                      </w14:textFill>
                    </w:rPr>
                    <w:t>。</w:t>
                  </w:r>
                </w:p>
              </w:tc>
              <w:tc>
                <w:tcPr>
                  <w:tcW w:w="528" w:type="pct"/>
                  <w:noWrap w:val="0"/>
                  <w:vAlign w:val="center"/>
                </w:tcPr>
                <w:p w14:paraId="5912F75F">
                  <w:pPr>
                    <w:pStyle w:val="34"/>
                    <w:shd w:val="clear" w:color="auto" w:fill="auto"/>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6884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 w:type="pct"/>
                  <w:noWrap w:val="0"/>
                  <w:vAlign w:val="center"/>
                </w:tcPr>
                <w:p w14:paraId="276C7B54">
                  <w:pPr>
                    <w:pStyle w:val="34"/>
                    <w:shd w:val="clear" w:color="auto" w:fill="auto"/>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428" w:type="pct"/>
                  <w:noWrap w:val="0"/>
                  <w:vAlign w:val="center"/>
                </w:tcPr>
                <w:p w14:paraId="0D009466">
                  <w:pPr>
                    <w:pStyle w:val="34"/>
                    <w:shd w:val="clear" w:color="auto" w:fill="auto"/>
                    <w:adjustRightInd w:val="0"/>
                    <w:snapToGrid w:val="0"/>
                    <w:spacing w:line="240" w:lineRule="auto"/>
                    <w:ind w:firstLine="0" w:firstLineChars="0"/>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对于含高浓度VOCs的废气，宜优先采用冷凝回收、吸附回收技术进行回收利用，并辅助以其他治理技术实现达标排放；对于含中等浓度VOCs的废气，可采用吸附技术回收有机溶剂，或采用催化燃烧和热力焚烧技术净化后达标排放。当采用催化燃烧和热力焚烧技术进行净化时，应进行余热回收利用；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755" w:type="pct"/>
                  <w:noWrap w:val="0"/>
                  <w:vAlign w:val="center"/>
                </w:tcPr>
                <w:p w14:paraId="1B226EF3">
                  <w:pPr>
                    <w:pStyle w:val="34"/>
                    <w:shd w:val="clear" w:color="auto" w:fill="auto"/>
                    <w:adjustRightInd w:val="0"/>
                    <w:snapToGrid w:val="0"/>
                    <w:spacing w:line="240" w:lineRule="auto"/>
                    <w:ind w:firstLine="0" w:firstLineChars="0"/>
                    <w:jc w:val="both"/>
                    <w:rPr>
                      <w:color w:val="000000" w:themeColor="text1"/>
                      <w:sz w:val="21"/>
                      <w:szCs w:val="21"/>
                      <w:highlight w:val="none"/>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项目采用水性漆、喷涂废气不具有回收价值，经收集采取</w:t>
                  </w:r>
                  <w:r>
                    <w:rPr>
                      <w:rFonts w:hint="eastAsia"/>
                      <w:color w:val="000000" w:themeColor="text1"/>
                      <w:sz w:val="21"/>
                      <w:szCs w:val="21"/>
                      <w:highlight w:val="none"/>
                      <w:lang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水帘湿式漆雾净化+高分子过滤盒+干式过滤棉+二级活性炭吸附</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vertAlign w:val="baseline"/>
                      <w:lang w:val="en-US" w:eastAsia="zh-CN"/>
                      <w14:textFill>
                        <w14:solidFill>
                          <w14:schemeClr w14:val="tx1"/>
                        </w14:solidFill>
                      </w14:textFill>
                    </w:rPr>
                    <w:t>处理后达标排放。</w:t>
                  </w:r>
                </w:p>
              </w:tc>
              <w:tc>
                <w:tcPr>
                  <w:tcW w:w="528" w:type="pct"/>
                  <w:noWrap w:val="0"/>
                  <w:vAlign w:val="center"/>
                </w:tcPr>
                <w:p w14:paraId="3DE50911">
                  <w:pPr>
                    <w:pStyle w:val="34"/>
                    <w:shd w:val="clear" w:color="auto" w:fill="auto"/>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234E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 w:type="pct"/>
                  <w:noWrap w:val="0"/>
                  <w:vAlign w:val="center"/>
                </w:tcPr>
                <w:p w14:paraId="7519DF53">
                  <w:pPr>
                    <w:pStyle w:val="34"/>
                    <w:shd w:val="clear" w:color="auto" w:fill="auto"/>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2428" w:type="pct"/>
                  <w:noWrap w:val="0"/>
                  <w:vAlign w:val="center"/>
                </w:tcPr>
                <w:p w14:paraId="2D03C1B3">
                  <w:pPr>
                    <w:pStyle w:val="34"/>
                    <w:shd w:val="clear" w:color="auto" w:fill="auto"/>
                    <w:adjustRightInd w:val="0"/>
                    <w:snapToGrid w:val="0"/>
                    <w:spacing w:line="240" w:lineRule="auto"/>
                    <w:ind w:firstLine="0" w:firstLineChars="0"/>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对于不能再生的过滤材料、吸附剂及催化剂等净化材料，应按照国家固体废物管理的相关规定处理处置。</w:t>
                  </w:r>
                </w:p>
              </w:tc>
              <w:tc>
                <w:tcPr>
                  <w:tcW w:w="1755" w:type="pct"/>
                  <w:noWrap w:val="0"/>
                  <w:vAlign w:val="center"/>
                </w:tcPr>
                <w:p w14:paraId="50B8CC65">
                  <w:pPr>
                    <w:pStyle w:val="34"/>
                    <w:shd w:val="clear" w:color="auto" w:fill="auto"/>
                    <w:adjustRightInd w:val="0"/>
                    <w:snapToGrid w:val="0"/>
                    <w:spacing w:line="240" w:lineRule="auto"/>
                    <w:ind w:firstLine="0" w:firstLineChars="0"/>
                    <w:jc w:val="both"/>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w:t>
                  </w:r>
                  <w:r>
                    <w:rPr>
                      <w:color w:val="000000" w:themeColor="text1"/>
                      <w:sz w:val="21"/>
                      <w:szCs w:val="21"/>
                      <w:highlight w:val="none"/>
                      <w14:textFill>
                        <w14:solidFill>
                          <w14:schemeClr w14:val="tx1"/>
                        </w14:solidFill>
                      </w14:textFill>
                    </w:rPr>
                    <w:t>废过滤棉、废活性</w:t>
                  </w:r>
                  <w:r>
                    <w:rPr>
                      <w:rFonts w:hint="eastAsia"/>
                      <w:color w:val="000000" w:themeColor="text1"/>
                      <w:sz w:val="21"/>
                      <w:szCs w:val="21"/>
                      <w:highlight w:val="none"/>
                      <w14:textFill>
                        <w14:solidFill>
                          <w14:schemeClr w14:val="tx1"/>
                        </w14:solidFill>
                      </w14:textFill>
                    </w:rPr>
                    <w:t>炭</w:t>
                  </w:r>
                  <w:r>
                    <w:rPr>
                      <w:color w:val="000000" w:themeColor="text1"/>
                      <w:sz w:val="21"/>
                      <w:szCs w:val="21"/>
                      <w:highlight w:val="none"/>
                      <w14:textFill>
                        <w14:solidFill>
                          <w14:schemeClr w14:val="tx1"/>
                        </w14:solidFill>
                      </w14:textFill>
                    </w:rPr>
                    <w:t>等净化材料委托有相应危险废物处理资质的单位处理。</w:t>
                  </w:r>
                </w:p>
              </w:tc>
              <w:tc>
                <w:tcPr>
                  <w:tcW w:w="528" w:type="pct"/>
                  <w:noWrap w:val="0"/>
                  <w:vAlign w:val="center"/>
                </w:tcPr>
                <w:p w14:paraId="08A899F3">
                  <w:pPr>
                    <w:pStyle w:val="34"/>
                    <w:shd w:val="clear" w:color="auto" w:fill="auto"/>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03D0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7" w:type="pct"/>
                  <w:noWrap w:val="0"/>
                  <w:vAlign w:val="center"/>
                </w:tcPr>
                <w:p w14:paraId="44B2A8FE">
                  <w:pPr>
                    <w:pStyle w:val="34"/>
                    <w:shd w:val="clear" w:color="auto" w:fill="auto"/>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2428" w:type="pct"/>
                  <w:noWrap w:val="0"/>
                  <w:vAlign w:val="center"/>
                </w:tcPr>
                <w:p w14:paraId="22959B2C">
                  <w:pPr>
                    <w:pStyle w:val="34"/>
                    <w:shd w:val="clear" w:color="auto" w:fill="auto"/>
                    <w:adjustRightInd w:val="0"/>
                    <w:snapToGrid w:val="0"/>
                    <w:spacing w:line="240" w:lineRule="auto"/>
                    <w:ind w:firstLine="0" w:firstLineChars="0"/>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企业应建立健全VOCs治理设施的运行维护规程</w:t>
                  </w:r>
                  <w:r>
                    <w:rPr>
                      <w:rFonts w:hint="eastAsia"/>
                      <w:color w:val="000000" w:themeColor="text1"/>
                      <w:sz w:val="21"/>
                      <w:szCs w:val="21"/>
                      <w:highlight w:val="none"/>
                      <w14:textFill>
                        <w14:solidFill>
                          <w14:schemeClr w14:val="tx1"/>
                        </w14:solidFill>
                      </w14:textFill>
                    </w:rPr>
                    <w:t>和台账</w:t>
                  </w:r>
                  <w:r>
                    <w:rPr>
                      <w:color w:val="000000" w:themeColor="text1"/>
                      <w:sz w:val="21"/>
                      <w:szCs w:val="21"/>
                      <w:highlight w:val="none"/>
                      <w14:textFill>
                        <w14:solidFill>
                          <w14:schemeClr w14:val="tx1"/>
                        </w14:solidFill>
                      </w14:textFill>
                    </w:rPr>
                    <w:t>等日常管理制度，并根据工艺要求定期对各类设备、电气、自控仪表等进行检修维护，确保设施的稳定运行。</w:t>
                  </w:r>
                </w:p>
              </w:tc>
              <w:tc>
                <w:tcPr>
                  <w:tcW w:w="1755" w:type="pct"/>
                  <w:noWrap w:val="0"/>
                  <w:vAlign w:val="center"/>
                </w:tcPr>
                <w:p w14:paraId="10FF9A73">
                  <w:pPr>
                    <w:pStyle w:val="34"/>
                    <w:shd w:val="clear" w:color="auto" w:fill="auto"/>
                    <w:adjustRightInd w:val="0"/>
                    <w:snapToGrid w:val="0"/>
                    <w:spacing w:line="240" w:lineRule="auto"/>
                    <w:ind w:firstLine="0" w:firstLineChars="0"/>
                    <w:jc w:val="both"/>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w:t>
                  </w:r>
                  <w:r>
                    <w:rPr>
                      <w:color w:val="000000" w:themeColor="text1"/>
                      <w:sz w:val="21"/>
                      <w:szCs w:val="21"/>
                      <w:highlight w:val="none"/>
                      <w14:textFill>
                        <w14:solidFill>
                          <w14:schemeClr w14:val="tx1"/>
                        </w14:solidFill>
                      </w14:textFill>
                    </w:rPr>
                    <w:t>营运期将配备环保管理人员1人，建立健全VOCs治理设施的运行维护规程</w:t>
                  </w:r>
                  <w:r>
                    <w:rPr>
                      <w:rFonts w:hint="eastAsia"/>
                      <w:color w:val="000000" w:themeColor="text1"/>
                      <w:sz w:val="21"/>
                      <w:szCs w:val="21"/>
                      <w:highlight w:val="none"/>
                      <w14:textFill>
                        <w14:solidFill>
                          <w14:schemeClr w14:val="tx1"/>
                        </w14:solidFill>
                      </w14:textFill>
                    </w:rPr>
                    <w:t>和台账</w:t>
                  </w:r>
                  <w:r>
                    <w:rPr>
                      <w:color w:val="000000" w:themeColor="text1"/>
                      <w:sz w:val="21"/>
                      <w:szCs w:val="21"/>
                      <w:highlight w:val="none"/>
                      <w14:textFill>
                        <w14:solidFill>
                          <w14:schemeClr w14:val="tx1"/>
                        </w14:solidFill>
                      </w14:textFill>
                    </w:rPr>
                    <w:t>等日常管理制度，并对废气治理设施进行维护管理。</w:t>
                  </w:r>
                </w:p>
              </w:tc>
              <w:tc>
                <w:tcPr>
                  <w:tcW w:w="528" w:type="pct"/>
                  <w:noWrap w:val="0"/>
                  <w:vAlign w:val="center"/>
                </w:tcPr>
                <w:p w14:paraId="5892F708">
                  <w:pPr>
                    <w:pStyle w:val="34"/>
                    <w:shd w:val="clear" w:color="auto" w:fill="auto"/>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14:paraId="27632FAB">
            <w:pPr>
              <w:shd w:val="clear" w:color="auto" w:fill="auto"/>
              <w:spacing w:line="460" w:lineRule="exact"/>
              <w:ind w:firstLine="480" w:firstLineChars="200"/>
              <w:rPr>
                <w:rFonts w:hint="eastAsia"/>
                <w:b/>
                <w:bCs/>
                <w:color w:val="000000" w:themeColor="text1"/>
                <w:sz w:val="24"/>
                <w:highlight w:val="none"/>
                <w:lang w:val="en-US" w:eastAsia="zh-CN"/>
                <w14:textFill>
                  <w14:solidFill>
                    <w14:schemeClr w14:val="tx1"/>
                  </w14:solidFill>
                </w14:textFill>
              </w:rPr>
            </w:pPr>
            <w:r>
              <w:rPr>
                <w:rFonts w:hint="eastAsia"/>
                <w:color w:val="000000" w:themeColor="text1"/>
                <w:sz w:val="24"/>
                <w:highlight w:val="none"/>
                <w14:textFill>
                  <w14:solidFill>
                    <w14:schemeClr w14:val="tx1"/>
                  </w14:solidFill>
                </w14:textFill>
              </w:rPr>
              <w:t>根据</w:t>
            </w:r>
            <w:r>
              <w:rPr>
                <w:rFonts w:hint="eastAsia"/>
                <w:color w:val="000000" w:themeColor="text1"/>
                <w:sz w:val="24"/>
                <w:highlight w:val="none"/>
                <w:lang w:val="en-US" w:eastAsia="zh-CN"/>
                <w14:textFill>
                  <w14:solidFill>
                    <w14:schemeClr w14:val="tx1"/>
                  </w14:solidFill>
                </w14:textFill>
              </w:rPr>
              <w:t>上</w:t>
            </w:r>
            <w:r>
              <w:rPr>
                <w:rFonts w:hint="eastAsia"/>
                <w:color w:val="000000" w:themeColor="text1"/>
                <w:sz w:val="24"/>
                <w:highlight w:val="none"/>
                <w14:textFill>
                  <w14:solidFill>
                    <w14:schemeClr w14:val="tx1"/>
                  </w14:solidFill>
                </w14:textFill>
              </w:rPr>
              <w:t>表分析知，本项目的建设符合《挥发性有机物（VOCs）污染防治技术政策》的有关要求。</w:t>
            </w:r>
          </w:p>
          <w:p w14:paraId="01C89383">
            <w:pPr>
              <w:shd w:val="clear" w:color="auto" w:fill="auto"/>
              <w:spacing w:line="460" w:lineRule="exact"/>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11、</w:t>
            </w:r>
            <w:r>
              <w:rPr>
                <w:rFonts w:hint="eastAsia"/>
                <w:b/>
                <w:bCs/>
                <w:color w:val="000000" w:themeColor="text1"/>
                <w:sz w:val="24"/>
                <w:highlight w:val="none"/>
                <w14:textFill>
                  <w14:solidFill>
                    <w14:schemeClr w14:val="tx1"/>
                  </w14:solidFill>
                </w14:textFill>
              </w:rPr>
              <w:t>与《重点行业挥发性有机物综合治理方案》（环大气﹝</w:t>
            </w:r>
            <w:r>
              <w:rPr>
                <w:rFonts w:hint="eastAsia"/>
                <w:b/>
                <w:bCs/>
                <w:color w:val="000000" w:themeColor="text1"/>
                <w:sz w:val="24"/>
                <w:highlight w:val="none"/>
                <w:lang w:val="en-US" w:eastAsia="zh-CN"/>
                <w14:textFill>
                  <w14:solidFill>
                    <w14:schemeClr w14:val="tx1"/>
                  </w14:solidFill>
                </w14:textFill>
              </w:rPr>
              <w:t>2019</w:t>
            </w:r>
            <w:r>
              <w:rPr>
                <w:rFonts w:hint="eastAsia"/>
                <w:b/>
                <w:bCs/>
                <w:color w:val="000000" w:themeColor="text1"/>
                <w:sz w:val="24"/>
                <w:highlight w:val="none"/>
                <w14:textFill>
                  <w14:solidFill>
                    <w14:schemeClr w14:val="tx1"/>
                  </w14:solidFill>
                </w14:textFill>
              </w:rPr>
              <w:t>﹞53号）符合性分析</w:t>
            </w:r>
          </w:p>
          <w:p w14:paraId="274D8985">
            <w:pPr>
              <w:shd w:val="clear" w:color="auto" w:fill="auto"/>
              <w:spacing w:line="460" w:lineRule="exact"/>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表1-</w:t>
            </w:r>
            <w:r>
              <w:rPr>
                <w:rFonts w:hint="eastAsia"/>
                <w:b/>
                <w:bCs/>
                <w:color w:val="000000" w:themeColor="text1"/>
                <w:sz w:val="24"/>
                <w:highlight w:val="none"/>
                <w:lang w:val="en-US" w:eastAsia="zh-CN"/>
                <w14:textFill>
                  <w14:solidFill>
                    <w14:schemeClr w14:val="tx1"/>
                  </w14:solidFill>
                </w14:textFill>
              </w:rPr>
              <w:t>12</w:t>
            </w:r>
            <w:r>
              <w:rPr>
                <w:rFonts w:hint="eastAsia"/>
                <w:b/>
                <w:bCs/>
                <w:color w:val="000000" w:themeColor="text1"/>
                <w:sz w:val="24"/>
                <w:highlight w:val="none"/>
                <w14:textFill>
                  <w14:solidFill>
                    <w14:schemeClr w14:val="tx1"/>
                  </w14:solidFill>
                </w14:textFill>
              </w:rPr>
              <w:t xml:space="preserve">  </w:t>
            </w:r>
            <w:r>
              <w:rPr>
                <w:b/>
                <w:bCs/>
                <w:color w:val="000000" w:themeColor="text1"/>
                <w:sz w:val="24"/>
                <w:highlight w:val="none"/>
                <w14:textFill>
                  <w14:solidFill>
                    <w14:schemeClr w14:val="tx1"/>
                  </w14:solidFill>
                </w14:textFill>
              </w:rPr>
              <w:t>与</w:t>
            </w:r>
            <w:r>
              <w:rPr>
                <w:rFonts w:hint="eastAsia"/>
                <w:b/>
                <w:bCs/>
                <w:color w:val="000000" w:themeColor="text1"/>
                <w:sz w:val="24"/>
                <w:highlight w:val="none"/>
                <w14:textFill>
                  <w14:solidFill>
                    <w14:schemeClr w14:val="tx1"/>
                  </w14:solidFill>
                </w14:textFill>
              </w:rPr>
              <w:t>《重点行业挥发性有机物综合治理方案》（环大气﹝</w:t>
            </w:r>
            <w:r>
              <w:rPr>
                <w:rFonts w:hint="eastAsia"/>
                <w:b/>
                <w:bCs/>
                <w:color w:val="000000" w:themeColor="text1"/>
                <w:sz w:val="24"/>
                <w:highlight w:val="none"/>
                <w:lang w:val="en-US" w:eastAsia="zh-CN"/>
                <w14:textFill>
                  <w14:solidFill>
                    <w14:schemeClr w14:val="tx1"/>
                  </w14:solidFill>
                </w14:textFill>
              </w:rPr>
              <w:t>2019</w:t>
            </w:r>
            <w:r>
              <w:rPr>
                <w:rFonts w:hint="eastAsia"/>
                <w:b/>
                <w:bCs/>
                <w:color w:val="000000" w:themeColor="text1"/>
                <w:sz w:val="24"/>
                <w:highlight w:val="none"/>
                <w14:textFill>
                  <w14:solidFill>
                    <w14:schemeClr w14:val="tx1"/>
                  </w14:solidFill>
                </w14:textFill>
              </w:rPr>
              <w:t>﹞53号）</w:t>
            </w:r>
            <w:r>
              <w:rPr>
                <w:b/>
                <w:bCs/>
                <w:color w:val="000000" w:themeColor="text1"/>
                <w:sz w:val="24"/>
                <w:highlight w:val="none"/>
                <w14:textFill>
                  <w14:solidFill>
                    <w14:schemeClr w14:val="tx1"/>
                  </w14:solidFill>
                </w14:textFill>
              </w:rPr>
              <w:t>的符合性分析</w:t>
            </w:r>
          </w:p>
          <w:tbl>
            <w:tblPr>
              <w:tblStyle w:val="21"/>
              <w:tblW w:w="49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4597"/>
              <w:gridCol w:w="2532"/>
              <w:gridCol w:w="611"/>
            </w:tblGrid>
            <w:tr w14:paraId="1DF9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1057DD8E">
                  <w:pPr>
                    <w:shd w:val="clear" w:color="auto" w:fill="auto"/>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序号</w:t>
                  </w:r>
                </w:p>
              </w:tc>
              <w:tc>
                <w:tcPr>
                  <w:tcW w:w="2778" w:type="pct"/>
                  <w:noWrap w:val="0"/>
                  <w:vAlign w:val="center"/>
                </w:tcPr>
                <w:p w14:paraId="101669F5">
                  <w:pPr>
                    <w:shd w:val="clear" w:color="auto" w:fill="auto"/>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重点行业挥发性有机物综合治理方案相关内容</w:t>
                  </w:r>
                </w:p>
              </w:tc>
              <w:tc>
                <w:tcPr>
                  <w:tcW w:w="1530" w:type="pct"/>
                  <w:noWrap w:val="0"/>
                  <w:vAlign w:val="center"/>
                </w:tcPr>
                <w:p w14:paraId="7D8A9680">
                  <w:pPr>
                    <w:shd w:val="clear" w:color="auto" w:fill="auto"/>
                    <w:adjustRightInd w:val="0"/>
                    <w:snapToGrid w:val="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本项目</w:t>
                  </w:r>
                  <w:r>
                    <w:rPr>
                      <w:b/>
                      <w:bCs/>
                      <w:color w:val="000000" w:themeColor="text1"/>
                      <w:szCs w:val="21"/>
                      <w:highlight w:val="none"/>
                      <w14:textFill>
                        <w14:solidFill>
                          <w14:schemeClr w14:val="tx1"/>
                        </w14:solidFill>
                      </w14:textFill>
                    </w:rPr>
                    <w:t>情况</w:t>
                  </w:r>
                </w:p>
              </w:tc>
              <w:tc>
                <w:tcPr>
                  <w:tcW w:w="369" w:type="pct"/>
                  <w:noWrap w:val="0"/>
                  <w:vAlign w:val="center"/>
                </w:tcPr>
                <w:p w14:paraId="58F91F8C">
                  <w:pPr>
                    <w:shd w:val="clear" w:color="auto" w:fill="auto"/>
                    <w:adjustRightInd w:val="0"/>
                    <w:snapToGrid w:val="0"/>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符合性</w:t>
                  </w:r>
                </w:p>
              </w:tc>
            </w:tr>
            <w:tr w14:paraId="2507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5EDF15DF">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2778" w:type="pct"/>
                  <w:noWrap w:val="0"/>
                  <w:vAlign w:val="center"/>
                </w:tcPr>
                <w:p w14:paraId="04AA7C2A">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大力推进源头替代。通过使用水性、粉末、高固体分、无溶剂、辐射固化等低VOCs含量的涂料，水性、辐射固化、植物基等低VOCs含量的油漆，水基、热熔、无溶剂、辐射固化、改性、生物降解等低VOCs含量的胶粘剂，以及低VOCs含量、低反应活性的清洗剂等，替代溶剂型涂料、油漆、胶粘剂、清洗剂等，从源头减少VOCs产生。工业涂装、包装涂装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漆和胶粘剂，重点区域到2020年年底前基本完成。鼓励加快低VOCs含量涂料、油漆、胶粘剂等研发和生产。</w:t>
                  </w:r>
                </w:p>
              </w:tc>
              <w:tc>
                <w:tcPr>
                  <w:tcW w:w="1530" w:type="pct"/>
                  <w:noWrap w:val="0"/>
                  <w:vAlign w:val="center"/>
                </w:tcPr>
                <w:p w14:paraId="76F7A276">
                  <w:pPr>
                    <w:shd w:val="clear" w:color="auto" w:fill="auto"/>
                    <w:adjustRightInd w:val="0"/>
                    <w:snapToGrid w:val="0"/>
                    <w:jc w:val="both"/>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据后文表2-11分析，</w:t>
                  </w:r>
                  <w:r>
                    <w:rPr>
                      <w:rFonts w:hint="eastAsia"/>
                      <w:color w:val="000000" w:themeColor="text1"/>
                      <w:szCs w:val="21"/>
                      <w:highlight w:val="none"/>
                      <w14:textFill>
                        <w14:solidFill>
                          <w14:schemeClr w14:val="tx1"/>
                        </w14:solidFill>
                      </w14:textFill>
                    </w:rPr>
                    <w:t>本项目</w:t>
                  </w:r>
                  <w:r>
                    <w:rPr>
                      <w:color w:val="000000" w:themeColor="text1"/>
                      <w:szCs w:val="21"/>
                      <w:highlight w:val="none"/>
                      <w14:textFill>
                        <w14:solidFill>
                          <w14:schemeClr w14:val="tx1"/>
                        </w14:solidFill>
                      </w14:textFill>
                    </w:rPr>
                    <w:t>使用的涂料满足</w:t>
                  </w:r>
                  <w:r>
                    <w:rPr>
                      <w:rFonts w:hint="eastAsia"/>
                      <w:color w:val="000000" w:themeColor="text1"/>
                      <w:szCs w:val="21"/>
                      <w:highlight w:val="none"/>
                      <w14:textFill>
                        <w14:solidFill>
                          <w14:schemeClr w14:val="tx1"/>
                        </w14:solidFill>
                      </w14:textFill>
                    </w:rPr>
                    <w:t>《低挥发性有机化合物含量涂料产品技术要求》（GB/T 38597-2020）</w:t>
                  </w:r>
                  <w:r>
                    <w:rPr>
                      <w:color w:val="000000" w:themeColor="text1"/>
                      <w:szCs w:val="21"/>
                      <w:highlight w:val="none"/>
                      <w14:textFill>
                        <w14:solidFill>
                          <w14:schemeClr w14:val="tx1"/>
                        </w14:solidFill>
                      </w14:textFill>
                    </w:rPr>
                    <w:t>要求。</w:t>
                  </w:r>
                </w:p>
              </w:tc>
              <w:tc>
                <w:tcPr>
                  <w:tcW w:w="369" w:type="pct"/>
                  <w:noWrap w:val="0"/>
                  <w:vAlign w:val="center"/>
                </w:tcPr>
                <w:p w14:paraId="7D141736">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1C6F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50DA3CE8">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p>
              </w:tc>
              <w:tc>
                <w:tcPr>
                  <w:tcW w:w="2778" w:type="pct"/>
                  <w:noWrap w:val="0"/>
                  <w:vAlign w:val="center"/>
                </w:tcPr>
                <w:p w14:paraId="2215C6FE">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加强政策引导。企业采用符合国家有关低VOCs含量产品规定的涂料、油漆、胶粘剂等，排放浓度稳定达标且排放速率、排放绩效等满足相关规定的，相应生产工序可不要求建设末端治理设施。使用的原辅材料VOCs含量（质量比）低于10%的工序，可不要求采取无组织排放收集措施。</w:t>
                  </w:r>
                </w:p>
              </w:tc>
              <w:tc>
                <w:tcPr>
                  <w:tcW w:w="1530" w:type="pct"/>
                  <w:noWrap w:val="0"/>
                  <w:vAlign w:val="center"/>
                </w:tcPr>
                <w:p w14:paraId="1AE8E38C">
                  <w:pPr>
                    <w:shd w:val="clear" w:color="auto" w:fill="auto"/>
                    <w:adjustRightInd w:val="0"/>
                    <w:snapToGrid w:val="0"/>
                    <w:jc w:val="both"/>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w:t>
                  </w:r>
                  <w:r>
                    <w:rPr>
                      <w:color w:val="000000" w:themeColor="text1"/>
                      <w:szCs w:val="21"/>
                      <w:highlight w:val="none"/>
                      <w14:textFill>
                        <w14:solidFill>
                          <w14:schemeClr w14:val="tx1"/>
                        </w14:solidFill>
                      </w14:textFill>
                    </w:rPr>
                    <w:t>VOCs采取环保措施，能实现达标排放</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VOCs处理工艺采用</w:t>
                  </w:r>
                  <w:r>
                    <w:rPr>
                      <w:rFonts w:hint="eastAsia"/>
                      <w:color w:val="000000" w:themeColor="text1"/>
                      <w:sz w:val="21"/>
                      <w:szCs w:val="21"/>
                      <w:highlight w:val="none"/>
                      <w:lang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水帘湿式漆雾净化+高分子过滤盒+干式过滤棉+二级活性炭吸附</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处理工艺。</w:t>
                  </w:r>
                </w:p>
              </w:tc>
              <w:tc>
                <w:tcPr>
                  <w:tcW w:w="369" w:type="pct"/>
                  <w:noWrap w:val="0"/>
                  <w:vAlign w:val="center"/>
                </w:tcPr>
                <w:p w14:paraId="02526898">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1182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67BB71F0">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p>
              </w:tc>
              <w:tc>
                <w:tcPr>
                  <w:tcW w:w="2778" w:type="pct"/>
                  <w:noWrap w:val="0"/>
                  <w:vAlign w:val="center"/>
                </w:tcPr>
                <w:p w14:paraId="4AC9FE21">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530" w:type="pct"/>
                  <w:noWrap w:val="0"/>
                  <w:vAlign w:val="center"/>
                </w:tcPr>
                <w:p w14:paraId="3F1FCA59">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储存：</w:t>
                  </w:r>
                  <w:r>
                    <w:rPr>
                      <w:rFonts w:hint="eastAsia"/>
                      <w:color w:val="000000" w:themeColor="text1"/>
                      <w:szCs w:val="21"/>
                      <w:highlight w:val="none"/>
                      <w:lang w:val="en-US" w:eastAsia="zh-CN"/>
                      <w14:textFill>
                        <w14:solidFill>
                          <w14:schemeClr w14:val="tx1"/>
                        </w14:solidFill>
                      </w14:textFill>
                    </w:rPr>
                    <w:t>水性</w:t>
                  </w:r>
                  <w:r>
                    <w:rPr>
                      <w:color w:val="000000" w:themeColor="text1"/>
                      <w:szCs w:val="21"/>
                      <w:highlight w:val="none"/>
                      <w14:textFill>
                        <w14:solidFill>
                          <w14:schemeClr w14:val="tx1"/>
                        </w14:solidFill>
                      </w14:textFill>
                    </w:rPr>
                    <w:t>漆桶密闭储存，</w:t>
                  </w:r>
                  <w:r>
                    <w:rPr>
                      <w:rFonts w:hint="eastAsia"/>
                      <w:color w:val="000000" w:themeColor="text1"/>
                      <w:szCs w:val="21"/>
                      <w:highlight w:val="none"/>
                      <w:lang w:eastAsia="zh-CN"/>
                      <w14:textFill>
                        <w14:solidFill>
                          <w14:schemeClr w14:val="tx1"/>
                        </w14:solidFill>
                      </w14:textFill>
                    </w:rPr>
                    <w:t>危险废物贮存库</w:t>
                  </w:r>
                  <w:r>
                    <w:rPr>
                      <w:color w:val="000000" w:themeColor="text1"/>
                      <w:szCs w:val="21"/>
                      <w:highlight w:val="none"/>
                      <w14:textFill>
                        <w14:solidFill>
                          <w14:schemeClr w14:val="tx1"/>
                        </w14:solidFill>
                      </w14:textFill>
                    </w:rPr>
                    <w:t>全密闭储存同时对废气收集处理。转移和输送：</w:t>
                  </w:r>
                  <w:r>
                    <w:rPr>
                      <w:rFonts w:hint="eastAsia"/>
                      <w:color w:val="000000" w:themeColor="text1"/>
                      <w:szCs w:val="21"/>
                      <w:highlight w:val="none"/>
                      <w:lang w:val="en-US" w:eastAsia="zh-CN"/>
                      <w14:textFill>
                        <w14:solidFill>
                          <w14:schemeClr w14:val="tx1"/>
                        </w14:solidFill>
                      </w14:textFill>
                    </w:rPr>
                    <w:t>喷涂</w:t>
                  </w:r>
                  <w:r>
                    <w:rPr>
                      <w:color w:val="000000" w:themeColor="text1"/>
                      <w:szCs w:val="21"/>
                      <w:highlight w:val="none"/>
                      <w14:textFill>
                        <w14:solidFill>
                          <w14:schemeClr w14:val="tx1"/>
                        </w14:solidFill>
                      </w14:textFill>
                    </w:rPr>
                    <w:t>在密闭喷漆室进行喷涂。</w:t>
                  </w:r>
                </w:p>
                <w:p w14:paraId="54D3E552">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设备与管线组件泄漏：每日对管道进行巡查，发现泄漏即刻维修，尽可能避免泄露。</w:t>
                  </w:r>
                </w:p>
                <w:p w14:paraId="023F6337">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工艺过程：企业采取了设备与场所密闭、工艺改进、废气有效收集等措施，对VOCs进行了合理收集和处理</w:t>
                  </w:r>
                  <w:r>
                    <w:rPr>
                      <w:rFonts w:hint="eastAsia"/>
                      <w:color w:val="000000" w:themeColor="text1"/>
                      <w:szCs w:val="21"/>
                      <w:highlight w:val="none"/>
                      <w14:textFill>
                        <w14:solidFill>
                          <w14:schemeClr w14:val="tx1"/>
                        </w14:solidFill>
                      </w14:textFill>
                    </w:rPr>
                    <w:t>。</w:t>
                  </w:r>
                </w:p>
              </w:tc>
              <w:tc>
                <w:tcPr>
                  <w:tcW w:w="369" w:type="pct"/>
                  <w:noWrap w:val="0"/>
                  <w:vAlign w:val="center"/>
                </w:tcPr>
                <w:p w14:paraId="5573B0C5">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72F5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4874FD24">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p>
              </w:tc>
              <w:tc>
                <w:tcPr>
                  <w:tcW w:w="2778" w:type="pct"/>
                  <w:noWrap w:val="0"/>
                  <w:vAlign w:val="center"/>
                </w:tcPr>
                <w:p w14:paraId="78332B1F">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tc>
              <w:tc>
                <w:tcPr>
                  <w:tcW w:w="1530" w:type="pct"/>
                  <w:noWrap w:val="0"/>
                  <w:vAlign w:val="center"/>
                </w:tcPr>
                <w:p w14:paraId="127B9C5E">
                  <w:pPr>
                    <w:shd w:val="clear" w:color="auto" w:fill="auto"/>
                    <w:adjustRightInd w:val="0"/>
                    <w:snapToGrid w:val="0"/>
                    <w:jc w:val="both"/>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w:t>
                  </w:r>
                  <w:r>
                    <w:rPr>
                      <w:color w:val="000000" w:themeColor="text1"/>
                      <w:szCs w:val="21"/>
                      <w:highlight w:val="none"/>
                      <w14:textFill>
                        <w14:solidFill>
                          <w14:schemeClr w14:val="tx1"/>
                        </w14:solidFill>
                      </w14:textFill>
                    </w:rPr>
                    <w:t>喷涂作均密闭操作，无露天喷涂作业。</w:t>
                  </w:r>
                  <w:r>
                    <w:rPr>
                      <w:rFonts w:hint="eastAsia"/>
                      <w:color w:val="000000" w:themeColor="text1"/>
                      <w:szCs w:val="21"/>
                      <w:highlight w:val="none"/>
                      <w:lang w:val="en-US" w:eastAsia="zh-CN"/>
                      <w14:textFill>
                        <w14:solidFill>
                          <w14:schemeClr w14:val="tx1"/>
                        </w14:solidFill>
                      </w14:textFill>
                    </w:rPr>
                    <w:t>水性</w:t>
                  </w:r>
                  <w:r>
                    <w:rPr>
                      <w:color w:val="000000" w:themeColor="text1"/>
                      <w:szCs w:val="21"/>
                      <w:highlight w:val="none"/>
                      <w14:textFill>
                        <w14:solidFill>
                          <w14:schemeClr w14:val="tx1"/>
                        </w14:solidFill>
                      </w14:textFill>
                    </w:rPr>
                    <w:t>漆采用漆桶密闭储存。采用设备直接供喷漆系统，减少无组织排放。设备与场所密闭、工艺改进、废气有效收集等措施，对VOCs进行了合理收集和处理</w:t>
                  </w:r>
                  <w:r>
                    <w:rPr>
                      <w:rFonts w:hint="eastAsia"/>
                      <w:color w:val="000000" w:themeColor="text1"/>
                      <w:szCs w:val="21"/>
                      <w:highlight w:val="none"/>
                      <w14:textFill>
                        <w14:solidFill>
                          <w14:schemeClr w14:val="tx1"/>
                        </w14:solidFill>
                      </w14:textFill>
                    </w:rPr>
                    <w:t>。</w:t>
                  </w:r>
                </w:p>
              </w:tc>
              <w:tc>
                <w:tcPr>
                  <w:tcW w:w="369" w:type="pct"/>
                  <w:noWrap w:val="0"/>
                  <w:vAlign w:val="center"/>
                </w:tcPr>
                <w:p w14:paraId="5B0FD9D5">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77E72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666C48AD">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w:t>
                  </w:r>
                </w:p>
              </w:tc>
              <w:tc>
                <w:tcPr>
                  <w:tcW w:w="2778" w:type="pct"/>
                  <w:noWrap w:val="0"/>
                  <w:vAlign w:val="center"/>
                </w:tcPr>
                <w:p w14:paraId="180009A9">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推进使用先进生产工艺。通过采用全密闭、连续化、自动化等生产技术，以及高效工艺与设备等，减少工艺过程无组织排放。</w:t>
                  </w:r>
                </w:p>
                <w:p w14:paraId="78C3B0F7">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w:t>
                  </w:r>
                </w:p>
              </w:tc>
              <w:tc>
                <w:tcPr>
                  <w:tcW w:w="1530" w:type="pct"/>
                  <w:noWrap w:val="0"/>
                  <w:vAlign w:val="center"/>
                </w:tcPr>
                <w:p w14:paraId="7A7FEC64">
                  <w:pPr>
                    <w:shd w:val="clear" w:color="auto" w:fill="auto"/>
                    <w:adjustRightInd w:val="0"/>
                    <w:snapToGrid w:val="0"/>
                    <w:jc w:val="both"/>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w:t>
                  </w:r>
                  <w:r>
                    <w:rPr>
                      <w:rFonts w:hint="eastAsia"/>
                      <w:color w:val="000000" w:themeColor="text1"/>
                      <w:szCs w:val="21"/>
                      <w:highlight w:val="none"/>
                      <w:lang w:val="en-US" w:eastAsia="zh-CN"/>
                      <w14:textFill>
                        <w14:solidFill>
                          <w14:schemeClr w14:val="tx1"/>
                        </w14:solidFill>
                      </w14:textFill>
                    </w:rPr>
                    <w:t>喷涂过程</w:t>
                  </w:r>
                  <w:r>
                    <w:rPr>
                      <w:rFonts w:hint="eastAsia"/>
                      <w:color w:val="000000" w:themeColor="text1"/>
                      <w:szCs w:val="21"/>
                      <w:highlight w:val="none"/>
                      <w14:textFill>
                        <w14:solidFill>
                          <w14:schemeClr w14:val="tx1"/>
                        </w14:solidFill>
                      </w14:textFill>
                    </w:rPr>
                    <w:t>进行</w:t>
                  </w:r>
                  <w:r>
                    <w:rPr>
                      <w:color w:val="000000" w:themeColor="text1"/>
                      <w:szCs w:val="21"/>
                      <w:highlight w:val="none"/>
                      <w14:textFill>
                        <w14:solidFill>
                          <w14:schemeClr w14:val="tx1"/>
                        </w14:solidFill>
                      </w14:textFill>
                    </w:rPr>
                    <w:t>了密闭；不涉及挥发性有机液体装载；不属于石化、化工行业；</w:t>
                  </w:r>
                  <w:r>
                    <w:rPr>
                      <w:rFonts w:hint="eastAsia"/>
                      <w:color w:val="000000" w:themeColor="text1"/>
                      <w:szCs w:val="21"/>
                      <w:highlight w:val="none"/>
                      <w14:textFill>
                        <w14:solidFill>
                          <w14:schemeClr w14:val="tx1"/>
                        </w14:solidFill>
                      </w14:textFill>
                    </w:rPr>
                    <w:t>采</w:t>
                  </w:r>
                  <w:r>
                    <w:rPr>
                      <w:color w:val="000000" w:themeColor="text1"/>
                      <w:szCs w:val="21"/>
                      <w:highlight w:val="none"/>
                      <w14:textFill>
                        <w14:solidFill>
                          <w14:schemeClr w14:val="tx1"/>
                        </w14:solidFill>
                      </w14:textFill>
                    </w:rPr>
                    <w:t>用了较为先进高效的空气辅助喷涂。</w:t>
                  </w:r>
                </w:p>
              </w:tc>
              <w:tc>
                <w:tcPr>
                  <w:tcW w:w="369" w:type="pct"/>
                  <w:noWrap w:val="0"/>
                  <w:vAlign w:val="center"/>
                </w:tcPr>
                <w:p w14:paraId="798271F0">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0857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615E6739">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w:t>
                  </w:r>
                </w:p>
              </w:tc>
              <w:tc>
                <w:tcPr>
                  <w:tcW w:w="2778" w:type="pct"/>
                  <w:noWrap w:val="0"/>
                  <w:vAlign w:val="center"/>
                </w:tcPr>
                <w:p w14:paraId="6295BCB9">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530" w:type="pct"/>
                  <w:noWrap w:val="0"/>
                  <w:vAlign w:val="center"/>
                </w:tcPr>
                <w:p w14:paraId="582AA2C7">
                  <w:pPr>
                    <w:shd w:val="clear" w:color="auto" w:fill="auto"/>
                    <w:adjustRightInd w:val="0"/>
                    <w:snapToGrid w:val="0"/>
                    <w:jc w:val="both"/>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w:t>
                  </w:r>
                  <w:r>
                    <w:rPr>
                      <w:color w:val="000000" w:themeColor="text1"/>
                      <w:szCs w:val="21"/>
                      <w:highlight w:val="none"/>
                      <w14:textFill>
                        <w14:solidFill>
                          <w14:schemeClr w14:val="tx1"/>
                        </w14:solidFill>
                      </w14:textFill>
                    </w:rPr>
                    <w:t>喷漆房、</w:t>
                  </w:r>
                  <w:r>
                    <w:rPr>
                      <w:rFonts w:hint="eastAsia"/>
                      <w:color w:val="000000" w:themeColor="text1"/>
                      <w:szCs w:val="21"/>
                      <w:highlight w:val="none"/>
                      <w:lang w:eastAsia="zh-CN"/>
                      <w14:textFill>
                        <w14:solidFill>
                          <w14:schemeClr w14:val="tx1"/>
                        </w14:solidFill>
                      </w14:textFill>
                    </w:rPr>
                    <w:t>危险废物贮存库</w:t>
                  </w:r>
                  <w:r>
                    <w:rPr>
                      <w:color w:val="000000" w:themeColor="text1"/>
                      <w:szCs w:val="21"/>
                      <w:highlight w:val="none"/>
                      <w14:textFill>
                        <w14:solidFill>
                          <w14:schemeClr w14:val="tx1"/>
                        </w14:solidFill>
                      </w14:textFill>
                    </w:rPr>
                    <w:t>均对VOCs废气进行了收集处理；</w:t>
                  </w:r>
                  <w:r>
                    <w:rPr>
                      <w:rFonts w:hint="eastAsia"/>
                      <w:color w:val="000000" w:themeColor="text1"/>
                      <w:szCs w:val="21"/>
                      <w:highlight w:val="none"/>
                      <w14:textFill>
                        <w14:solidFill>
                          <w14:schemeClr w14:val="tx1"/>
                        </w14:solidFill>
                      </w14:textFill>
                    </w:rPr>
                    <w:t>本项目</w:t>
                  </w:r>
                  <w:r>
                    <w:rPr>
                      <w:color w:val="000000" w:themeColor="text1"/>
                      <w:szCs w:val="21"/>
                      <w:highlight w:val="none"/>
                      <w14:textFill>
                        <w14:solidFill>
                          <w14:schemeClr w14:val="tx1"/>
                        </w14:solidFill>
                      </w14:textFill>
                    </w:rPr>
                    <w:t>喷漆房全密闭，保持微负压。</w:t>
                  </w:r>
                </w:p>
              </w:tc>
              <w:tc>
                <w:tcPr>
                  <w:tcW w:w="369" w:type="pct"/>
                  <w:noWrap w:val="0"/>
                  <w:vAlign w:val="center"/>
                </w:tcPr>
                <w:p w14:paraId="47C69377">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363FF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4F16BB9A">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w:t>
                  </w:r>
                </w:p>
              </w:tc>
              <w:tc>
                <w:tcPr>
                  <w:tcW w:w="2778" w:type="pct"/>
                  <w:noWrap w:val="0"/>
                  <w:vAlign w:val="center"/>
                </w:tcPr>
                <w:p w14:paraId="64296292">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tc>
              <w:tc>
                <w:tcPr>
                  <w:tcW w:w="1530" w:type="pct"/>
                  <w:noWrap w:val="0"/>
                  <w:vAlign w:val="center"/>
                </w:tcPr>
                <w:p w14:paraId="1A0AD2D4">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kern w:val="0"/>
                      <w:highlight w:val="none"/>
                      <w14:textFill>
                        <w14:solidFill>
                          <w14:schemeClr w14:val="tx1"/>
                        </w14:solidFill>
                      </w14:textFill>
                    </w:rPr>
                    <w:t>本项目产生废气采取高效治理工艺，</w:t>
                  </w:r>
                  <w:r>
                    <w:rPr>
                      <w:color w:val="000000" w:themeColor="text1"/>
                      <w:highlight w:val="none"/>
                      <w14:textFill>
                        <w14:solidFill>
                          <w14:schemeClr w14:val="tx1"/>
                        </w14:solidFill>
                      </w14:textFill>
                    </w:rPr>
                    <w:t>喷漆</w:t>
                  </w:r>
                  <w:r>
                    <w:rPr>
                      <w:rFonts w:hint="eastAsia"/>
                      <w:color w:val="000000" w:themeColor="text1"/>
                      <w:highlight w:val="none"/>
                      <w14:textFill>
                        <w14:solidFill>
                          <w14:schemeClr w14:val="tx1"/>
                        </w14:solidFill>
                      </w14:textFill>
                    </w:rPr>
                    <w:t>、晾干废气经密闭喷漆房收集后经</w:t>
                  </w:r>
                  <w:r>
                    <w:rPr>
                      <w:rFonts w:hint="eastAsia" w:cs="Times New Roman"/>
                      <w:bCs/>
                      <w:color w:val="000000" w:themeColor="text1"/>
                      <w:kern w:val="0"/>
                      <w:sz w:val="21"/>
                      <w:szCs w:val="21"/>
                      <w:highlight w:val="none"/>
                      <w:lang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水帘湿式漆雾净化+高分子过滤盒+干式过滤棉+二级活性炭吸附</w:t>
                  </w:r>
                  <w:r>
                    <w:rPr>
                      <w:rFonts w:hint="eastAsia" w:cs="Times New Roman"/>
                      <w:bCs/>
                      <w:color w:val="000000" w:themeColor="text1"/>
                      <w:kern w:val="0"/>
                      <w:sz w:val="21"/>
                      <w:szCs w:val="2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处理后可实现达标排放</w:t>
                  </w:r>
                  <w:r>
                    <w:rPr>
                      <w:color w:val="000000" w:themeColor="text1"/>
                      <w:szCs w:val="21"/>
                      <w:highlight w:val="none"/>
                      <w14:textFill>
                        <w14:solidFill>
                          <w14:schemeClr w14:val="tx1"/>
                        </w14:solidFill>
                      </w14:textFill>
                    </w:rPr>
                    <w:t>。同时设计参数满足《吸附法工业有机废气治理工程技术规范》要求。</w:t>
                  </w:r>
                </w:p>
              </w:tc>
              <w:tc>
                <w:tcPr>
                  <w:tcW w:w="369" w:type="pct"/>
                  <w:noWrap w:val="0"/>
                  <w:vAlign w:val="center"/>
                </w:tcPr>
                <w:p w14:paraId="5161113E">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323A8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45AB5517">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8</w:t>
                  </w:r>
                </w:p>
              </w:tc>
              <w:tc>
                <w:tcPr>
                  <w:tcW w:w="2778" w:type="pct"/>
                  <w:noWrap w:val="0"/>
                  <w:vAlign w:val="center"/>
                </w:tcPr>
                <w:p w14:paraId="733EC978">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530" w:type="pct"/>
                  <w:noWrap w:val="0"/>
                  <w:vAlign w:val="center"/>
                </w:tcPr>
                <w:p w14:paraId="7DF7E1DB">
                  <w:pPr>
                    <w:shd w:val="clear" w:color="auto" w:fill="auto"/>
                    <w:adjustRightInd w:val="0"/>
                    <w:snapToGrid w:val="0"/>
                    <w:jc w:val="both"/>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根据后文表2-11分析，项目使用的水性漆为低</w:t>
                  </w:r>
                  <w:r>
                    <w:rPr>
                      <w:color w:val="000000" w:themeColor="text1"/>
                      <w:szCs w:val="21"/>
                      <w:highlight w:val="none"/>
                      <w14:textFill>
                        <w14:solidFill>
                          <w14:schemeClr w14:val="tx1"/>
                        </w14:solidFill>
                      </w14:textFill>
                    </w:rPr>
                    <w:t>VOCs含量产品</w:t>
                  </w:r>
                  <w:r>
                    <w:rPr>
                      <w:rFonts w:hint="eastAsia"/>
                      <w:color w:val="000000" w:themeColor="text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处理工艺采用“</w:t>
                  </w:r>
                  <w:r>
                    <w:rPr>
                      <w:rFonts w:hint="eastAsia" w:cs="Times New Roman"/>
                      <w:color w:val="000000" w:themeColor="text1"/>
                      <w:sz w:val="21"/>
                      <w:szCs w:val="21"/>
                      <w:highlight w:val="none"/>
                      <w:lang w:eastAsia="zh-CN"/>
                      <w14:textFill>
                        <w14:solidFill>
                          <w14:schemeClr w14:val="tx1"/>
                        </w14:solidFill>
                      </w14:textFill>
                    </w:rPr>
                    <w:t>水帘湿式漆雾净化</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高分子过滤盒</w:t>
                  </w:r>
                  <w:r>
                    <w:rPr>
                      <w:rFonts w:hint="default" w:ascii="Times New Roman" w:hAnsi="Times New Roman" w:eastAsia="宋体" w:cs="Times New Roman"/>
                      <w:color w:val="000000" w:themeColor="text1"/>
                      <w:sz w:val="21"/>
                      <w:szCs w:val="21"/>
                      <w:highlight w:val="none"/>
                      <w14:textFill>
                        <w14:solidFill>
                          <w14:schemeClr w14:val="tx1"/>
                        </w14:solidFill>
                      </w14:textFill>
                    </w:rPr>
                    <w:t>+干式过滤</w:t>
                  </w:r>
                  <w:r>
                    <w:rPr>
                      <w:rFonts w:hint="eastAsia" w:cs="Times New Roman"/>
                      <w:color w:val="000000" w:themeColor="text1"/>
                      <w:sz w:val="21"/>
                      <w:szCs w:val="21"/>
                      <w:highlight w:val="none"/>
                      <w:lang w:eastAsia="zh-CN"/>
                      <w14:textFill>
                        <w14:solidFill>
                          <w14:schemeClr w14:val="tx1"/>
                        </w14:solidFill>
                      </w14:textFill>
                    </w:rPr>
                    <w:t>棉</w:t>
                  </w:r>
                  <w:r>
                    <w:rPr>
                      <w:rFonts w:hint="default" w:ascii="Times New Roman" w:hAnsi="Times New Roman" w:eastAsia="宋体" w:cs="Times New Roman"/>
                      <w:color w:val="000000" w:themeColor="text1"/>
                      <w:sz w:val="21"/>
                      <w:szCs w:val="21"/>
                      <w:highlight w:val="none"/>
                      <w14:textFill>
                        <w14:solidFill>
                          <w14:schemeClr w14:val="tx1"/>
                        </w14:solidFill>
                      </w14:textFill>
                    </w:rPr>
                    <w:t>+二级活性炭吸附”，参照</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《排污许可证申请与核发技术规范 铁路、船舶、航空航天和其他运输设备制造业》（HJ1124-2020）</w:t>
                  </w:r>
                  <w:r>
                    <w:rPr>
                      <w:rFonts w:hint="default" w:ascii="Times New Roman" w:hAnsi="Times New Roman" w:eastAsia="宋体" w:cs="Times New Roman"/>
                      <w:color w:val="000000" w:themeColor="text1"/>
                      <w:sz w:val="21"/>
                      <w:szCs w:val="21"/>
                      <w:highlight w:val="none"/>
                      <w14:textFill>
                        <w14:solidFill>
                          <w14:schemeClr w14:val="tx1"/>
                        </w14:solidFill>
                      </w14:textFill>
                    </w:rPr>
                    <w:t>，该有机废气处理工艺为可行技术</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69" w:type="pct"/>
                  <w:noWrap w:val="0"/>
                  <w:vAlign w:val="center"/>
                </w:tcPr>
                <w:p w14:paraId="57CC3834">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05BF8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0D62AA6F">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9</w:t>
                  </w:r>
                </w:p>
              </w:tc>
              <w:tc>
                <w:tcPr>
                  <w:tcW w:w="2778" w:type="pct"/>
                  <w:noWrap w:val="0"/>
                  <w:vAlign w:val="center"/>
                </w:tcPr>
                <w:p w14:paraId="1A04736D">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工业涂装VOCs综合治理。加大汽车、家具、集装箱、电子产品、工程机械等行业VOCs治理力度，重点区域应结合本地产业特征，加快实施其他行业涂装VOCs综合治理。强化源头控制，加快使用粉末、水性、高固体分、辐射固化等低VOCs含量的涂料替代溶剂型涂料。重点区域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tc>
              <w:tc>
                <w:tcPr>
                  <w:tcW w:w="1530" w:type="pct"/>
                  <w:noWrap w:val="0"/>
                  <w:vAlign w:val="center"/>
                </w:tcPr>
                <w:p w14:paraId="0ACC4E26">
                  <w:pPr>
                    <w:shd w:val="clear" w:color="auto" w:fill="auto"/>
                    <w:adjustRightInd w:val="0"/>
                    <w:snapToGrid w:val="0"/>
                    <w:jc w:val="both"/>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据后文表2-11分析，</w:t>
                  </w:r>
                  <w:r>
                    <w:rPr>
                      <w:rFonts w:hint="eastAsia"/>
                      <w:color w:val="000000" w:themeColor="text1"/>
                      <w:szCs w:val="21"/>
                      <w:highlight w:val="none"/>
                      <w14:textFill>
                        <w14:solidFill>
                          <w14:schemeClr w14:val="tx1"/>
                        </w14:solidFill>
                      </w14:textFill>
                    </w:rPr>
                    <w:t>本项目</w:t>
                  </w:r>
                  <w:r>
                    <w:rPr>
                      <w:color w:val="000000" w:themeColor="text1"/>
                      <w:szCs w:val="21"/>
                      <w:highlight w:val="none"/>
                      <w14:textFill>
                        <w14:solidFill>
                          <w14:schemeClr w14:val="tx1"/>
                        </w14:solidFill>
                      </w14:textFill>
                    </w:rPr>
                    <w:t>涂料满足</w:t>
                  </w:r>
                  <w:r>
                    <w:rPr>
                      <w:rFonts w:hint="eastAsia"/>
                      <w:color w:val="000000" w:themeColor="text1"/>
                      <w:szCs w:val="21"/>
                      <w:highlight w:val="none"/>
                      <w14:textFill>
                        <w14:solidFill>
                          <w14:schemeClr w14:val="tx1"/>
                        </w14:solidFill>
                      </w14:textFill>
                    </w:rPr>
                    <w:t>《低挥发性有机化合物含量涂料产品技术要求》（GB/T38597-2020）</w:t>
                  </w:r>
                  <w:r>
                    <w:rPr>
                      <w:color w:val="000000" w:themeColor="text1"/>
                      <w:szCs w:val="21"/>
                      <w:highlight w:val="none"/>
                      <w14:textFill>
                        <w14:solidFill>
                          <w14:schemeClr w14:val="tx1"/>
                        </w14:solidFill>
                      </w14:textFill>
                    </w:rPr>
                    <w:t>要求</w:t>
                  </w:r>
                  <w:r>
                    <w:rPr>
                      <w:rFonts w:hint="eastAsia"/>
                      <w:color w:val="000000" w:themeColor="text1"/>
                      <w:szCs w:val="21"/>
                      <w:highlight w:val="none"/>
                      <w14:textFill>
                        <w14:solidFill>
                          <w14:schemeClr w14:val="tx1"/>
                        </w14:solidFill>
                      </w14:textFill>
                    </w:rPr>
                    <w:t>。</w:t>
                  </w:r>
                </w:p>
              </w:tc>
              <w:tc>
                <w:tcPr>
                  <w:tcW w:w="369" w:type="pct"/>
                  <w:noWrap w:val="0"/>
                  <w:vAlign w:val="center"/>
                </w:tcPr>
                <w:p w14:paraId="3F6FB178">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72B6E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4CD61501">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p>
              </w:tc>
              <w:tc>
                <w:tcPr>
                  <w:tcW w:w="2778" w:type="pct"/>
                  <w:noWrap w:val="0"/>
                  <w:vAlign w:val="center"/>
                </w:tcPr>
                <w:p w14:paraId="22F9482A">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加快推广紧凑式涂装工艺、先进涂装技术和设备。汽车制造整车生产推广使用“三涂一烘”“两涂一烘”或免中涂等紧凑型工艺、静电喷涂技术、自动化喷涂设备。汽车金属零配件企业鼓励采用粉末静电喷涂技术。</w:t>
                  </w:r>
                </w:p>
              </w:tc>
              <w:tc>
                <w:tcPr>
                  <w:tcW w:w="1530" w:type="pct"/>
                  <w:noWrap w:val="0"/>
                  <w:vAlign w:val="center"/>
                </w:tcPr>
                <w:p w14:paraId="5FCA583E">
                  <w:pPr>
                    <w:shd w:val="clear" w:color="auto" w:fill="auto"/>
                    <w:adjustRightInd w:val="0"/>
                    <w:snapToGrid w:val="0"/>
                    <w:jc w:val="both"/>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本项目为摩托车零部件生产项目，不涉及汽车制造整车生产</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采用两</w:t>
                  </w:r>
                  <w:r>
                    <w:rPr>
                      <w:color w:val="000000" w:themeColor="text1"/>
                      <w:szCs w:val="21"/>
                      <w:highlight w:val="none"/>
                      <w14:textFill>
                        <w14:solidFill>
                          <w14:schemeClr w14:val="tx1"/>
                        </w14:solidFill>
                      </w14:textFill>
                    </w:rPr>
                    <w:t>涂</w:t>
                  </w:r>
                  <w:r>
                    <w:rPr>
                      <w:rFonts w:hint="eastAsia"/>
                      <w:color w:val="000000" w:themeColor="text1"/>
                      <w:szCs w:val="21"/>
                      <w:highlight w:val="none"/>
                      <w:lang w:val="en-US" w:eastAsia="zh-CN"/>
                      <w14:textFill>
                        <w14:solidFill>
                          <w14:schemeClr w14:val="tx1"/>
                        </w14:solidFill>
                      </w14:textFill>
                    </w:rPr>
                    <w:t>两流平固化两烘干</w:t>
                  </w:r>
                  <w:r>
                    <w:rPr>
                      <w:rFonts w:hint="eastAsia"/>
                      <w:color w:val="000000" w:themeColor="text1"/>
                      <w:szCs w:val="21"/>
                      <w:highlight w:val="none"/>
                      <w14:textFill>
                        <w14:solidFill>
                          <w14:schemeClr w14:val="tx1"/>
                        </w14:solidFill>
                      </w14:textFill>
                    </w:rPr>
                    <w:t>工艺</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采</w:t>
                  </w:r>
                  <w:r>
                    <w:rPr>
                      <w:color w:val="000000" w:themeColor="text1"/>
                      <w:szCs w:val="21"/>
                      <w:highlight w:val="none"/>
                      <w14:textFill>
                        <w14:solidFill>
                          <w14:schemeClr w14:val="tx1"/>
                        </w14:solidFill>
                      </w14:textFill>
                    </w:rPr>
                    <w:t>用了较为先进高效的空气辅助喷涂。</w:t>
                  </w:r>
                </w:p>
              </w:tc>
              <w:tc>
                <w:tcPr>
                  <w:tcW w:w="369" w:type="pct"/>
                  <w:noWrap w:val="0"/>
                  <w:vAlign w:val="center"/>
                </w:tcPr>
                <w:p w14:paraId="4A2E049D">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7480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6126E1F3">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11</w:t>
                  </w:r>
                </w:p>
              </w:tc>
              <w:tc>
                <w:tcPr>
                  <w:tcW w:w="2778" w:type="pct"/>
                  <w:noWrap w:val="0"/>
                  <w:vAlign w:val="center"/>
                </w:tcPr>
                <w:p w14:paraId="405B46DA">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tc>
              <w:tc>
                <w:tcPr>
                  <w:tcW w:w="1530" w:type="pct"/>
                  <w:noWrap w:val="0"/>
                  <w:vAlign w:val="center"/>
                </w:tcPr>
                <w:p w14:paraId="474E6E42">
                  <w:pPr>
                    <w:shd w:val="clear" w:color="auto" w:fill="auto"/>
                    <w:adjustRightInd w:val="0"/>
                    <w:snapToGrid w:val="0"/>
                    <w:jc w:val="both"/>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本项目</w:t>
                  </w:r>
                  <w:r>
                    <w:rPr>
                      <w:rFonts w:hint="eastAsia"/>
                      <w:color w:val="000000" w:themeColor="text1"/>
                      <w:szCs w:val="21"/>
                      <w:highlight w:val="none"/>
                      <w:lang w:val="en-US" w:eastAsia="zh-CN"/>
                      <w14:textFill>
                        <w14:solidFill>
                          <w14:schemeClr w14:val="tx1"/>
                        </w14:solidFill>
                      </w14:textFill>
                    </w:rPr>
                    <w:t>水性</w:t>
                  </w:r>
                  <w:r>
                    <w:rPr>
                      <w:color w:val="000000" w:themeColor="text1"/>
                      <w:szCs w:val="21"/>
                      <w:highlight w:val="none"/>
                      <w14:textFill>
                        <w14:solidFill>
                          <w14:schemeClr w14:val="tx1"/>
                        </w14:solidFill>
                      </w14:textFill>
                    </w:rPr>
                    <w:t>漆的存储，调配、使用、回收等过程在密闭房间内进行。对收集的废气进行了有效达标处理。</w:t>
                  </w:r>
                </w:p>
              </w:tc>
              <w:tc>
                <w:tcPr>
                  <w:tcW w:w="369" w:type="pct"/>
                  <w:noWrap w:val="0"/>
                  <w:vAlign w:val="center"/>
                </w:tcPr>
                <w:p w14:paraId="3DDC41AA">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5F4EF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pct"/>
                  <w:noWrap w:val="0"/>
                  <w:vAlign w:val="center"/>
                </w:tcPr>
                <w:p w14:paraId="59F53348">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13</w:t>
                  </w:r>
                </w:p>
              </w:tc>
              <w:tc>
                <w:tcPr>
                  <w:tcW w:w="2778" w:type="pct"/>
                  <w:noWrap w:val="0"/>
                  <w:vAlign w:val="center"/>
                </w:tcPr>
                <w:p w14:paraId="1305A7DD">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推进建设适宜高效的治污设施。喷涂废气应设置高效漆雾处理装置。喷涂、晾（风）干废气宜采用吸附浓缩+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1530" w:type="pct"/>
                  <w:noWrap w:val="0"/>
                  <w:vAlign w:val="center"/>
                </w:tcPr>
                <w:p w14:paraId="378E7033">
                  <w:pPr>
                    <w:shd w:val="clear" w:color="auto" w:fill="auto"/>
                    <w:adjustRightInd w:val="0"/>
                    <w:snapToGrid w:val="0"/>
                    <w:jc w:val="both"/>
                    <w:rPr>
                      <w:color w:val="000000" w:themeColor="text1"/>
                      <w:szCs w:val="21"/>
                      <w:highlight w:val="none"/>
                      <w14:textFill>
                        <w14:solidFill>
                          <w14:schemeClr w14:val="tx1"/>
                        </w14:solidFill>
                      </w14:textFill>
                    </w:rPr>
                  </w:pPr>
                  <w:r>
                    <w:rPr>
                      <w:color w:val="000000" w:themeColor="text1"/>
                      <w:kern w:val="0"/>
                      <w:highlight w:val="none"/>
                      <w14:textFill>
                        <w14:solidFill>
                          <w14:schemeClr w14:val="tx1"/>
                        </w14:solidFill>
                      </w14:textFill>
                    </w:rPr>
                    <w:t>本项目产生废气采取</w:t>
                  </w:r>
                  <w:r>
                    <w:rPr>
                      <w:rFonts w:hint="eastAsia"/>
                      <w:color w:val="000000" w:themeColor="text1"/>
                      <w:kern w:val="0"/>
                      <w:highlight w:val="none"/>
                      <w:lang w:val="en-US" w:eastAsia="zh-CN"/>
                      <w14:textFill>
                        <w14:solidFill>
                          <w14:schemeClr w14:val="tx1"/>
                        </w14:solidFill>
                      </w14:textFill>
                    </w:rPr>
                    <w:t>二级活性炭</w:t>
                  </w:r>
                  <w:r>
                    <w:rPr>
                      <w:color w:val="000000" w:themeColor="text1"/>
                      <w:kern w:val="0"/>
                      <w:highlight w:val="none"/>
                      <w14:textFill>
                        <w14:solidFill>
                          <w14:schemeClr w14:val="tx1"/>
                        </w14:solidFill>
                      </w14:textFill>
                    </w:rPr>
                    <w:t>治理工艺，</w:t>
                  </w:r>
                  <w:r>
                    <w:rPr>
                      <w:color w:val="000000" w:themeColor="text1"/>
                      <w:highlight w:val="none"/>
                      <w14:textFill>
                        <w14:solidFill>
                          <w14:schemeClr w14:val="tx1"/>
                        </w14:solidFill>
                      </w14:textFill>
                    </w:rPr>
                    <w:t>喷</w:t>
                  </w:r>
                  <w:r>
                    <w:rPr>
                      <w:rFonts w:hint="eastAsia"/>
                      <w:color w:val="000000" w:themeColor="text1"/>
                      <w:highlight w:val="none"/>
                      <w:lang w:val="en-US" w:eastAsia="zh-CN"/>
                      <w14:textFill>
                        <w14:solidFill>
                          <w14:schemeClr w14:val="tx1"/>
                        </w14:solidFill>
                      </w14:textFill>
                    </w:rPr>
                    <w:t>涂</w:t>
                  </w:r>
                  <w:r>
                    <w:rPr>
                      <w:rFonts w:hint="eastAsia"/>
                      <w:color w:val="000000" w:themeColor="text1"/>
                      <w:highlight w:val="none"/>
                      <w14:textFill>
                        <w14:solidFill>
                          <w14:schemeClr w14:val="tx1"/>
                        </w14:solidFill>
                      </w14:textFill>
                    </w:rPr>
                    <w:t>废气经密闭房收集后经</w:t>
                  </w:r>
                  <w:r>
                    <w:rPr>
                      <w:rFonts w:hint="eastAsia" w:cs="Times New Roman"/>
                      <w:bCs/>
                      <w:color w:val="000000" w:themeColor="text1"/>
                      <w:kern w:val="0"/>
                      <w:sz w:val="21"/>
                      <w:szCs w:val="21"/>
                      <w:highlight w:val="none"/>
                      <w:lang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水帘湿式漆雾净化+高分子过滤盒+干式过滤棉+二级活性炭吸附</w:t>
                  </w:r>
                  <w:r>
                    <w:rPr>
                      <w:rFonts w:hint="eastAsia" w:cs="Times New Roman"/>
                      <w:bCs/>
                      <w:color w:val="000000" w:themeColor="text1"/>
                      <w:kern w:val="0"/>
                      <w:sz w:val="21"/>
                      <w:szCs w:val="21"/>
                      <w:highlight w:val="none"/>
                      <w:lang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处理，</w:t>
                  </w:r>
                  <w:r>
                    <w:rPr>
                      <w:color w:val="000000" w:themeColor="text1"/>
                      <w:szCs w:val="21"/>
                      <w:highlight w:val="none"/>
                      <w14:textFill>
                        <w14:solidFill>
                          <w14:schemeClr w14:val="tx1"/>
                        </w14:solidFill>
                      </w14:textFill>
                    </w:rPr>
                    <w:t>属于推荐工艺，能确保污染物达标排放。</w:t>
                  </w:r>
                </w:p>
              </w:tc>
              <w:tc>
                <w:tcPr>
                  <w:tcW w:w="369" w:type="pct"/>
                  <w:noWrap w:val="0"/>
                  <w:vAlign w:val="center"/>
                </w:tcPr>
                <w:p w14:paraId="2833F0C3">
                  <w:pPr>
                    <w:shd w:val="clear" w:color="auto" w:fill="auto"/>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bl>
          <w:p w14:paraId="02C00614">
            <w:pPr>
              <w:pStyle w:val="33"/>
              <w:shd w:val="clear" w:color="auto" w:fill="auto"/>
              <w:spacing w:line="460" w:lineRule="exact"/>
              <w:ind w:firstLineChars="200"/>
              <w:jc w:val="left"/>
              <w:rPr>
                <w:rFonts w:eastAsia="宋体"/>
                <w:color w:val="000000" w:themeColor="text1"/>
                <w:highlight w:val="none"/>
                <w14:textFill>
                  <w14:solidFill>
                    <w14:schemeClr w14:val="tx1"/>
                  </w14:solidFill>
                </w14:textFill>
              </w:rPr>
            </w:pPr>
            <w:r>
              <w:rPr>
                <w:rFonts w:eastAsia="宋体"/>
                <w:color w:val="000000" w:themeColor="text1"/>
                <w:highlight w:val="none"/>
                <w14:textFill>
                  <w14:solidFill>
                    <w14:schemeClr w14:val="tx1"/>
                  </w14:solidFill>
                </w14:textFill>
              </w:rPr>
              <w:t>由上表可知，</w:t>
            </w:r>
            <w:r>
              <w:rPr>
                <w:rFonts w:hint="eastAsia" w:eastAsia="宋体"/>
                <w:color w:val="000000" w:themeColor="text1"/>
                <w:highlight w:val="none"/>
                <w14:textFill>
                  <w14:solidFill>
                    <w14:schemeClr w14:val="tx1"/>
                  </w14:solidFill>
                </w14:textFill>
              </w:rPr>
              <w:t>项目</w:t>
            </w:r>
            <w:r>
              <w:rPr>
                <w:rFonts w:eastAsia="宋体"/>
                <w:color w:val="000000" w:themeColor="text1"/>
                <w:highlight w:val="none"/>
                <w14:textFill>
                  <w14:solidFill>
                    <w14:schemeClr w14:val="tx1"/>
                  </w14:solidFill>
                </w14:textFill>
              </w:rPr>
              <w:t>符合</w:t>
            </w:r>
            <w:r>
              <w:rPr>
                <w:rFonts w:hint="eastAsia" w:eastAsia="宋体"/>
                <w:color w:val="000000" w:themeColor="text1"/>
                <w:highlight w:val="none"/>
                <w14:textFill>
                  <w14:solidFill>
                    <w14:schemeClr w14:val="tx1"/>
                  </w14:solidFill>
                </w14:textFill>
              </w:rPr>
              <w:t>《重点行业挥发性有机物综合治理方案》（环大气[2019]53号）</w:t>
            </w:r>
            <w:r>
              <w:rPr>
                <w:rFonts w:eastAsia="宋体"/>
                <w:color w:val="000000" w:themeColor="text1"/>
                <w:highlight w:val="none"/>
                <w14:textFill>
                  <w14:solidFill>
                    <w14:schemeClr w14:val="tx1"/>
                  </w14:solidFill>
                </w14:textFill>
              </w:rPr>
              <w:t>文件的相关要求。</w:t>
            </w:r>
          </w:p>
          <w:p w14:paraId="1C9FB366">
            <w:pPr>
              <w:shd w:val="clear" w:color="auto" w:fill="auto"/>
              <w:spacing w:line="460" w:lineRule="exact"/>
              <w:rPr>
                <w:b/>
                <w:bCs/>
                <w:color w:val="000000" w:themeColor="text1"/>
                <w:sz w:val="24"/>
                <w:highlight w:val="none"/>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12、</w:t>
            </w:r>
            <w:r>
              <w:rPr>
                <w:rFonts w:hint="eastAsia"/>
                <w:b/>
                <w:bCs/>
                <w:color w:val="000000" w:themeColor="text1"/>
                <w:sz w:val="24"/>
                <w:highlight w:val="none"/>
                <w14:textFill>
                  <w14:solidFill>
                    <w14:schemeClr w14:val="tx1"/>
                  </w14:solidFill>
                </w14:textFill>
              </w:rPr>
              <w:t>与《2020年挥发性有机物治理攻坚方案》（环大气﹝</w:t>
            </w:r>
            <w:r>
              <w:rPr>
                <w:rFonts w:hint="eastAsia"/>
                <w:b/>
                <w:bCs/>
                <w:color w:val="000000" w:themeColor="text1"/>
                <w:sz w:val="24"/>
                <w:highlight w:val="none"/>
                <w:lang w:val="en-US" w:eastAsia="zh-CN"/>
                <w14:textFill>
                  <w14:solidFill>
                    <w14:schemeClr w14:val="tx1"/>
                  </w14:solidFill>
                </w14:textFill>
              </w:rPr>
              <w:t>2020</w:t>
            </w:r>
            <w:r>
              <w:rPr>
                <w:rFonts w:hint="eastAsia"/>
                <w:b/>
                <w:bCs/>
                <w:color w:val="000000" w:themeColor="text1"/>
                <w:sz w:val="24"/>
                <w:highlight w:val="none"/>
                <w14:textFill>
                  <w14:solidFill>
                    <w14:schemeClr w14:val="tx1"/>
                  </w14:solidFill>
                </w14:textFill>
              </w:rPr>
              <w:t>﹞33号）的符合性分析</w:t>
            </w:r>
          </w:p>
          <w:p w14:paraId="461F7AF9">
            <w:pPr>
              <w:shd w:val="clear" w:color="auto" w:fill="auto"/>
              <w:spacing w:line="460" w:lineRule="exact"/>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表1-</w:t>
            </w:r>
            <w:r>
              <w:rPr>
                <w:rFonts w:hint="eastAsia"/>
                <w:b/>
                <w:bCs/>
                <w:color w:val="000000" w:themeColor="text1"/>
                <w:sz w:val="24"/>
                <w:highlight w:val="none"/>
                <w:lang w:val="en-US" w:eastAsia="zh-CN"/>
                <w14:textFill>
                  <w14:solidFill>
                    <w14:schemeClr w14:val="tx1"/>
                  </w14:solidFill>
                </w14:textFill>
              </w:rPr>
              <w:t xml:space="preserve">13 </w:t>
            </w:r>
            <w:r>
              <w:rPr>
                <w:b/>
                <w:bCs/>
                <w:color w:val="000000" w:themeColor="text1"/>
                <w:sz w:val="24"/>
                <w:highlight w:val="none"/>
                <w14:textFill>
                  <w14:solidFill>
                    <w14:schemeClr w14:val="tx1"/>
                  </w14:solidFill>
                </w14:textFill>
              </w:rPr>
              <w:t>与《2020年挥发性有机物治理攻坚方案》（环大气</w:t>
            </w:r>
            <w:r>
              <w:rPr>
                <w:rFonts w:hint="eastAsia"/>
                <w:b/>
                <w:bCs/>
                <w:color w:val="000000" w:themeColor="text1"/>
                <w:sz w:val="24"/>
                <w:highlight w:val="none"/>
                <w14:textFill>
                  <w14:solidFill>
                    <w14:schemeClr w14:val="tx1"/>
                  </w14:solidFill>
                </w14:textFill>
              </w:rPr>
              <w:t>﹝</w:t>
            </w:r>
            <w:r>
              <w:rPr>
                <w:rFonts w:hint="eastAsia"/>
                <w:b/>
                <w:bCs/>
                <w:color w:val="000000" w:themeColor="text1"/>
                <w:sz w:val="24"/>
                <w:highlight w:val="none"/>
                <w:lang w:val="en-US" w:eastAsia="zh-CN"/>
                <w14:textFill>
                  <w14:solidFill>
                    <w14:schemeClr w14:val="tx1"/>
                  </w14:solidFill>
                </w14:textFill>
              </w:rPr>
              <w:t>2020</w:t>
            </w:r>
            <w:r>
              <w:rPr>
                <w:rFonts w:hint="eastAsia"/>
                <w:b/>
                <w:bCs/>
                <w:color w:val="000000" w:themeColor="text1"/>
                <w:sz w:val="24"/>
                <w:highlight w:val="none"/>
                <w14:textFill>
                  <w14:solidFill>
                    <w14:schemeClr w14:val="tx1"/>
                  </w14:solidFill>
                </w14:textFill>
              </w:rPr>
              <w:t>﹞</w:t>
            </w:r>
            <w:r>
              <w:rPr>
                <w:b/>
                <w:bCs/>
                <w:color w:val="000000" w:themeColor="text1"/>
                <w:sz w:val="24"/>
                <w:highlight w:val="none"/>
                <w14:textFill>
                  <w14:solidFill>
                    <w14:schemeClr w14:val="tx1"/>
                  </w14:solidFill>
                </w14:textFill>
              </w:rPr>
              <w:t>33号）的符合性分析</w:t>
            </w:r>
          </w:p>
          <w:tbl>
            <w:tblPr>
              <w:tblStyle w:val="21"/>
              <w:tblW w:w="793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5633"/>
              <w:gridCol w:w="1561"/>
              <w:gridCol w:w="743"/>
            </w:tblGrid>
            <w:tr w14:paraId="7DFED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548" w:type="pct"/>
                  <w:tcBorders>
                    <w:top w:val="single" w:color="auto" w:sz="6" w:space="0"/>
                    <w:left w:val="single" w:color="auto" w:sz="6" w:space="0"/>
                    <w:bottom w:val="single" w:color="auto" w:sz="6" w:space="0"/>
                    <w:right w:val="single" w:color="auto" w:sz="6" w:space="0"/>
                  </w:tcBorders>
                  <w:noWrap w:val="0"/>
                  <w:vAlign w:val="center"/>
                </w:tcPr>
                <w:p w14:paraId="063BDECE">
                  <w:pPr>
                    <w:shd w:val="clear" w:color="auto" w:fill="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与项目相关要求</w:t>
                  </w:r>
                </w:p>
              </w:tc>
              <w:tc>
                <w:tcPr>
                  <w:tcW w:w="983" w:type="pct"/>
                  <w:tcBorders>
                    <w:top w:val="single" w:color="auto" w:sz="6" w:space="0"/>
                    <w:left w:val="single" w:color="auto" w:sz="6" w:space="0"/>
                    <w:bottom w:val="single" w:color="auto" w:sz="6" w:space="0"/>
                    <w:right w:val="single" w:color="auto" w:sz="6" w:space="0"/>
                  </w:tcBorders>
                  <w:noWrap w:val="0"/>
                  <w:vAlign w:val="center"/>
                </w:tcPr>
                <w:p w14:paraId="309D1253">
                  <w:pPr>
                    <w:shd w:val="clear" w:color="auto" w:fill="auto"/>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项目</w:t>
                  </w:r>
                  <w:r>
                    <w:rPr>
                      <w:b/>
                      <w:bCs/>
                      <w:color w:val="000000" w:themeColor="text1"/>
                      <w:szCs w:val="21"/>
                      <w:highlight w:val="none"/>
                      <w14:textFill>
                        <w14:solidFill>
                          <w14:schemeClr w14:val="tx1"/>
                        </w14:solidFill>
                      </w14:textFill>
                    </w:rPr>
                    <w:t>情况</w:t>
                  </w:r>
                </w:p>
              </w:tc>
              <w:tc>
                <w:tcPr>
                  <w:tcW w:w="468" w:type="pct"/>
                  <w:tcBorders>
                    <w:top w:val="single" w:color="auto" w:sz="6" w:space="0"/>
                    <w:left w:val="single" w:color="auto" w:sz="6" w:space="0"/>
                    <w:bottom w:val="single" w:color="auto" w:sz="6" w:space="0"/>
                    <w:right w:val="single" w:color="auto" w:sz="6" w:space="0"/>
                  </w:tcBorders>
                  <w:noWrap w:val="0"/>
                  <w:vAlign w:val="center"/>
                </w:tcPr>
                <w:p w14:paraId="2AFF4929">
                  <w:pPr>
                    <w:shd w:val="clear" w:color="auto" w:fill="auto"/>
                    <w:jc w:val="center"/>
                    <w:rPr>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符合性</w:t>
                  </w:r>
                </w:p>
              </w:tc>
            </w:tr>
            <w:tr w14:paraId="3737F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548" w:type="pct"/>
                  <w:tcBorders>
                    <w:top w:val="single" w:color="auto" w:sz="6" w:space="0"/>
                    <w:left w:val="single" w:color="auto" w:sz="6" w:space="0"/>
                    <w:bottom w:val="single" w:color="auto" w:sz="6" w:space="0"/>
                    <w:right w:val="single" w:color="auto" w:sz="6" w:space="0"/>
                  </w:tcBorders>
                  <w:noWrap w:val="0"/>
                  <w:vAlign w:val="center"/>
                </w:tcPr>
                <w:p w14:paraId="122AA9F1">
                  <w:pPr>
                    <w:shd w:val="clear" w:color="auto" w:fill="auto"/>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推进政府绿色采购，要求家具、印刷等政府定点招标采购企业优先使用低挥发性原辅材料，鼓励汽车维修等政府定点招标采购企业使用低挥发性原辅材料；将低VOCs含量产品纳入政府采购名录，并在政府投资项目中优先使用；引导将使用低VOCs含量涂料、胶粘剂等纳入政府采购装修合同环保条款。</w:t>
                  </w:r>
                </w:p>
              </w:tc>
              <w:tc>
                <w:tcPr>
                  <w:tcW w:w="983" w:type="pct"/>
                  <w:tcBorders>
                    <w:top w:val="single" w:color="auto" w:sz="6" w:space="0"/>
                    <w:left w:val="single" w:color="auto" w:sz="6" w:space="0"/>
                    <w:bottom w:val="single" w:color="auto" w:sz="6" w:space="0"/>
                    <w:right w:val="single" w:color="auto" w:sz="6" w:space="0"/>
                  </w:tcBorders>
                  <w:noWrap w:val="0"/>
                  <w:vAlign w:val="center"/>
                </w:tcPr>
                <w:p w14:paraId="72511543">
                  <w:pPr>
                    <w:shd w:val="clear" w:color="auto" w:fill="auto"/>
                    <w:jc w:val="both"/>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据后文表2-11分析，</w:t>
                  </w:r>
                  <w:r>
                    <w:rPr>
                      <w:rFonts w:hint="eastAsia"/>
                      <w:color w:val="000000" w:themeColor="text1"/>
                      <w:szCs w:val="21"/>
                      <w:highlight w:val="none"/>
                      <w14:textFill>
                        <w14:solidFill>
                          <w14:schemeClr w14:val="tx1"/>
                        </w14:solidFill>
                      </w14:textFill>
                    </w:rPr>
                    <w:t>本项目使用的漆料</w:t>
                  </w:r>
                  <w:r>
                    <w:rPr>
                      <w:rFonts w:hint="eastAsia"/>
                      <w:bCs/>
                      <w:color w:val="000000" w:themeColor="text1"/>
                      <w:kern w:val="0"/>
                      <w:szCs w:val="21"/>
                      <w:highlight w:val="none"/>
                      <w14:textFill>
                        <w14:solidFill>
                          <w14:schemeClr w14:val="tx1"/>
                        </w14:solidFill>
                      </w14:textFill>
                    </w:rPr>
                    <w:t>符合《低挥发性有机化合物含量涂料产品技术要求》（GB/T38597-2020）要求</w:t>
                  </w:r>
                  <w:r>
                    <w:rPr>
                      <w:rFonts w:hint="eastAsia"/>
                      <w:color w:val="000000" w:themeColor="text1"/>
                      <w:szCs w:val="21"/>
                      <w:highlight w:val="none"/>
                      <w14:textFill>
                        <w14:solidFill>
                          <w14:schemeClr w14:val="tx1"/>
                        </w14:solidFill>
                      </w14:textFill>
                    </w:rPr>
                    <w:t>。</w:t>
                  </w:r>
                  <w:r>
                    <w:rPr>
                      <w:color w:val="000000" w:themeColor="text1"/>
                      <w:szCs w:val="21"/>
                      <w:highlight w:val="none"/>
                      <w14:textFill>
                        <w14:solidFill>
                          <w14:schemeClr w14:val="tx1"/>
                        </w14:solidFill>
                      </w14:textFill>
                    </w:rPr>
                    <w:t>项目按要求建立台账、工艺末端</w:t>
                  </w:r>
                  <w:r>
                    <w:rPr>
                      <w:rFonts w:hint="eastAsia"/>
                      <w:color w:val="000000" w:themeColor="text1"/>
                      <w:szCs w:val="21"/>
                      <w:highlight w:val="none"/>
                      <w14:textFill>
                        <w14:solidFill>
                          <w14:schemeClr w14:val="tx1"/>
                        </w14:solidFill>
                      </w14:textFill>
                    </w:rPr>
                    <w:t>设置高效</w:t>
                  </w:r>
                  <w:r>
                    <w:rPr>
                      <w:color w:val="000000" w:themeColor="text1"/>
                      <w:szCs w:val="21"/>
                      <w:highlight w:val="none"/>
                      <w14:textFill>
                        <w14:solidFill>
                          <w14:schemeClr w14:val="tx1"/>
                        </w14:solidFill>
                      </w14:textFill>
                    </w:rPr>
                    <w:t>废气治理设施。</w:t>
                  </w:r>
                </w:p>
              </w:tc>
              <w:tc>
                <w:tcPr>
                  <w:tcW w:w="468" w:type="pct"/>
                  <w:tcBorders>
                    <w:top w:val="single" w:color="auto" w:sz="6" w:space="0"/>
                    <w:left w:val="single" w:color="auto" w:sz="6" w:space="0"/>
                    <w:bottom w:val="single" w:color="auto" w:sz="6" w:space="0"/>
                    <w:right w:val="single" w:color="auto" w:sz="6" w:space="0"/>
                  </w:tcBorders>
                  <w:noWrap w:val="0"/>
                  <w:vAlign w:val="center"/>
                </w:tcPr>
                <w:p w14:paraId="670D8568">
                  <w:pPr>
                    <w:shd w:val="clear" w:color="auto" w:fill="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0CCAAA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548" w:type="pct"/>
                  <w:tcBorders>
                    <w:top w:val="single" w:color="auto" w:sz="6" w:space="0"/>
                    <w:left w:val="single" w:color="auto" w:sz="6" w:space="0"/>
                    <w:bottom w:val="single" w:color="auto" w:sz="6" w:space="0"/>
                    <w:right w:val="single" w:color="auto" w:sz="6" w:space="0"/>
                  </w:tcBorders>
                  <w:noWrap w:val="0"/>
                  <w:vAlign w:val="center"/>
                </w:tcPr>
                <w:p w14:paraId="1A10ABD2">
                  <w:pPr>
                    <w:shd w:val="clear" w:color="auto" w:fill="auto"/>
                    <w:jc w:val="both"/>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2020年7月1日起，全面执行《挥发性有机物无组织排放控制标准》，重点区域应落实无组织排放特别控制要求。各地要加大标准生效时间、涉及行业及控制要求等宣贯力度，通过现场指导、组织培训、新媒体信息推送、发放明白纸等多种方式，督促指导企业对照标准要求开展含VOCs物料（包括含VOCs原辅材料、含VOCs产品、含VOCs废料以及有机聚合物材料等）储存、转移和输送、设备与管线组件泄漏、敞开液面逸散以及工艺过程等无组织排放环节排查整治，对达不到要求的加快整改。指导企业制定VOCs无组织排放控制规程，细化到具体工序和生产环节，以及启停机、检维修作业等，落实到具体责任人；健全内部考核制度，严格按照操作规程生产。</w:t>
                  </w:r>
                </w:p>
              </w:tc>
              <w:tc>
                <w:tcPr>
                  <w:tcW w:w="983" w:type="pct"/>
                  <w:tcBorders>
                    <w:top w:val="single" w:color="auto" w:sz="6" w:space="0"/>
                    <w:left w:val="single" w:color="auto" w:sz="6" w:space="0"/>
                    <w:bottom w:val="single" w:color="auto" w:sz="6" w:space="0"/>
                    <w:right w:val="single" w:color="auto" w:sz="6" w:space="0"/>
                  </w:tcBorders>
                  <w:noWrap w:val="0"/>
                  <w:vAlign w:val="center"/>
                </w:tcPr>
                <w:p w14:paraId="731167FE">
                  <w:pPr>
                    <w:shd w:val="clear" w:color="auto" w:fill="auto"/>
                    <w:jc w:val="both"/>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本</w:t>
                  </w:r>
                  <w:r>
                    <w:rPr>
                      <w:color w:val="000000" w:themeColor="text1"/>
                      <w:szCs w:val="21"/>
                      <w:highlight w:val="none"/>
                      <w14:textFill>
                        <w14:solidFill>
                          <w14:schemeClr w14:val="tx1"/>
                        </w14:solidFill>
                      </w14:textFill>
                    </w:rPr>
                    <w:t>项目</w:t>
                  </w:r>
                  <w:r>
                    <w:rPr>
                      <w:rFonts w:hint="eastAsia"/>
                      <w:color w:val="000000" w:themeColor="text1"/>
                      <w:szCs w:val="21"/>
                      <w:highlight w:val="none"/>
                      <w14:textFill>
                        <w14:solidFill>
                          <w14:schemeClr w14:val="tx1"/>
                        </w14:solidFill>
                      </w14:textFill>
                    </w:rPr>
                    <w:t>喷</w:t>
                  </w:r>
                  <w:r>
                    <w:rPr>
                      <w:rFonts w:hint="eastAsia"/>
                      <w:color w:val="000000" w:themeColor="text1"/>
                      <w:szCs w:val="21"/>
                      <w:highlight w:val="none"/>
                      <w:lang w:val="en-US" w:eastAsia="zh-CN"/>
                      <w14:textFill>
                        <w14:solidFill>
                          <w14:schemeClr w14:val="tx1"/>
                        </w14:solidFill>
                      </w14:textFill>
                    </w:rPr>
                    <w:t>涂</w:t>
                  </w:r>
                  <w:r>
                    <w:rPr>
                      <w:rFonts w:hint="eastAsia"/>
                      <w:color w:val="000000" w:themeColor="text1"/>
                      <w:szCs w:val="21"/>
                      <w:highlight w:val="none"/>
                      <w14:textFill>
                        <w14:solidFill>
                          <w14:schemeClr w14:val="tx1"/>
                        </w14:solidFill>
                      </w14:textFill>
                    </w:rPr>
                    <w:t>生产线厂房外</w:t>
                  </w:r>
                  <w:r>
                    <w:rPr>
                      <w:color w:val="000000" w:themeColor="text1"/>
                      <w:szCs w:val="21"/>
                      <w:highlight w:val="none"/>
                      <w14:textFill>
                        <w14:solidFill>
                          <w14:schemeClr w14:val="tx1"/>
                        </w14:solidFill>
                      </w14:textFill>
                    </w:rPr>
                    <w:t>执行</w:t>
                  </w:r>
                  <w:r>
                    <w:rPr>
                      <w:rFonts w:hint="eastAsia"/>
                      <w:color w:val="000000" w:themeColor="text1"/>
                      <w:szCs w:val="21"/>
                      <w:highlight w:val="none"/>
                      <w14:textFill>
                        <w14:solidFill>
                          <w14:schemeClr w14:val="tx1"/>
                        </w14:solidFill>
                      </w14:textFill>
                    </w:rPr>
                    <w:t>《挥发性有机物无组织排放控制标准》（GB37822-2019）表A.1厂区内VOCs无组织排放限值标准。</w:t>
                  </w:r>
                </w:p>
              </w:tc>
              <w:tc>
                <w:tcPr>
                  <w:tcW w:w="468" w:type="pct"/>
                  <w:tcBorders>
                    <w:top w:val="single" w:color="auto" w:sz="6" w:space="0"/>
                    <w:left w:val="single" w:color="auto" w:sz="6" w:space="0"/>
                    <w:bottom w:val="single" w:color="auto" w:sz="6" w:space="0"/>
                    <w:right w:val="single" w:color="auto" w:sz="6" w:space="0"/>
                  </w:tcBorders>
                  <w:noWrap w:val="0"/>
                  <w:vAlign w:val="center"/>
                </w:tcPr>
                <w:p w14:paraId="729E3604">
                  <w:pPr>
                    <w:shd w:val="clear" w:color="auto" w:fill="auto"/>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符合</w:t>
                  </w:r>
                </w:p>
              </w:tc>
            </w:tr>
            <w:tr w14:paraId="1DA033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3548" w:type="pct"/>
                  <w:tcBorders>
                    <w:top w:val="single" w:color="auto" w:sz="6" w:space="0"/>
                    <w:left w:val="single" w:color="auto" w:sz="6" w:space="0"/>
                    <w:bottom w:val="single" w:color="auto" w:sz="6" w:space="0"/>
                    <w:right w:val="single" w:color="auto" w:sz="6" w:space="0"/>
                  </w:tcBorders>
                  <w:noWrap w:val="0"/>
                  <w:vAlign w:val="center"/>
                </w:tcPr>
                <w:p w14:paraId="4F72DFE4">
                  <w:pPr>
                    <w:pStyle w:val="34"/>
                    <w:shd w:val="clear" w:color="auto" w:fill="auto"/>
                    <w:adjustRightInd w:val="0"/>
                    <w:snapToGrid w:val="0"/>
                    <w:spacing w:line="240" w:lineRule="auto"/>
                    <w:ind w:firstLine="0" w:firstLineChars="0"/>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聚焦治污设施“三率”，提升综合治理效率：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按照与生产设备“同启同停”的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w:t>
                  </w:r>
                </w:p>
              </w:tc>
              <w:tc>
                <w:tcPr>
                  <w:tcW w:w="983" w:type="pct"/>
                  <w:tcBorders>
                    <w:top w:val="single" w:color="auto" w:sz="6" w:space="0"/>
                    <w:left w:val="single" w:color="auto" w:sz="6" w:space="0"/>
                    <w:bottom w:val="single" w:color="auto" w:sz="6" w:space="0"/>
                    <w:right w:val="single" w:color="auto" w:sz="6" w:space="0"/>
                  </w:tcBorders>
                  <w:noWrap w:val="0"/>
                  <w:vAlign w:val="center"/>
                </w:tcPr>
                <w:p w14:paraId="1A61F20C">
                  <w:pPr>
                    <w:pStyle w:val="34"/>
                    <w:shd w:val="clear" w:color="auto" w:fill="auto"/>
                    <w:adjustRightInd w:val="0"/>
                    <w:snapToGrid w:val="0"/>
                    <w:spacing w:line="240" w:lineRule="auto"/>
                    <w:ind w:firstLine="0" w:firstLineChars="0"/>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14:textFill>
                        <w14:solidFill>
                          <w14:schemeClr w14:val="tx1"/>
                        </w14:solidFill>
                      </w14:textFill>
                    </w:rPr>
                    <w:t>设置密闭喷漆房，</w:t>
                  </w:r>
                  <w:r>
                    <w:rPr>
                      <w:color w:val="000000" w:themeColor="text1"/>
                      <w:sz w:val="21"/>
                      <w:szCs w:val="21"/>
                      <w:highlight w:val="none"/>
                      <w14:textFill>
                        <w14:solidFill>
                          <w14:schemeClr w14:val="tx1"/>
                        </w14:solidFill>
                      </w14:textFill>
                    </w:rPr>
                    <w:t>废气治理设备与生产设备遵守</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先</w:t>
                  </w:r>
                  <w:r>
                    <w:rPr>
                      <w:color w:val="000000" w:themeColor="text1"/>
                      <w:sz w:val="21"/>
                      <w:szCs w:val="21"/>
                      <w:highlight w:val="none"/>
                      <w14:textFill>
                        <w14:solidFill>
                          <w14:schemeClr w14:val="tx1"/>
                        </w14:solidFill>
                      </w14:textFill>
                    </w:rPr>
                    <w:t>启</w:t>
                  </w:r>
                  <w:r>
                    <w:rPr>
                      <w:rFonts w:hint="eastAsia"/>
                      <w:color w:val="000000" w:themeColor="text1"/>
                      <w:sz w:val="21"/>
                      <w:szCs w:val="21"/>
                      <w:highlight w:val="none"/>
                      <w14:textFill>
                        <w14:solidFill>
                          <w14:schemeClr w14:val="tx1"/>
                        </w14:solidFill>
                      </w14:textFill>
                    </w:rPr>
                    <w:t>后</w:t>
                  </w:r>
                  <w:r>
                    <w:rPr>
                      <w:color w:val="000000" w:themeColor="text1"/>
                      <w:sz w:val="21"/>
                      <w:szCs w:val="21"/>
                      <w:highlight w:val="none"/>
                      <w14:textFill>
                        <w14:solidFill>
                          <w14:schemeClr w14:val="tx1"/>
                        </w14:solidFill>
                      </w14:textFill>
                    </w:rPr>
                    <w:t>停</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的原则，并定期维护保养，更换过滤吸附材料。</w:t>
                  </w:r>
                </w:p>
              </w:tc>
              <w:tc>
                <w:tcPr>
                  <w:tcW w:w="468" w:type="pct"/>
                  <w:tcBorders>
                    <w:top w:val="single" w:color="auto" w:sz="6" w:space="0"/>
                    <w:left w:val="single" w:color="auto" w:sz="6" w:space="0"/>
                    <w:bottom w:val="single" w:color="auto" w:sz="6" w:space="0"/>
                    <w:right w:val="single" w:color="auto" w:sz="6" w:space="0"/>
                  </w:tcBorders>
                  <w:noWrap w:val="0"/>
                  <w:vAlign w:val="center"/>
                </w:tcPr>
                <w:p w14:paraId="1F10097C">
                  <w:pPr>
                    <w:pStyle w:val="34"/>
                    <w:shd w:val="clear" w:color="auto" w:fill="auto"/>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14:paraId="09916E95">
            <w:pPr>
              <w:shd w:val="clear" w:color="auto" w:fill="auto"/>
              <w:spacing w:line="460" w:lineRule="exact"/>
              <w:ind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本项目有机废气从源头、过程、终端治理措施符合《2020年挥发性有机物治理攻坚方案》的相关要求。</w:t>
            </w:r>
          </w:p>
          <w:p w14:paraId="5F7BA518">
            <w:pPr>
              <w:shd w:val="clear" w:color="auto" w:fill="auto"/>
              <w:spacing w:line="460" w:lineRule="exact"/>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13、</w:t>
            </w:r>
            <w:r>
              <w:rPr>
                <w:rFonts w:hint="eastAsia"/>
                <w:b/>
                <w:bCs/>
                <w:color w:val="000000" w:themeColor="text1"/>
                <w:sz w:val="24"/>
                <w:szCs w:val="24"/>
                <w:lang w:val="en-US" w:eastAsia="zh-CN"/>
                <w14:textFill>
                  <w14:solidFill>
                    <w14:schemeClr w14:val="tx1"/>
                  </w14:solidFill>
                </w14:textFill>
              </w:rPr>
              <w:t>选址合理性分析</w:t>
            </w:r>
          </w:p>
          <w:p w14:paraId="76A36F73">
            <w:pPr>
              <w:pStyle w:val="11"/>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（1）与园区规划协调性角度分析</w:t>
            </w:r>
          </w:p>
          <w:p w14:paraId="7FC695E2">
            <w:pPr>
              <w:pStyle w:val="11"/>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本项目租赁重庆市霞艺汽车配件制造有限公司璧山区青杠街道龙青路59号进行建设，所在地属于璧山高新技术产业开发区青杠-来凤组团</w:t>
            </w:r>
            <w:r>
              <w:rPr>
                <w:rFonts w:hint="eastAsia"/>
                <w:color w:val="000000" w:themeColor="text1"/>
                <w:sz w:val="24"/>
                <w:szCs w:val="24"/>
                <w:highlight w:val="none"/>
                <w:lang w:val="en-US" w:eastAsia="zh-CN"/>
                <w14:textFill>
                  <w14:solidFill>
                    <w14:schemeClr w14:val="tx1"/>
                  </w14:solidFill>
                </w14:textFill>
              </w:rPr>
              <w:t>，项目用地属于工业用地。</w:t>
            </w:r>
          </w:p>
          <w:p w14:paraId="383CB22D">
            <w:pPr>
              <w:pStyle w:val="11"/>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项目周边交通较为便利，水、电、气、通信等基础设施齐备。本项目产品为摩托车零部件（灯壳、尾盖），属于C3752 摩托车零部件及配件制造，项目符合璧山高新技术产业开发区土地利用规划，与规划主导产业不冲突，符合璧山高新技术产业开发区规划及入园要求。因此，评价认为项目的选址合理。</w:t>
            </w:r>
          </w:p>
          <w:p w14:paraId="49D64B38">
            <w:pPr>
              <w:pStyle w:val="11"/>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（2）环境容量分析</w:t>
            </w:r>
          </w:p>
          <w:p w14:paraId="55A6F3CD">
            <w:pPr>
              <w:pStyle w:val="11"/>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w:t>
            </w:r>
            <w:r>
              <w:rPr>
                <w:rFonts w:hint="eastAsia"/>
                <w:color w:val="000000" w:themeColor="text1"/>
                <w:sz w:val="24"/>
                <w:szCs w:val="24"/>
                <w14:textFill>
                  <w14:solidFill>
                    <w14:schemeClr w14:val="tx1"/>
                  </w14:solidFill>
                </w14:textFill>
              </w:rPr>
              <w:t>重庆市璧山区人民政府2025年5月8日在官网发布的《璧山2025年1-4月国控和市控断面水质达到地表水Ⅲ类标准》可知</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地表水监测断面满足《地表水环境质量标准》</w:t>
            </w:r>
            <w:r>
              <w:rPr>
                <w:rFonts w:hint="default" w:ascii="Times New Roman" w:hAnsi="Times New Roman" w:cs="Times New Roman"/>
                <w:color w:val="000000" w:themeColor="text1"/>
                <w:sz w:val="24"/>
                <w:szCs w:val="24"/>
                <w:lang w:eastAsia="zh-CN"/>
                <w14:textFill>
                  <w14:solidFill>
                    <w14:schemeClr w14:val="tx1"/>
                  </w14:solidFill>
                </w14:textFill>
              </w:rPr>
              <w:t>Ⅳ</w:t>
            </w:r>
            <w:r>
              <w:rPr>
                <w:rFonts w:hint="eastAsia"/>
                <w:color w:val="000000" w:themeColor="text1"/>
                <w:sz w:val="24"/>
                <w:szCs w:val="24"/>
                <w:lang w:val="en-US" w:eastAsia="zh-CN"/>
                <w14:textFill>
                  <w14:solidFill>
                    <w14:schemeClr w14:val="tx1"/>
                  </w14:solidFill>
                </w14:textFill>
              </w:rPr>
              <w:t>类水域水质标准要求；根据《2024年重庆市生态环境状况公报》，璧山区PM</w:t>
            </w:r>
            <w:r>
              <w:rPr>
                <w:rFonts w:hint="eastAsia"/>
                <w:color w:val="000000" w:themeColor="text1"/>
                <w:sz w:val="24"/>
                <w:szCs w:val="24"/>
                <w:vertAlign w:val="subscript"/>
                <w:lang w:val="en-US" w:eastAsia="zh-CN"/>
                <w14:textFill>
                  <w14:solidFill>
                    <w14:schemeClr w14:val="tx1"/>
                  </w14:solidFill>
                </w14:textFill>
              </w:rPr>
              <w:t>2.5</w:t>
            </w:r>
            <w:r>
              <w:rPr>
                <w:rFonts w:hint="eastAsia"/>
                <w:color w:val="000000" w:themeColor="text1"/>
                <w:sz w:val="24"/>
                <w:szCs w:val="24"/>
                <w:lang w:val="en-US" w:eastAsia="zh-CN"/>
                <w14:textFill>
                  <w14:solidFill>
                    <w14:schemeClr w14:val="tx1"/>
                  </w14:solidFill>
                </w14:textFill>
              </w:rPr>
              <w:t>、SO</w:t>
            </w:r>
            <w:r>
              <w:rPr>
                <w:rFonts w:hint="eastAsia"/>
                <w:color w:val="000000" w:themeColor="text1"/>
                <w:sz w:val="24"/>
                <w:szCs w:val="24"/>
                <w:vertAlign w:val="sub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、NO</w:t>
            </w:r>
            <w:r>
              <w:rPr>
                <w:rFonts w:hint="eastAsia"/>
                <w:color w:val="000000" w:themeColor="text1"/>
                <w:sz w:val="24"/>
                <w:szCs w:val="24"/>
                <w:vertAlign w:val="subscript"/>
                <w:lang w:val="en-US" w:eastAsia="zh-CN"/>
                <w14:textFill>
                  <w14:solidFill>
                    <w14:schemeClr w14:val="tx1"/>
                  </w14:solidFill>
                </w14:textFill>
              </w:rPr>
              <w:t>2</w:t>
            </w:r>
            <w:r>
              <w:rPr>
                <w:rFonts w:hint="eastAsia"/>
                <w:color w:val="000000" w:themeColor="text1"/>
                <w:sz w:val="24"/>
                <w:szCs w:val="24"/>
                <w:lang w:val="en-US" w:eastAsia="zh-CN"/>
                <w14:textFill>
                  <w14:solidFill>
                    <w14:schemeClr w14:val="tx1"/>
                  </w14:solidFill>
                </w14:textFill>
              </w:rPr>
              <w:t>、PM</w:t>
            </w:r>
            <w:r>
              <w:rPr>
                <w:rFonts w:hint="eastAsia"/>
                <w:color w:val="000000" w:themeColor="text1"/>
                <w:sz w:val="24"/>
                <w:szCs w:val="24"/>
                <w:vertAlign w:val="subscript"/>
                <w:lang w:val="en-US" w:eastAsia="zh-CN"/>
                <w14:textFill>
                  <w14:solidFill>
                    <w14:schemeClr w14:val="tx1"/>
                  </w14:solidFill>
                </w14:textFill>
              </w:rPr>
              <w:t>10</w:t>
            </w:r>
            <w:r>
              <w:rPr>
                <w:rFonts w:hint="eastAsia"/>
                <w:color w:val="000000" w:themeColor="text1"/>
                <w:sz w:val="24"/>
                <w:szCs w:val="24"/>
                <w:lang w:val="en-US" w:eastAsia="zh-CN"/>
                <w14:textFill>
                  <w14:solidFill>
                    <w14:schemeClr w14:val="tx1"/>
                  </w14:solidFill>
                </w14:textFill>
              </w:rPr>
              <w:t>、O</w:t>
            </w:r>
            <w:r>
              <w:rPr>
                <w:rFonts w:hint="eastAsia"/>
                <w:color w:val="000000" w:themeColor="text1"/>
                <w:sz w:val="24"/>
                <w:szCs w:val="24"/>
                <w:vertAlign w:val="sub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和CO浓度满足《环境空气质量标准》（GB3095-2012）中二级标准要求，璧山区属于达标区；非甲烷总烃现状引用监测值满足河北省地方标准（参照）《环境空气质量非甲烷总烃限值》（DB13/1577-2012）标准限值要求。环境质量现状良好，对项目建设制约作用小。</w:t>
            </w:r>
          </w:p>
          <w:p w14:paraId="3315DB22">
            <w:pPr>
              <w:pStyle w:val="11"/>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（3）项目对外环境影响角度分析</w:t>
            </w:r>
          </w:p>
          <w:p w14:paraId="7FB6FAA2">
            <w:pPr>
              <w:pStyle w:val="2"/>
              <w:keepNext w:val="0"/>
              <w:keepLines w:val="0"/>
              <w:pageBreakBefore w:val="0"/>
              <w:widowControl w:val="0"/>
              <w:kinsoku/>
              <w:wordWrap/>
              <w:overflowPunct/>
              <w:topLinePunct w:val="0"/>
              <w:bidi w:val="0"/>
              <w:adjustRightInd w:val="0"/>
              <w:spacing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项目使用水性漆，据后文表2-</w:t>
            </w:r>
            <w:r>
              <w:rPr>
                <w:rFonts w:hint="eastAsia" w:ascii="Times New Roman" w:cs="Times New Roman"/>
                <w:color w:val="000000" w:themeColor="text1"/>
                <w:sz w:val="24"/>
                <w:szCs w:val="24"/>
                <w:lang w:val="en-US" w:eastAsia="zh-CN"/>
                <w14:textFill>
                  <w14:solidFill>
                    <w14:schemeClr w14:val="tx1"/>
                  </w14:solidFill>
                </w14:textFill>
              </w:rPr>
              <w:t>11</w:t>
            </w:r>
            <w:r>
              <w:rPr>
                <w:rFonts w:hint="default" w:ascii="Times New Roman" w:hAnsi="Times New Roman" w:cs="Times New Roman"/>
                <w:color w:val="000000" w:themeColor="text1"/>
                <w:sz w:val="24"/>
                <w:szCs w:val="24"/>
                <w:lang w:val="en-US" w:eastAsia="zh-CN"/>
                <w14:textFill>
                  <w14:solidFill>
                    <w14:schemeClr w14:val="tx1"/>
                  </w14:solidFill>
                </w14:textFill>
              </w:rPr>
              <w:t>分析，属于低挥发性有机化合物含量涂料，喷</w:t>
            </w:r>
            <w:r>
              <w:rPr>
                <w:rFonts w:hint="eastAsia" w:ascii="Times New Roman" w:cs="Times New Roman"/>
                <w:color w:val="000000" w:themeColor="text1"/>
                <w:sz w:val="24"/>
                <w:szCs w:val="24"/>
                <w:lang w:val="en-US" w:eastAsia="zh-CN"/>
                <w14:textFill>
                  <w14:solidFill>
                    <w14:schemeClr w14:val="tx1"/>
                  </w14:solidFill>
                </w14:textFill>
              </w:rPr>
              <w:t>涂</w:t>
            </w:r>
            <w:r>
              <w:rPr>
                <w:rFonts w:hint="default" w:ascii="Times New Roman" w:hAnsi="Times New Roman" w:cs="Times New Roman"/>
                <w:color w:val="000000" w:themeColor="text1"/>
                <w:sz w:val="24"/>
                <w:szCs w:val="24"/>
                <w:lang w:val="en-US" w:eastAsia="zh-CN"/>
                <w14:textFill>
                  <w14:solidFill>
                    <w14:schemeClr w14:val="tx1"/>
                  </w14:solidFill>
                </w14:textFill>
              </w:rPr>
              <w:t>过程中会产生挥发性有机物，营运期</w:t>
            </w:r>
            <w:r>
              <w:rPr>
                <w:rFonts w:hint="eastAsia" w:ascii="Times New Roman" w:cs="Times New Roman"/>
                <w:color w:val="000000" w:themeColor="text1"/>
                <w:sz w:val="24"/>
                <w:szCs w:val="24"/>
                <w:lang w:val="en-US" w:eastAsia="zh-CN"/>
                <w14:textFill>
                  <w14:solidFill>
                    <w14:schemeClr w14:val="tx1"/>
                  </w14:solidFill>
                </w14:textFill>
              </w:rPr>
              <w:t>喷涂</w:t>
            </w:r>
            <w:r>
              <w:rPr>
                <w:rFonts w:hint="default" w:ascii="Times New Roman" w:hAnsi="Times New Roman" w:cs="Times New Roman"/>
                <w:color w:val="000000" w:themeColor="text1"/>
                <w:sz w:val="24"/>
                <w:szCs w:val="24"/>
                <w:lang w:val="en-US" w:eastAsia="zh-CN"/>
                <w14:textFill>
                  <w14:solidFill>
                    <w14:schemeClr w14:val="tx1"/>
                  </w14:solidFill>
                </w14:textFill>
              </w:rPr>
              <w:t>废气经密闭抽排至一套</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cs="Times New Roman"/>
                <w:color w:val="000000" w:themeColor="text1"/>
                <w:sz w:val="24"/>
                <w:szCs w:val="24"/>
                <w:lang w:val="en-US" w:eastAsia="zh-CN"/>
                <w14:textFill>
                  <w14:solidFill>
                    <w14:schemeClr w14:val="tx1"/>
                  </w14:solidFill>
                </w14:textFill>
              </w:rPr>
              <w:t>水帘湿式漆雾净化</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cs="Times New Roman"/>
                <w:color w:val="000000" w:themeColor="text1"/>
                <w:sz w:val="24"/>
                <w:szCs w:val="24"/>
                <w:lang w:val="en-US" w:eastAsia="zh-CN"/>
                <w14:textFill>
                  <w14:solidFill>
                    <w14:schemeClr w14:val="tx1"/>
                  </w14:solidFill>
                </w14:textFill>
              </w:rPr>
              <w:t>高分子过滤盒+</w:t>
            </w:r>
            <w:r>
              <w:rPr>
                <w:rFonts w:hint="default" w:ascii="Times New Roman" w:hAnsi="Times New Roman" w:cs="Times New Roman"/>
                <w:color w:val="000000" w:themeColor="text1"/>
                <w:sz w:val="24"/>
                <w:szCs w:val="24"/>
                <w:lang w:val="en-US" w:eastAsia="zh-CN"/>
                <w14:textFill>
                  <w14:solidFill>
                    <w14:schemeClr w14:val="tx1"/>
                  </w14:solidFill>
                </w14:textFill>
              </w:rPr>
              <w:t>干式过滤</w:t>
            </w:r>
            <w:r>
              <w:rPr>
                <w:rFonts w:hint="eastAsia" w:ascii="Times New Roman" w:cs="Times New Roman"/>
                <w:color w:val="000000" w:themeColor="text1"/>
                <w:sz w:val="24"/>
                <w:szCs w:val="24"/>
                <w:lang w:val="en-US" w:eastAsia="zh-CN"/>
                <w14:textFill>
                  <w14:solidFill>
                    <w14:schemeClr w14:val="tx1"/>
                  </w14:solidFill>
                </w14:textFill>
              </w:rPr>
              <w:t>棉</w:t>
            </w:r>
            <w:r>
              <w:rPr>
                <w:rFonts w:hint="default" w:ascii="Times New Roman" w:hAnsi="Times New Roman" w:cs="Times New Roman"/>
                <w:color w:val="000000" w:themeColor="text1"/>
                <w:sz w:val="24"/>
                <w:szCs w:val="24"/>
                <w:lang w:val="en-US" w:eastAsia="zh-CN"/>
                <w14:textFill>
                  <w14:solidFill>
                    <w14:schemeClr w14:val="tx1"/>
                  </w14:solidFill>
                </w14:textFill>
              </w:rPr>
              <w:t>+二级活性炭吸附</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处理后，由1根15m高排气筒（DA00</w:t>
            </w:r>
            <w:r>
              <w:rPr>
                <w:rFonts w:hint="eastAsia" w:asci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lang w:val="en-US" w:eastAsia="zh-CN"/>
                <w14:textFill>
                  <w14:solidFill>
                    <w14:schemeClr w14:val="tx1"/>
                  </w14:solidFill>
                </w14:textFill>
              </w:rPr>
              <w:t>）有组织排放；除尘柜顶部设置过滤棉，</w:t>
            </w:r>
            <w:r>
              <w:rPr>
                <w:rFonts w:hint="eastAsia" w:ascii="Times New Roman" w:cs="Times New Roman"/>
                <w:color w:val="000000" w:themeColor="text1"/>
                <w:sz w:val="24"/>
                <w:szCs w:val="24"/>
                <w:lang w:val="en-US" w:eastAsia="zh-CN"/>
                <w14:textFill>
                  <w14:solidFill>
                    <w14:schemeClr w14:val="tx1"/>
                  </w14:solidFill>
                </w14:textFill>
              </w:rPr>
              <w:t>除尘废气</w:t>
            </w:r>
            <w:r>
              <w:rPr>
                <w:rFonts w:hint="default" w:ascii="Times New Roman" w:hAnsi="Times New Roman" w:cs="Times New Roman"/>
                <w:color w:val="000000" w:themeColor="text1"/>
                <w:sz w:val="24"/>
                <w:szCs w:val="24"/>
                <w:lang w:val="en-US" w:eastAsia="zh-CN"/>
                <w14:textFill>
                  <w14:solidFill>
                    <w14:schemeClr w14:val="tx1"/>
                  </w14:solidFill>
                </w14:textFill>
              </w:rPr>
              <w:t>过滤后无组织排放</w:t>
            </w:r>
            <w:r>
              <w:rPr>
                <w:rFonts w:hint="eastAsia" w:ascii="Times New Roman" w:cs="Times New Roman"/>
                <w:color w:val="000000" w:themeColor="text1"/>
                <w:sz w:val="24"/>
                <w:szCs w:val="24"/>
                <w:lang w:val="en-US" w:eastAsia="zh-CN"/>
                <w14:textFill>
                  <w14:solidFill>
                    <w14:schemeClr w14:val="tx1"/>
                  </w14:solidFill>
                </w14:textFill>
              </w:rPr>
              <w:t>；抛光废气产生量较小，加强车间通风，无组织排放；打磨废气产生量较小，加强车间通风，无组织排放天然气燃烧废气采用低氮燃烧技术，废气通过1根15m高排气筒（DA002）有组织排放；</w:t>
            </w:r>
            <w:r>
              <w:rPr>
                <w:rFonts w:hint="default"/>
                <w:color w:val="000000" w:themeColor="text1"/>
                <w:szCs w:val="21"/>
                <w:highlight w:val="none"/>
                <w14:textFill>
                  <w14:solidFill>
                    <w14:schemeClr w14:val="tx1"/>
                  </w14:solidFill>
                </w14:textFill>
              </w:rPr>
              <w:t>洗枪废水</w:t>
            </w:r>
            <w:r>
              <w:rPr>
                <w:rFonts w:hint="eastAsia"/>
                <w:color w:val="000000" w:themeColor="text1"/>
                <w:szCs w:val="21"/>
                <w:highlight w:val="none"/>
                <w:lang w:val="en-US" w:eastAsia="zh-CN"/>
                <w14:textFill>
                  <w14:solidFill>
                    <w14:schemeClr w14:val="tx1"/>
                  </w14:solidFill>
                </w14:textFill>
              </w:rPr>
              <w:t>回用于调漆；</w:t>
            </w:r>
            <w:r>
              <w:rPr>
                <w:rFonts w:hint="default"/>
                <w:color w:val="000000" w:themeColor="text1"/>
                <w:szCs w:val="21"/>
                <w:highlight w:val="none"/>
                <w14:textFill>
                  <w14:solidFill>
                    <w14:schemeClr w14:val="tx1"/>
                  </w14:solidFill>
                </w14:textFill>
              </w:rPr>
              <w:t>洗手废水经油水分离器预处理；</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水帘湿式漆雾净化废水经</w:t>
            </w:r>
            <w:r>
              <w:rPr>
                <w:rFonts w:hint="eastAsia" w:ascii="Times New Roman" w:cs="Times New Roman"/>
                <w:color w:val="000000" w:themeColor="text1"/>
                <w:kern w:val="0"/>
                <w:sz w:val="24"/>
                <w:szCs w:val="24"/>
                <w:lang w:val="en-US" w:eastAsia="zh-CN" w:bidi="ar-SA"/>
                <w14:textFill>
                  <w14:solidFill>
                    <w14:schemeClr w14:val="tx1"/>
                  </w14:solidFill>
                </w14:textFill>
              </w:rPr>
              <w:t>一体化生产废水处理站</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预处理；生活污水、</w:t>
            </w:r>
            <w:r>
              <w:rPr>
                <w:rFonts w:hint="eastAsia" w:ascii="Times New Roman" w:cs="Times New Roman"/>
                <w:color w:val="000000" w:themeColor="text1"/>
                <w:kern w:val="0"/>
                <w:sz w:val="24"/>
                <w:szCs w:val="24"/>
                <w:lang w:val="en-US" w:eastAsia="zh-CN" w:bidi="ar-SA"/>
                <w14:textFill>
                  <w14:solidFill>
                    <w14:schemeClr w14:val="tx1"/>
                  </w14:solidFill>
                </w14:textFill>
              </w:rPr>
              <w:t>洗手废水</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与</w:t>
            </w:r>
            <w:r>
              <w:rPr>
                <w:rFonts w:hint="eastAsia" w:ascii="Times New Roman" w:cs="Times New Roman"/>
                <w:color w:val="000000" w:themeColor="text1"/>
                <w:kern w:val="0"/>
                <w:sz w:val="24"/>
                <w:szCs w:val="24"/>
                <w:lang w:val="en-US" w:eastAsia="zh-CN" w:bidi="ar-SA"/>
                <w14:textFill>
                  <w14:solidFill>
                    <w14:schemeClr w14:val="tx1"/>
                  </w14:solidFill>
                </w14:textFill>
              </w:rPr>
              <w:t>一体化生产废水处理站</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废水一并经生化池处理达《污水综合排放标准》（GB8978-1996）三级标准后进入园区污水管网，</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再由青杠污水处理厂深度处理，COD、BOD</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、NH</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-N、TP达《地表水环境质量标准》（GB3838-2002）IV类标准，其余污染物达《城镇污水处理厂污染物排放标准》（GB18918-2002）一级A标准排入璧南河</w:t>
            </w:r>
            <w:r>
              <w:rPr>
                <w:rFonts w:hint="default" w:ascii="Times New Roman" w:hAnsi="Times New Roman" w:cs="Times New Roman"/>
                <w:color w:val="000000" w:themeColor="text1"/>
                <w:sz w:val="24"/>
                <w:szCs w:val="24"/>
                <w:highlight w:val="none"/>
                <w14:textFill>
                  <w14:solidFill>
                    <w14:schemeClr w14:val="tx1"/>
                  </w14:solidFill>
                </w14:textFill>
              </w:rPr>
              <w:t>。</w:t>
            </w:r>
          </w:p>
          <w:p w14:paraId="04A530A1">
            <w:pPr>
              <w:pStyle w:val="11"/>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项目在采取有效防治措施，确保污染物达标</w:t>
            </w:r>
            <w:r>
              <w:rPr>
                <w:rFonts w:hint="eastAsia"/>
                <w:color w:val="000000" w:themeColor="text1"/>
                <w:sz w:val="24"/>
                <w:szCs w:val="24"/>
                <w:lang w:val="en-US" w:eastAsia="zh-CN"/>
                <w14:textFill>
                  <w14:solidFill>
                    <w14:schemeClr w14:val="tx1"/>
                  </w14:solidFill>
                </w14:textFill>
              </w:rPr>
              <w:t>排放的前提下，不会改变区域功能区划。项目对外环境影响小。</w:t>
            </w:r>
          </w:p>
          <w:p w14:paraId="67D69046">
            <w:pPr>
              <w:pStyle w:val="11"/>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（4）外环境角度分析</w:t>
            </w:r>
          </w:p>
          <w:p w14:paraId="33EF63E2">
            <w:pPr>
              <w:pStyle w:val="11"/>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根据现场踏勘和环境现状调查，项目评价范围内不涉及自然保护区、风景名</w:t>
            </w:r>
          </w:p>
          <w:p w14:paraId="26A39C77">
            <w:pPr>
              <w:pStyle w:val="11"/>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胜区、生态功能保护区、森林公园、地质公园、世界遗产地、国家重点文物保护单位等敏感区域。项目周边为工业企业、散户居民、清明村安置房，项目产生的各种污染物经有效措施治理后均能实现达标排放，对周边环境保护目标影响较小。</w:t>
            </w:r>
          </w:p>
          <w:p w14:paraId="1D61B087">
            <w:pPr>
              <w:pStyle w:val="11"/>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综上所述：项目运营期产生的污染物对周边环境有一定影响，但都在可接受范围内。</w:t>
            </w:r>
          </w:p>
          <w:p w14:paraId="7247A7B1">
            <w:pPr>
              <w:pStyle w:val="11"/>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（5）综合结论</w:t>
            </w:r>
          </w:p>
          <w:p w14:paraId="6E0065B4">
            <w:pPr>
              <w:pStyle w:val="11"/>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位于璧山高新技术产业开发区青杠-来凤组团，项目建设符合园区规划要求，符合《重庆市工业项目环境准入规定（修订）》要求。所在区域环境空气、地表水环境有环境容量，项目污染物达标排放。项目建成投产后，评价区域环境质量基本维持现状，仍能满足环境质量标准及功能区划要求。评价认为项目选址可行。</w:t>
            </w:r>
          </w:p>
        </w:tc>
      </w:tr>
    </w:tbl>
    <w:p w14:paraId="5B455E7A">
      <w:pPr>
        <w:pStyle w:val="19"/>
        <w:jc w:val="center"/>
        <w:outlineLvl w:val="0"/>
        <w:rPr>
          <w:rFonts w:ascii="Times New Roman" w:hAnsi="Times New Roman" w:eastAsia="黑体"/>
          <w:snapToGrid w:val="0"/>
          <w:color w:val="000000" w:themeColor="text1"/>
          <w:sz w:val="30"/>
          <w:szCs w:val="30"/>
          <w14:textFill>
            <w14:solidFill>
              <w14:schemeClr w14:val="tx1"/>
            </w14:solidFill>
          </w14:textFill>
        </w:rPr>
      </w:pPr>
    </w:p>
    <w:p w14:paraId="1F75CFD6">
      <w:pPr>
        <w:pStyle w:val="19"/>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二、建设项目工程分析</w:t>
      </w:r>
    </w:p>
    <w:tbl>
      <w:tblPr>
        <w:tblStyle w:val="21"/>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9"/>
        <w:gridCol w:w="8542"/>
      </w:tblGrid>
      <w:tr w14:paraId="70C435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8" w:hRule="atLeast"/>
          <w:jc w:val="center"/>
        </w:trPr>
        <w:tc>
          <w:tcPr>
            <w:tcW w:w="529" w:type="dxa"/>
            <w:vAlign w:val="center"/>
          </w:tcPr>
          <w:p w14:paraId="06161014">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00" w:themeColor="text1"/>
                <w:sz w:val="21"/>
                <w:szCs w:val="21"/>
                <w14:textFill>
                  <w14:solidFill>
                    <w14:schemeClr w14:val="tx1"/>
                  </w14:solidFill>
                </w14:textFill>
              </w:rPr>
            </w:pPr>
            <w:r>
              <w:rPr>
                <w:rFonts w:hint="default" w:ascii="Times New Roman" w:hAnsi="Times New Roman"/>
                <w:color w:val="000000" w:themeColor="text1"/>
                <w:sz w:val="24"/>
                <w:szCs w:val="24"/>
                <w14:textFill>
                  <w14:solidFill>
                    <w14:schemeClr w14:val="tx1"/>
                  </w14:solidFill>
                </w14:textFill>
              </w:rPr>
              <w:t>建设内容</w:t>
            </w:r>
          </w:p>
        </w:tc>
        <w:tc>
          <w:tcPr>
            <w:tcW w:w="8542" w:type="dxa"/>
            <w:vAlign w:val="top"/>
          </w:tcPr>
          <w:p w14:paraId="23F1FF10">
            <w:pPr>
              <w:keepNext w:val="0"/>
              <w:keepLines w:val="0"/>
              <w:suppressLineNumbers w:val="0"/>
              <w:snapToGrid w:val="0"/>
              <w:spacing w:before="0" w:beforeAutospacing="0" w:after="0" w:afterAutospacing="0" w:line="360" w:lineRule="auto"/>
              <w:ind w:left="0" w:right="0"/>
              <w:rPr>
                <w:rFonts w:hint="default"/>
                <w:b/>
                <w:bCs/>
                <w:color w:val="000000" w:themeColor="text1"/>
                <w:sz w:val="24"/>
                <w:szCs w:val="24"/>
                <w14:textFill>
                  <w14:solidFill>
                    <w14:schemeClr w14:val="tx1"/>
                  </w14:solidFill>
                </w14:textFill>
              </w:rPr>
            </w:pPr>
            <w:r>
              <w:rPr>
                <w:rFonts w:hint="default"/>
                <w:b/>
                <w:color w:val="000000" w:themeColor="text1"/>
                <w:sz w:val="24"/>
                <w:szCs w:val="24"/>
                <w14:textFill>
                  <w14:solidFill>
                    <w14:schemeClr w14:val="tx1"/>
                  </w14:solidFill>
                </w14:textFill>
              </w:rPr>
              <w:t>1、</w:t>
            </w:r>
            <w:r>
              <w:rPr>
                <w:rFonts w:hint="default"/>
                <w:b/>
                <w:bCs/>
                <w:color w:val="000000" w:themeColor="text1"/>
                <w:sz w:val="24"/>
                <w:szCs w:val="24"/>
                <w14:textFill>
                  <w14:solidFill>
                    <w14:schemeClr w14:val="tx1"/>
                  </w14:solidFill>
                </w14:textFill>
              </w:rPr>
              <w:t>项目基本情况</w:t>
            </w:r>
          </w:p>
          <w:p w14:paraId="0CA82363">
            <w:pPr>
              <w:keepNext w:val="0"/>
              <w:keepLines w:val="0"/>
              <w:suppressLineNumbers w:val="0"/>
              <w:spacing w:before="0" w:beforeAutospacing="0" w:after="0" w:afterAutospacing="0" w:line="360" w:lineRule="auto"/>
              <w:ind w:left="0" w:right="0" w:firstLine="480" w:firstLineChars="200"/>
              <w:rPr>
                <w:rFonts w:hint="eastAsia"/>
                <w:bCs/>
                <w:color w:val="000000" w:themeColor="text1"/>
                <w:sz w:val="24"/>
                <w:szCs w:val="24"/>
                <w14:textFill>
                  <w14:solidFill>
                    <w14:schemeClr w14:val="tx1"/>
                  </w14:solidFill>
                </w14:textFill>
              </w:rPr>
            </w:pP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1</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项目由来</w:t>
            </w:r>
          </w:p>
          <w:p w14:paraId="18861888">
            <w:pPr>
              <w:keepNext w:val="0"/>
              <w:keepLines w:val="0"/>
              <w:suppressLineNumbers w:val="0"/>
              <w:spacing w:before="0" w:beforeAutospacing="0" w:after="0" w:afterAutospacing="0" w:line="360" w:lineRule="auto"/>
              <w:ind w:left="0" w:right="0" w:firstLine="480" w:firstLineChars="200"/>
              <w:rPr>
                <w:rFonts w:hint="default"/>
                <w:bCs/>
                <w:color w:val="000000" w:themeColor="text1"/>
                <w:sz w:val="24"/>
                <w:szCs w:val="24"/>
                <w14:textFill>
                  <w14:solidFill>
                    <w14:schemeClr w14:val="tx1"/>
                  </w14:solidFill>
                </w14:textFill>
              </w:rPr>
            </w:pPr>
            <w:r>
              <w:rPr>
                <w:rFonts w:hint="eastAsia"/>
                <w:bCs/>
                <w:color w:val="000000" w:themeColor="text1"/>
                <w:sz w:val="24"/>
                <w:szCs w:val="24"/>
                <w:lang w:eastAsia="zh-CN"/>
                <w14:textFill>
                  <w14:solidFill>
                    <w14:schemeClr w14:val="tx1"/>
                  </w14:solidFill>
                </w14:textFill>
              </w:rPr>
              <w:t>重庆三秋禾科技有限公司</w:t>
            </w:r>
            <w:r>
              <w:rPr>
                <w:rFonts w:hint="default"/>
                <w:bCs/>
                <w:color w:val="000000" w:themeColor="text1"/>
                <w:sz w:val="24"/>
                <w:szCs w:val="24"/>
                <w14:textFill>
                  <w14:solidFill>
                    <w14:schemeClr w14:val="tx1"/>
                  </w14:solidFill>
                </w14:textFill>
              </w:rPr>
              <w:t>（以下简称</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建设单位</w:t>
            </w:r>
            <w:r>
              <w:rPr>
                <w:rFonts w:hint="default"/>
                <w:bCs/>
                <w:color w:val="000000" w:themeColor="text1"/>
                <w:sz w:val="24"/>
                <w:szCs w:val="24"/>
                <w14:textFill>
                  <w14:solidFill>
                    <w14:schemeClr w14:val="tx1"/>
                  </w14:solidFill>
                </w14:textFill>
              </w:rPr>
              <w:t>）位于</w:t>
            </w:r>
            <w:r>
              <w:rPr>
                <w:rFonts w:hint="eastAsia"/>
                <w:bCs/>
                <w:color w:val="000000" w:themeColor="text1"/>
                <w:sz w:val="24"/>
                <w:szCs w:val="24"/>
                <w:lang w:eastAsia="zh-CN"/>
                <w14:textFill>
                  <w14:solidFill>
                    <w14:schemeClr w14:val="tx1"/>
                  </w14:solidFill>
                </w14:textFill>
              </w:rPr>
              <w:t>璧山高新技术产业开发区青杠-来凤组团</w:t>
            </w:r>
            <w:r>
              <w:rPr>
                <w:rFonts w:hint="eastAsia"/>
                <w:bCs/>
                <w:color w:val="000000" w:themeColor="text1"/>
                <w:sz w:val="24"/>
                <w:szCs w:val="24"/>
                <w14:textFill>
                  <w14:solidFill>
                    <w14:schemeClr w14:val="tx1"/>
                  </w14:solidFill>
                </w14:textFill>
              </w:rPr>
              <w:t>，拟</w:t>
            </w:r>
            <w:r>
              <w:rPr>
                <w:rFonts w:hint="default"/>
                <w:bCs/>
                <w:color w:val="000000" w:themeColor="text1"/>
                <w:sz w:val="24"/>
                <w:szCs w:val="24"/>
                <w14:textFill>
                  <w14:solidFill>
                    <w14:schemeClr w14:val="tx1"/>
                  </w14:solidFill>
                </w14:textFill>
              </w:rPr>
              <w:t>投资</w:t>
            </w:r>
            <w:r>
              <w:rPr>
                <w:rFonts w:hint="eastAsia"/>
                <w:bCs/>
                <w:color w:val="000000" w:themeColor="text1"/>
                <w:sz w:val="24"/>
                <w:szCs w:val="24"/>
                <w:lang w:val="en-US" w:eastAsia="zh-CN"/>
                <w14:textFill>
                  <w14:solidFill>
                    <w14:schemeClr w14:val="tx1"/>
                  </w14:solidFill>
                </w14:textFill>
              </w:rPr>
              <w:t>500</w:t>
            </w:r>
            <w:r>
              <w:rPr>
                <w:rFonts w:hint="eastAsia"/>
                <w:bCs/>
                <w:color w:val="000000" w:themeColor="text1"/>
                <w:sz w:val="24"/>
                <w:szCs w:val="24"/>
                <w14:textFill>
                  <w14:solidFill>
                    <w14:schemeClr w14:val="tx1"/>
                  </w14:solidFill>
                </w14:textFill>
              </w:rPr>
              <w:t>万元</w:t>
            </w:r>
            <w:r>
              <w:rPr>
                <w:rFonts w:hint="default"/>
                <w:bCs/>
                <w:color w:val="000000" w:themeColor="text1"/>
                <w:sz w:val="24"/>
                <w:szCs w:val="24"/>
                <w14:textFill>
                  <w14:solidFill>
                    <w14:schemeClr w14:val="tx1"/>
                  </w14:solidFill>
                </w14:textFill>
              </w:rPr>
              <w:t>建设</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14:textFill>
                  <w14:solidFill>
                    <w14:schemeClr w14:val="tx1"/>
                  </w14:solidFill>
                </w14:textFill>
              </w:rPr>
              <w:t>重庆三秋禾科技有限公司年产350万件摩托车配件制造项目</w:t>
            </w:r>
            <w:r>
              <w:rPr>
                <w:rFonts w:hint="eastAsia"/>
                <w:bCs/>
                <w:color w:val="000000" w:themeColor="text1"/>
                <w:sz w:val="24"/>
                <w:szCs w:val="24"/>
                <w:lang w:eastAsia="zh-CN"/>
                <w14:textFill>
                  <w14:solidFill>
                    <w14:schemeClr w14:val="tx1"/>
                  </w14:solidFill>
                </w14:textFill>
              </w:rPr>
              <w:t>”</w:t>
            </w:r>
            <w:r>
              <w:rPr>
                <w:rFonts w:hint="default"/>
                <w:bCs/>
                <w:color w:val="000000" w:themeColor="text1"/>
                <w:sz w:val="24"/>
                <w:szCs w:val="24"/>
                <w14:textFill>
                  <w14:solidFill>
                    <w14:schemeClr w14:val="tx1"/>
                  </w14:solidFill>
                </w14:textFill>
              </w:rPr>
              <w:t>（以下简称</w:t>
            </w:r>
            <w:r>
              <w:rPr>
                <w:rFonts w:hint="eastAsia"/>
                <w:bCs/>
                <w:color w:val="000000" w:themeColor="text1"/>
                <w:sz w:val="24"/>
                <w:szCs w:val="24"/>
                <w:lang w:eastAsia="zh-CN"/>
                <w14:textFill>
                  <w14:solidFill>
                    <w14:schemeClr w14:val="tx1"/>
                  </w14:solidFill>
                </w14:textFill>
              </w:rPr>
              <w:t>“</w:t>
            </w:r>
            <w:r>
              <w:rPr>
                <w:rFonts w:hint="default"/>
                <w:bCs/>
                <w:color w:val="000000" w:themeColor="text1"/>
                <w:sz w:val="24"/>
                <w:szCs w:val="24"/>
                <w14:textFill>
                  <w14:solidFill>
                    <w14:schemeClr w14:val="tx1"/>
                  </w14:solidFill>
                </w14:textFill>
              </w:rPr>
              <w:t>项目</w:t>
            </w:r>
            <w:r>
              <w:rPr>
                <w:rFonts w:hint="eastAsia"/>
                <w:bCs/>
                <w:color w:val="000000" w:themeColor="text1"/>
                <w:sz w:val="24"/>
                <w:szCs w:val="24"/>
                <w:lang w:eastAsia="zh-CN"/>
                <w14:textFill>
                  <w14:solidFill>
                    <w14:schemeClr w14:val="tx1"/>
                  </w14:solidFill>
                </w14:textFill>
              </w:rPr>
              <w:t>”</w:t>
            </w:r>
            <w:r>
              <w:rPr>
                <w:rFonts w:hint="default"/>
                <w:bCs/>
                <w:color w:val="000000" w:themeColor="text1"/>
                <w:sz w:val="24"/>
                <w:szCs w:val="24"/>
                <w14:textFill>
                  <w14:solidFill>
                    <w14:schemeClr w14:val="tx1"/>
                  </w14:solidFill>
                </w14:textFill>
              </w:rPr>
              <w:t>），项目租用厂房面积2645.57平方米，新建2条摩托车配件喷涂生产线，购置喷涂生产线2条等其他辅助设备，预计建成后达到年产摩托车配件350万件。本项目建设单位取得</w:t>
            </w:r>
            <w:r>
              <w:rPr>
                <w:rFonts w:hint="eastAsia"/>
                <w:bCs/>
                <w:color w:val="000000" w:themeColor="text1"/>
                <w:sz w:val="24"/>
                <w:szCs w:val="24"/>
                <w14:textFill>
                  <w14:solidFill>
                    <w14:schemeClr w14:val="tx1"/>
                  </w14:solidFill>
                </w14:textFill>
              </w:rPr>
              <w:t>重庆市</w:t>
            </w:r>
            <w:r>
              <w:rPr>
                <w:rFonts w:hint="eastAsia"/>
                <w:bCs/>
                <w:color w:val="000000" w:themeColor="text1"/>
                <w:sz w:val="24"/>
                <w:szCs w:val="24"/>
                <w:lang w:val="en-US" w:eastAsia="zh-CN"/>
                <w14:textFill>
                  <w14:solidFill>
                    <w14:schemeClr w14:val="tx1"/>
                  </w14:solidFill>
                </w14:textFill>
              </w:rPr>
              <w:t>璧山</w:t>
            </w:r>
            <w:r>
              <w:rPr>
                <w:rFonts w:hint="eastAsia"/>
                <w:bCs/>
                <w:color w:val="000000" w:themeColor="text1"/>
                <w:sz w:val="24"/>
                <w:szCs w:val="24"/>
                <w14:textFill>
                  <w14:solidFill>
                    <w14:schemeClr w14:val="tx1"/>
                  </w14:solidFill>
                </w14:textFill>
              </w:rPr>
              <w:t>区</w:t>
            </w:r>
            <w:r>
              <w:rPr>
                <w:rFonts w:hint="eastAsia"/>
                <w:bCs/>
                <w:color w:val="000000" w:themeColor="text1"/>
                <w:sz w:val="24"/>
                <w:szCs w:val="24"/>
                <w:lang w:val="en-US" w:eastAsia="zh-CN"/>
                <w14:textFill>
                  <w14:solidFill>
                    <w14:schemeClr w14:val="tx1"/>
                  </w14:solidFill>
                </w14:textFill>
              </w:rPr>
              <w:t>发展</w:t>
            </w:r>
            <w:r>
              <w:rPr>
                <w:rFonts w:hint="eastAsia"/>
                <w:bCs/>
                <w:color w:val="000000" w:themeColor="text1"/>
                <w:sz w:val="24"/>
                <w:szCs w:val="24"/>
                <w14:textFill>
                  <w14:solidFill>
                    <w14:schemeClr w14:val="tx1"/>
                  </w14:solidFill>
                </w14:textFill>
              </w:rPr>
              <w:t>改革委</w:t>
            </w:r>
            <w:r>
              <w:rPr>
                <w:rFonts w:hint="default"/>
                <w:bCs/>
                <w:color w:val="000000" w:themeColor="text1"/>
                <w:sz w:val="24"/>
                <w:szCs w:val="24"/>
                <w14:textFill>
                  <w14:solidFill>
                    <w14:schemeClr w14:val="tx1"/>
                  </w14:solidFill>
                </w14:textFill>
              </w:rPr>
              <w:t>核发的投资备案证（代码：</w:t>
            </w:r>
            <w:r>
              <w:rPr>
                <w:rFonts w:hint="eastAsia"/>
                <w:bCs/>
                <w:color w:val="000000" w:themeColor="text1"/>
                <w:sz w:val="24"/>
                <w:szCs w:val="24"/>
                <w:lang w:eastAsia="zh-CN"/>
                <w14:textFill>
                  <w14:solidFill>
                    <w14:schemeClr w14:val="tx1"/>
                  </w14:solidFill>
                </w14:textFill>
              </w:rPr>
              <w:t>2506-500120-04-01-767222</w:t>
            </w:r>
            <w:r>
              <w:rPr>
                <w:rFonts w:hint="default"/>
                <w:bCs/>
                <w:color w:val="000000" w:themeColor="text1"/>
                <w:sz w:val="24"/>
                <w:szCs w:val="24"/>
                <w14:textFill>
                  <w14:solidFill>
                    <w14:schemeClr w14:val="tx1"/>
                  </w14:solidFill>
                </w14:textFill>
              </w:rPr>
              <w:t>）。</w:t>
            </w:r>
          </w:p>
          <w:p w14:paraId="5E1AA164">
            <w:pPr>
              <w:keepNext w:val="0"/>
              <w:keepLines w:val="0"/>
              <w:suppressLineNumbers w:val="0"/>
              <w:spacing w:before="0" w:beforeAutospacing="0" w:after="0" w:afterAutospacing="0" w:line="360" w:lineRule="auto"/>
              <w:ind w:left="0" w:right="0" w:firstLine="480" w:firstLineChars="200"/>
              <w:rPr>
                <w:rFonts w:hint="default"/>
                <w:bCs/>
                <w:snapToGrid w:val="0"/>
                <w:color w:val="000000" w:themeColor="text1"/>
                <w:kern w:val="0"/>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根据《中华人民共和国环境保护法》《中华人民共和国环境影响评价法》《建设项目环境保护管理条例》（国务院令第682号）等法律法规的相关要求，</w:t>
            </w:r>
            <w:r>
              <w:rPr>
                <w:rFonts w:hint="eastAsia"/>
                <w:bCs/>
                <w:color w:val="000000" w:themeColor="text1"/>
                <w:sz w:val="24"/>
                <w:szCs w:val="24"/>
                <w:lang w:val="en-US" w:eastAsia="zh-CN"/>
                <w14:textFill>
                  <w14:solidFill>
                    <w14:schemeClr w14:val="tx1"/>
                  </w14:solidFill>
                </w14:textFill>
              </w:rPr>
              <w:t>本</w:t>
            </w:r>
            <w:r>
              <w:rPr>
                <w:rFonts w:hint="default"/>
                <w:bCs/>
                <w:color w:val="000000" w:themeColor="text1"/>
                <w:sz w:val="24"/>
                <w:szCs w:val="24"/>
                <w14:textFill>
                  <w14:solidFill>
                    <w14:schemeClr w14:val="tx1"/>
                  </w14:solidFill>
                </w14:textFill>
              </w:rPr>
              <w:t>项目应开展环境影响评价。根据《建设项目环境影响评价分类管理名录》（2021年版），</w:t>
            </w:r>
            <w:r>
              <w:rPr>
                <w:rFonts w:hint="eastAsia"/>
                <w:bCs/>
                <w:color w:val="000000" w:themeColor="text1"/>
                <w:sz w:val="24"/>
                <w:szCs w:val="24"/>
                <w:lang w:val="en-US" w:eastAsia="zh-CN"/>
                <w14:textFill>
                  <w14:solidFill>
                    <w14:schemeClr w14:val="tx1"/>
                  </w14:solidFill>
                </w14:textFill>
              </w:rPr>
              <w:t>本</w:t>
            </w:r>
            <w:r>
              <w:rPr>
                <w:rFonts w:hint="default"/>
                <w:bCs/>
                <w:color w:val="000000" w:themeColor="text1"/>
                <w:sz w:val="24"/>
                <w:szCs w:val="24"/>
                <w14:textFill>
                  <w14:solidFill>
                    <w14:schemeClr w14:val="tx1"/>
                  </w14:solidFill>
                </w14:textFill>
              </w:rPr>
              <w:t>项目属于</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铁路、船舶、航空航天和其他运输设备制造业 37</w:t>
            </w:r>
            <w:r>
              <w:rPr>
                <w:rFonts w:hint="eastAsia"/>
                <w:bCs/>
                <w:color w:val="000000" w:themeColor="text1"/>
                <w:sz w:val="24"/>
                <w:szCs w:val="24"/>
                <w:lang w:eastAsia="zh-CN"/>
                <w14:textFill>
                  <w14:solidFill>
                    <w14:schemeClr w14:val="tx1"/>
                  </w14:solidFill>
                </w14:textFill>
              </w:rPr>
              <w:t>”</w:t>
            </w:r>
            <w:r>
              <w:rPr>
                <w:rFonts w:hint="default"/>
                <w:bCs/>
                <w:color w:val="000000" w:themeColor="text1"/>
                <w:sz w:val="24"/>
                <w:szCs w:val="24"/>
                <w14:textFill>
                  <w14:solidFill>
                    <w14:schemeClr w14:val="tx1"/>
                  </w14:solidFill>
                </w14:textFill>
              </w:rPr>
              <w:t>中</w:t>
            </w:r>
            <w:r>
              <w:rPr>
                <w:rFonts w:hint="eastAsia"/>
                <w:bCs/>
                <w:color w:val="000000" w:themeColor="text1"/>
                <w:sz w:val="24"/>
                <w:szCs w:val="24"/>
                <w:lang w:eastAsia="zh-CN"/>
                <w14:textFill>
                  <w14:solidFill>
                    <w14:schemeClr w14:val="tx1"/>
                  </w14:solidFill>
                </w14:textFill>
              </w:rPr>
              <w:t>“</w:t>
            </w:r>
            <w:r>
              <w:rPr>
                <w:rFonts w:hint="eastAsia" w:eastAsiaTheme="minorEastAsia"/>
                <w:color w:val="000000" w:themeColor="text1"/>
                <w:sz w:val="24"/>
                <w:szCs w:val="24"/>
                <w14:textFill>
                  <w14:solidFill>
                    <w14:schemeClr w14:val="tx1"/>
                  </w14:solidFill>
                </w14:textFill>
              </w:rPr>
              <w:t>摩托车制造 375</w:t>
            </w:r>
            <w:r>
              <w:rPr>
                <w:rFonts w:hint="eastAsia"/>
                <w:bCs/>
                <w:color w:val="000000" w:themeColor="text1"/>
                <w:sz w:val="24"/>
                <w:szCs w:val="24"/>
                <w:lang w:eastAsia="zh-CN"/>
                <w14:textFill>
                  <w14:solidFill>
                    <w14:schemeClr w14:val="tx1"/>
                  </w14:solidFill>
                </w14:textFill>
              </w:rPr>
              <w:t>”</w:t>
            </w:r>
            <w:r>
              <w:rPr>
                <w:rFonts w:hint="default"/>
                <w:bCs/>
                <w:color w:val="000000" w:themeColor="text1"/>
                <w:sz w:val="24"/>
                <w:szCs w:val="24"/>
                <w14:textFill>
                  <w14:solidFill>
                    <w14:schemeClr w14:val="tx1"/>
                  </w14:solidFill>
                </w14:textFill>
              </w:rPr>
              <w:t>类，应编制环境影响报告表。受</w:t>
            </w:r>
            <w:r>
              <w:rPr>
                <w:rFonts w:hint="eastAsia"/>
                <w:bCs/>
                <w:color w:val="000000" w:themeColor="text1"/>
                <w:sz w:val="24"/>
                <w:szCs w:val="24"/>
                <w:lang w:eastAsia="zh-CN"/>
                <w14:textFill>
                  <w14:solidFill>
                    <w14:schemeClr w14:val="tx1"/>
                  </w14:solidFill>
                </w14:textFill>
              </w:rPr>
              <w:t>重庆三秋禾科技有限公司</w:t>
            </w:r>
            <w:r>
              <w:rPr>
                <w:rFonts w:hint="default"/>
                <w:bCs/>
                <w:color w:val="000000" w:themeColor="text1"/>
                <w:sz w:val="24"/>
                <w:szCs w:val="24"/>
                <w14:textFill>
                  <w14:solidFill>
                    <w14:schemeClr w14:val="tx1"/>
                  </w14:solidFill>
                </w14:textFill>
              </w:rPr>
              <w:t>委托，我公司承担了该项目的环境影响评价工作。接受委托后，我公司立即组织技术人员进行了现场</w:t>
            </w:r>
            <w:r>
              <w:rPr>
                <w:rFonts w:hint="eastAsia"/>
                <w:bCs/>
                <w:color w:val="000000" w:themeColor="text1"/>
                <w:sz w:val="24"/>
                <w:szCs w:val="24"/>
                <w:lang w:val="en-US" w:eastAsia="zh-CN"/>
                <w14:textFill>
                  <w14:solidFill>
                    <w14:schemeClr w14:val="tx1"/>
                  </w14:solidFill>
                </w14:textFill>
              </w:rPr>
              <w:t>勘查</w:t>
            </w:r>
            <w:r>
              <w:rPr>
                <w:rFonts w:hint="default"/>
                <w:bCs/>
                <w:color w:val="000000" w:themeColor="text1"/>
                <w:sz w:val="24"/>
                <w:szCs w:val="24"/>
                <w14:textFill>
                  <w14:solidFill>
                    <w14:schemeClr w14:val="tx1"/>
                  </w14:solidFill>
                </w14:textFill>
              </w:rPr>
              <w:t>，收集、整理该项目相关资料，充分了解项目所在地环境现状，在遵循环境影响评价技术导则和相关法律法规的基础上，编制完成了《</w:t>
            </w:r>
            <w:r>
              <w:rPr>
                <w:rFonts w:hint="eastAsia"/>
                <w:bCs/>
                <w:color w:val="000000" w:themeColor="text1"/>
                <w:sz w:val="24"/>
                <w:szCs w:val="24"/>
                <w:lang w:eastAsia="zh-CN"/>
                <w14:textFill>
                  <w14:solidFill>
                    <w14:schemeClr w14:val="tx1"/>
                  </w14:solidFill>
                </w14:textFill>
              </w:rPr>
              <w:t>重庆三秋禾科技有限公司年产350万件摩托车配件制造项目</w:t>
            </w:r>
            <w:r>
              <w:rPr>
                <w:rFonts w:hint="default"/>
                <w:bCs/>
                <w:color w:val="000000" w:themeColor="text1"/>
                <w:sz w:val="24"/>
                <w:szCs w:val="24"/>
                <w14:textFill>
                  <w14:solidFill>
                    <w14:schemeClr w14:val="tx1"/>
                  </w14:solidFill>
                </w14:textFill>
              </w:rPr>
              <w:t>环境影响报告表》。通过审批后的报告表及其批复文件将成为指导本项目建设和环境管理的重要依据</w:t>
            </w:r>
            <w:r>
              <w:rPr>
                <w:rFonts w:hint="default"/>
                <w:color w:val="000000" w:themeColor="text1"/>
                <w:sz w:val="24"/>
                <w:szCs w:val="24"/>
                <w14:textFill>
                  <w14:solidFill>
                    <w14:schemeClr w14:val="tx1"/>
                  </w14:solidFill>
                </w14:textFill>
              </w:rPr>
              <w:t>。</w:t>
            </w:r>
          </w:p>
          <w:p w14:paraId="234DAE10">
            <w:pPr>
              <w:keepNext w:val="0"/>
              <w:keepLines w:val="0"/>
              <w:suppressLineNumbers w:val="0"/>
              <w:adjustRightInd w:val="0"/>
              <w:snapToGrid w:val="0"/>
              <w:spacing w:before="0" w:beforeAutospacing="0" w:after="0" w:afterAutospacing="0" w:line="360" w:lineRule="auto"/>
              <w:ind w:left="0" w:right="0" w:firstLine="480" w:firstLineChars="200"/>
              <w:rPr>
                <w:rFonts w:hint="default" w:eastAsia="宋体"/>
                <w:bCs/>
                <w:color w:val="000000" w:themeColor="text1"/>
                <w:sz w:val="24"/>
                <w:szCs w:val="24"/>
                <w:lang w:val="en-US" w:eastAsia="zh-CN"/>
                <w14:textFill>
                  <w14:solidFill>
                    <w14:schemeClr w14:val="tx1"/>
                  </w14:solidFill>
                </w14:textFill>
              </w:rPr>
            </w:pP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2</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项目基本情况</w:t>
            </w:r>
          </w:p>
          <w:p w14:paraId="5FEB3D3E">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项目名称：</w:t>
            </w:r>
            <w:r>
              <w:rPr>
                <w:rFonts w:hint="eastAsia"/>
                <w:bCs/>
                <w:color w:val="000000" w:themeColor="text1"/>
                <w:sz w:val="24"/>
                <w:szCs w:val="24"/>
                <w:lang w:eastAsia="zh-CN"/>
                <w14:textFill>
                  <w14:solidFill>
                    <w14:schemeClr w14:val="tx1"/>
                  </w14:solidFill>
                </w14:textFill>
              </w:rPr>
              <w:t>重庆三秋禾科技有限公司年产350万件摩托车配件制造项目</w:t>
            </w:r>
            <w:r>
              <w:rPr>
                <w:rFonts w:hint="default"/>
                <w:color w:val="000000" w:themeColor="text1"/>
                <w:sz w:val="24"/>
                <w:szCs w:val="24"/>
                <w14:textFill>
                  <w14:solidFill>
                    <w14:schemeClr w14:val="tx1"/>
                  </w14:solidFill>
                </w14:textFill>
              </w:rPr>
              <w:t>；</w:t>
            </w:r>
          </w:p>
          <w:p w14:paraId="0B1EAFE8">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建设单位：</w:t>
            </w:r>
            <w:r>
              <w:rPr>
                <w:rFonts w:hint="eastAsia"/>
                <w:bCs/>
                <w:color w:val="000000" w:themeColor="text1"/>
                <w:sz w:val="24"/>
                <w:szCs w:val="24"/>
                <w:lang w:eastAsia="zh-CN"/>
                <w14:textFill>
                  <w14:solidFill>
                    <w14:schemeClr w14:val="tx1"/>
                  </w14:solidFill>
                </w14:textFill>
              </w:rPr>
              <w:t>重庆三秋禾科技有限公司</w:t>
            </w:r>
            <w:r>
              <w:rPr>
                <w:rFonts w:hint="default"/>
                <w:bCs/>
                <w:color w:val="000000" w:themeColor="text1"/>
                <w:sz w:val="24"/>
                <w:szCs w:val="24"/>
                <w14:textFill>
                  <w14:solidFill>
                    <w14:schemeClr w14:val="tx1"/>
                  </w14:solidFill>
                </w14:textFill>
              </w:rPr>
              <w:t>；</w:t>
            </w:r>
          </w:p>
          <w:p w14:paraId="7343F181">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项目性质：新建；</w:t>
            </w:r>
          </w:p>
          <w:p w14:paraId="7DFB76C7">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建设地点：重庆市璧山区青杠街道龙青路59号</w:t>
            </w:r>
            <w:r>
              <w:rPr>
                <w:rFonts w:hint="default" w:ascii="Times New Roman" w:hAnsi="Times New Roman" w:cs="Times New Roman"/>
                <w:color w:val="000000" w:themeColor="text1"/>
                <w:sz w:val="24"/>
                <w:szCs w:val="24"/>
                <w14:textFill>
                  <w14:solidFill>
                    <w14:schemeClr w14:val="tx1"/>
                  </w14:solidFill>
                </w14:textFill>
              </w:rPr>
              <w:t>；</w:t>
            </w:r>
          </w:p>
          <w:p w14:paraId="32E0297C">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项目投资：建设总投资</w:t>
            </w:r>
            <w:r>
              <w:rPr>
                <w:rFonts w:hint="eastAsia"/>
                <w:bCs/>
                <w:color w:val="000000" w:themeColor="text1"/>
                <w:sz w:val="24"/>
                <w:szCs w:val="24"/>
                <w:lang w:val="en-US" w:eastAsia="zh-CN"/>
                <w14:textFill>
                  <w14:solidFill>
                    <w14:schemeClr w14:val="tx1"/>
                  </w14:solidFill>
                </w14:textFill>
              </w:rPr>
              <w:t>500</w:t>
            </w:r>
            <w:r>
              <w:rPr>
                <w:rFonts w:hint="default"/>
                <w:bCs/>
                <w:color w:val="000000" w:themeColor="text1"/>
                <w:sz w:val="24"/>
                <w:szCs w:val="24"/>
                <w14:textFill>
                  <w14:solidFill>
                    <w14:schemeClr w14:val="tx1"/>
                  </w14:solidFill>
                </w14:textFill>
              </w:rPr>
              <w:t>万元，其中环保投资</w:t>
            </w:r>
            <w:r>
              <w:rPr>
                <w:rFonts w:hint="eastAsia"/>
                <w:bCs/>
                <w:color w:val="000000" w:themeColor="text1"/>
                <w:sz w:val="24"/>
                <w:szCs w:val="24"/>
                <w:lang w:val="en-US" w:eastAsia="zh-CN"/>
                <w14:textFill>
                  <w14:solidFill>
                    <w14:schemeClr w14:val="tx1"/>
                  </w14:solidFill>
                </w14:textFill>
              </w:rPr>
              <w:t>50</w:t>
            </w:r>
            <w:r>
              <w:rPr>
                <w:rFonts w:hint="default"/>
                <w:bCs/>
                <w:color w:val="000000" w:themeColor="text1"/>
                <w:sz w:val="24"/>
                <w:szCs w:val="24"/>
                <w14:textFill>
                  <w14:solidFill>
                    <w14:schemeClr w14:val="tx1"/>
                  </w14:solidFill>
                </w14:textFill>
              </w:rPr>
              <w:t>万元；</w:t>
            </w:r>
          </w:p>
          <w:p w14:paraId="70CE65E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eastAsia="宋体"/>
                <w:bCs/>
                <w:color w:val="000000" w:themeColor="text1"/>
                <w:sz w:val="24"/>
                <w:szCs w:val="24"/>
                <w:lang w:eastAsia="zh-CN"/>
                <w14:textFill>
                  <w14:solidFill>
                    <w14:schemeClr w14:val="tx1"/>
                  </w14:solidFill>
                </w14:textFill>
              </w:rPr>
            </w:pPr>
            <w:r>
              <w:rPr>
                <w:rFonts w:hint="eastAsia"/>
                <w:bCs/>
                <w:color w:val="000000" w:themeColor="text1"/>
                <w:sz w:val="24"/>
                <w:szCs w:val="24"/>
                <w14:textFill>
                  <w14:solidFill>
                    <w14:schemeClr w14:val="tx1"/>
                  </w14:solidFill>
                </w14:textFill>
              </w:rPr>
              <w:t>建筑面积：</w:t>
            </w:r>
            <w:r>
              <w:rPr>
                <w:rFonts w:hint="default"/>
                <w:bCs/>
                <w:color w:val="000000" w:themeColor="text1"/>
                <w:sz w:val="24"/>
                <w:szCs w:val="24"/>
                <w14:textFill>
                  <w14:solidFill>
                    <w14:schemeClr w14:val="tx1"/>
                  </w14:solidFill>
                </w14:textFill>
              </w:rPr>
              <w:t>总建筑面积</w:t>
            </w:r>
            <w:r>
              <w:rPr>
                <w:rFonts w:hint="eastAsia"/>
                <w:bCs/>
                <w:color w:val="000000" w:themeColor="text1"/>
                <w:sz w:val="24"/>
                <w:szCs w:val="24"/>
                <w:lang w:val="en-US" w:eastAsia="zh-CN"/>
                <w14:textFill>
                  <w14:solidFill>
                    <w14:schemeClr w14:val="tx1"/>
                  </w14:solidFill>
                </w14:textFill>
              </w:rPr>
              <w:t>2645.57</w:t>
            </w:r>
            <w:r>
              <w:rPr>
                <w:rFonts w:hint="eastAsia"/>
                <w:bCs/>
                <w:color w:val="000000" w:themeColor="text1"/>
                <w:sz w:val="24"/>
                <w:szCs w:val="24"/>
                <w14:textFill>
                  <w14:solidFill>
                    <w14:schemeClr w14:val="tx1"/>
                  </w14:solidFill>
                </w14:textFill>
              </w:rPr>
              <w:t>m</w:t>
            </w:r>
            <w:r>
              <w:rPr>
                <w:rFonts w:hint="eastAsia"/>
                <w:bCs/>
                <w:color w:val="000000" w:themeColor="text1"/>
                <w:sz w:val="24"/>
                <w:szCs w:val="24"/>
                <w:vertAlign w:val="superscript"/>
                <w14:textFill>
                  <w14:solidFill>
                    <w14:schemeClr w14:val="tx1"/>
                  </w14:solidFill>
                </w14:textFill>
              </w:rPr>
              <w:t>2</w:t>
            </w:r>
            <w:r>
              <w:rPr>
                <w:rFonts w:hint="eastAsia"/>
                <w:bCs/>
                <w:color w:val="000000" w:themeColor="text1"/>
                <w:sz w:val="24"/>
                <w:szCs w:val="24"/>
                <w:lang w:eastAsia="zh-CN"/>
                <w14:textFill>
                  <w14:solidFill>
                    <w14:schemeClr w14:val="tx1"/>
                  </w14:solidFill>
                </w14:textFill>
              </w:rPr>
              <w:t>；</w:t>
            </w:r>
          </w:p>
          <w:p w14:paraId="4AB5A9E2">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eastAsia="宋体"/>
                <w:bCs/>
                <w:color w:val="000000" w:themeColor="text1"/>
                <w:sz w:val="24"/>
                <w:szCs w:val="24"/>
                <w:lang w:eastAsia="zh-CN"/>
                <w14:textFill>
                  <w14:solidFill>
                    <w14:schemeClr w14:val="tx1"/>
                  </w14:solidFill>
                </w14:textFill>
              </w:rPr>
            </w:pPr>
            <w:r>
              <w:rPr>
                <w:rFonts w:hint="default"/>
                <w:bCs/>
                <w:color w:val="000000" w:themeColor="text1"/>
                <w:sz w:val="24"/>
                <w:szCs w:val="24"/>
                <w14:textFill>
                  <w14:solidFill>
                    <w14:schemeClr w14:val="tx1"/>
                  </w14:solidFill>
                </w14:textFill>
              </w:rPr>
              <w:t>建设规模：</w:t>
            </w:r>
            <w:r>
              <w:rPr>
                <w:rFonts w:hint="eastAsia"/>
                <w:bCs/>
                <w:color w:val="000000" w:themeColor="text1"/>
                <w:sz w:val="24"/>
                <w:lang w:val="en-US" w:eastAsia="zh-CN"/>
                <w14:textFill>
                  <w14:solidFill>
                    <w14:schemeClr w14:val="tx1"/>
                  </w14:solidFill>
                </w14:textFill>
              </w:rPr>
              <w:t>项目租用</w:t>
            </w:r>
            <w:r>
              <w:rPr>
                <w:rFonts w:hint="eastAsia"/>
                <w:bCs/>
                <w:color w:val="000000" w:themeColor="text1"/>
                <w:sz w:val="24"/>
                <w14:textFill>
                  <w14:solidFill>
                    <w14:schemeClr w14:val="tx1"/>
                  </w14:solidFill>
                </w14:textFill>
              </w:rPr>
              <w:t>重庆市霞艺汽车配件制造有限公司</w:t>
            </w:r>
            <w:r>
              <w:rPr>
                <w:rFonts w:hint="eastAsia"/>
                <w:bCs/>
                <w:color w:val="000000" w:themeColor="text1"/>
                <w:sz w:val="24"/>
                <w:lang w:val="en-US" w:eastAsia="zh-CN"/>
                <w14:textFill>
                  <w14:solidFill>
                    <w14:schemeClr w14:val="tx1"/>
                  </w14:solidFill>
                </w14:textFill>
              </w:rPr>
              <w:t>2F</w:t>
            </w:r>
            <w:r>
              <w:rPr>
                <w:rFonts w:hint="eastAsia"/>
                <w:bCs/>
                <w:color w:val="000000" w:themeColor="text1"/>
                <w:sz w:val="24"/>
                <w14:textFill>
                  <w14:solidFill>
                    <w14:schemeClr w14:val="tx1"/>
                  </w14:solidFill>
                </w14:textFill>
              </w:rPr>
              <w:t>空置厂房</w:t>
            </w:r>
            <w:r>
              <w:rPr>
                <w:rFonts w:hint="eastAsia"/>
                <w:bCs/>
                <w:color w:val="000000" w:themeColor="text1"/>
                <w:sz w:val="24"/>
                <w:lang w:eastAsia="zh-CN"/>
                <w14:textFill>
                  <w14:solidFill>
                    <w14:schemeClr w14:val="tx1"/>
                  </w14:solidFill>
                </w14:textFill>
              </w:rPr>
              <w:t>，</w:t>
            </w:r>
            <w:r>
              <w:rPr>
                <w:rFonts w:hint="eastAsia"/>
                <w:bCs/>
                <w:color w:val="000000" w:themeColor="text1"/>
                <w:sz w:val="24"/>
                <w14:textFill>
                  <w14:solidFill>
                    <w14:schemeClr w14:val="tx1"/>
                  </w14:solidFill>
                </w14:textFill>
              </w:rPr>
              <w:t>购置喷涂生产线2条及其他配套设备，以尾盖毛坯件、灯壳毛坯件、水性漆为原料进行生产，主要产品为摩托车配件。项目建成后，年产摩托车配件350万件</w:t>
            </w:r>
            <w:r>
              <w:rPr>
                <w:rFonts w:hint="eastAsia"/>
                <w:bCs/>
                <w:color w:val="000000" w:themeColor="text1"/>
                <w:sz w:val="24"/>
                <w:lang w:eastAsia="zh-CN"/>
                <w14:textFill>
                  <w14:solidFill>
                    <w14:schemeClr w14:val="tx1"/>
                  </w14:solidFill>
                </w14:textFill>
              </w:rPr>
              <w:t>；</w:t>
            </w:r>
          </w:p>
          <w:p w14:paraId="1100D878">
            <w:pPr>
              <w:pStyle w:val="11"/>
              <w:keepNext w:val="0"/>
              <w:keepLines w:val="0"/>
              <w:suppressLineNumbers w:val="0"/>
              <w:spacing w:before="0" w:beforeAutospacing="0" w:after="0" w:afterAutospacing="0"/>
              <w:ind w:left="0" w:right="0"/>
              <w:jc w:val="both"/>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劳动定员及工作制度：</w:t>
            </w:r>
            <w:r>
              <w:rPr>
                <w:rFonts w:hint="eastAsia"/>
                <w:color w:val="000000" w:themeColor="text1"/>
                <w:sz w:val="24"/>
                <w:szCs w:val="24"/>
                <w14:textFill>
                  <w14:solidFill>
                    <w14:schemeClr w14:val="tx1"/>
                  </w14:solidFill>
                </w14:textFill>
              </w:rPr>
              <w:t>劳动定员</w:t>
            </w:r>
            <w:r>
              <w:rPr>
                <w:rFonts w:hint="eastAsia"/>
                <w:color w:val="000000" w:themeColor="text1"/>
                <w:sz w:val="24"/>
                <w:szCs w:val="24"/>
                <w:lang w:val="en-US" w:eastAsia="zh-CN"/>
                <w14:textFill>
                  <w14:solidFill>
                    <w14:schemeClr w14:val="tx1"/>
                  </w14:solidFill>
                </w14:textFill>
              </w:rPr>
              <w:t>20</w:t>
            </w:r>
            <w:r>
              <w:rPr>
                <w:rFonts w:hint="default"/>
                <w:color w:val="000000" w:themeColor="text1"/>
                <w:sz w:val="24"/>
                <w:szCs w:val="24"/>
                <w14:textFill>
                  <w14:solidFill>
                    <w14:schemeClr w14:val="tx1"/>
                  </w14:solidFill>
                </w14:textFill>
              </w:rPr>
              <w:t>人</w:t>
            </w:r>
            <w:r>
              <w:rPr>
                <w:rFonts w:hint="eastAsia"/>
                <w:color w:val="000000" w:themeColor="text1"/>
                <w:sz w:val="24"/>
                <w:szCs w:val="24"/>
                <w14:textFill>
                  <w14:solidFill>
                    <w14:schemeClr w14:val="tx1"/>
                  </w14:solidFill>
                </w14:textFill>
              </w:rPr>
              <w:t>，一</w:t>
            </w:r>
            <w:r>
              <w:rPr>
                <w:rFonts w:hint="default"/>
                <w:color w:val="000000" w:themeColor="text1"/>
                <w:sz w:val="24"/>
                <w:szCs w:val="24"/>
                <w14:textFill>
                  <w14:solidFill>
                    <w14:schemeClr w14:val="tx1"/>
                  </w14:solidFill>
                </w14:textFill>
              </w:rPr>
              <w:t>班</w:t>
            </w:r>
            <w:r>
              <w:rPr>
                <w:rFonts w:hint="eastAsia"/>
                <w:color w:val="000000" w:themeColor="text1"/>
                <w:sz w:val="24"/>
                <w:szCs w:val="24"/>
                <w14:textFill>
                  <w14:solidFill>
                    <w14:schemeClr w14:val="tx1"/>
                  </w14:solidFill>
                </w14:textFill>
              </w:rPr>
              <w:t>8h</w:t>
            </w:r>
            <w:r>
              <w:rPr>
                <w:rFonts w:hint="default"/>
                <w:color w:val="000000" w:themeColor="text1"/>
                <w:sz w:val="24"/>
                <w:szCs w:val="24"/>
                <w14:textFill>
                  <w14:solidFill>
                    <w14:schemeClr w14:val="tx1"/>
                  </w14:solidFill>
                </w14:textFill>
              </w:rPr>
              <w:t>制，年工作</w:t>
            </w:r>
            <w:r>
              <w:rPr>
                <w:rFonts w:hint="eastAsia"/>
                <w:color w:val="000000" w:themeColor="text1"/>
                <w:sz w:val="24"/>
                <w:szCs w:val="24"/>
                <w:lang w:val="en-US" w:eastAsia="zh-CN"/>
                <w14:textFill>
                  <w14:solidFill>
                    <w14:schemeClr w14:val="tx1"/>
                  </w14:solidFill>
                </w14:textFill>
              </w:rPr>
              <w:t>300</w:t>
            </w:r>
            <w:r>
              <w:rPr>
                <w:rFonts w:hint="default"/>
                <w:color w:val="000000" w:themeColor="text1"/>
                <w:sz w:val="24"/>
                <w:szCs w:val="24"/>
                <w14:textFill>
                  <w14:solidFill>
                    <w14:schemeClr w14:val="tx1"/>
                  </w14:solidFill>
                </w14:textFill>
              </w:rPr>
              <w:t>天</w:t>
            </w:r>
            <w:r>
              <w:rPr>
                <w:rFonts w:hint="eastAsia"/>
                <w:color w:val="000000" w:themeColor="text1"/>
                <w:sz w:val="24"/>
                <w:szCs w:val="24"/>
                <w14:textFill>
                  <w14:solidFill>
                    <w14:schemeClr w14:val="tx1"/>
                  </w14:solidFill>
                </w14:textFill>
              </w:rPr>
              <w:t>，</w:t>
            </w:r>
            <w:r>
              <w:rPr>
                <w:rFonts w:hint="eastAsia"/>
                <w:color w:val="000000" w:themeColor="text1"/>
                <w:sz w:val="24"/>
                <w:szCs w:val="24"/>
                <w:lang w:eastAsia="zh-CN"/>
                <w14:textFill>
                  <w14:solidFill>
                    <w14:schemeClr w14:val="tx1"/>
                  </w14:solidFill>
                </w14:textFill>
              </w:rPr>
              <w:t>不设</w:t>
            </w:r>
            <w:r>
              <w:rPr>
                <w:rFonts w:hint="eastAsia"/>
                <w:color w:val="000000" w:themeColor="text1"/>
                <w:sz w:val="24"/>
                <w:szCs w:val="24"/>
                <w:lang w:val="en-US" w:eastAsia="zh-CN"/>
                <w14:textFill>
                  <w14:solidFill>
                    <w14:schemeClr w14:val="tx1"/>
                  </w14:solidFill>
                </w14:textFill>
              </w:rPr>
              <w:t>食</w:t>
            </w:r>
            <w:r>
              <w:rPr>
                <w:rFonts w:hint="eastAsia"/>
                <w:color w:val="000000" w:themeColor="text1"/>
                <w:sz w:val="24"/>
                <w:szCs w:val="24"/>
                <w:lang w:eastAsia="zh-CN"/>
                <w14:textFill>
                  <w14:solidFill>
                    <w14:schemeClr w14:val="tx1"/>
                  </w14:solidFill>
                </w14:textFill>
              </w:rPr>
              <w:t>宿</w:t>
            </w:r>
            <w:r>
              <w:rPr>
                <w:rFonts w:hint="default"/>
                <w:color w:val="000000" w:themeColor="text1"/>
                <w:sz w:val="24"/>
                <w:szCs w:val="24"/>
                <w14:textFill>
                  <w14:solidFill>
                    <w14:schemeClr w14:val="tx1"/>
                  </w14:solidFill>
                </w14:textFill>
              </w:rPr>
              <w:t>；</w:t>
            </w:r>
          </w:p>
          <w:p w14:paraId="6F4D6591">
            <w:pPr>
              <w:pStyle w:val="11"/>
              <w:keepNext w:val="0"/>
              <w:keepLines w:val="0"/>
              <w:suppressLineNumbers w:val="0"/>
              <w:spacing w:before="0" w:beforeAutospacing="0" w:after="0" w:afterAutospacing="0"/>
              <w:ind w:left="0" w:right="0"/>
              <w:jc w:val="both"/>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建设工期：</w:t>
            </w:r>
            <w:r>
              <w:rPr>
                <w:rFonts w:hint="eastAsia"/>
                <w:color w:val="000000" w:themeColor="text1"/>
                <w:sz w:val="24"/>
                <w:szCs w:val="24"/>
                <w14:textFill>
                  <w14:solidFill>
                    <w14:schemeClr w14:val="tx1"/>
                  </w14:solidFill>
                </w14:textFill>
              </w:rPr>
              <w:t>3</w:t>
            </w:r>
            <w:r>
              <w:rPr>
                <w:rFonts w:hint="default"/>
                <w:color w:val="000000" w:themeColor="text1"/>
                <w:sz w:val="24"/>
                <w:szCs w:val="24"/>
                <w14:textFill>
                  <w14:solidFill>
                    <w14:schemeClr w14:val="tx1"/>
                  </w14:solidFill>
                </w14:textFill>
              </w:rPr>
              <w:t>个月。</w:t>
            </w:r>
          </w:p>
          <w:p w14:paraId="3143CE7B">
            <w:pPr>
              <w:keepNext w:val="0"/>
              <w:keepLines w:val="0"/>
              <w:suppressLineNumbers w:val="0"/>
              <w:adjustRightInd w:val="0"/>
              <w:snapToGrid w:val="0"/>
              <w:spacing w:before="0" w:beforeAutospacing="0" w:after="0" w:afterAutospacing="0" w:line="360" w:lineRule="auto"/>
              <w:ind w:left="0" w:right="0"/>
              <w:rPr>
                <w:rFonts w:hint="default"/>
                <w:b/>
                <w:color w:val="000000" w:themeColor="text1"/>
                <w:sz w:val="24"/>
                <w:szCs w:val="24"/>
                <w14:textFill>
                  <w14:solidFill>
                    <w14:schemeClr w14:val="tx1"/>
                  </w14:solidFill>
                </w14:textFill>
              </w:rPr>
            </w:pPr>
            <w:r>
              <w:rPr>
                <w:rFonts w:hint="default"/>
                <w:b/>
                <w:color w:val="000000" w:themeColor="text1"/>
                <w:sz w:val="24"/>
                <w:szCs w:val="24"/>
                <w14:textFill>
                  <w14:solidFill>
                    <w14:schemeClr w14:val="tx1"/>
                  </w14:solidFill>
                </w14:textFill>
              </w:rPr>
              <w:t>2、项目建设内容及规模</w:t>
            </w:r>
          </w:p>
          <w:p w14:paraId="30654A7A">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olor w:val="000000" w:themeColor="text1"/>
                <w:sz w:val="24"/>
                <w:szCs w:val="24"/>
                <w14:textFill>
                  <w14:solidFill>
                    <w14:schemeClr w14:val="tx1"/>
                  </w14:solidFill>
                </w14:textFill>
              </w:rPr>
            </w:pPr>
            <w:r>
              <w:rPr>
                <w:rFonts w:hint="eastAsia"/>
                <w:color w:val="000000" w:themeColor="text1"/>
                <w:sz w:val="24"/>
                <w:szCs w:val="24"/>
                <w:lang w:eastAsia="zh-CN"/>
                <w14:textFill>
                  <w14:solidFill>
                    <w14:schemeClr w14:val="tx1"/>
                  </w14:solidFill>
                </w14:textFill>
              </w:rPr>
              <w:t>重庆三秋禾科技有限公司</w:t>
            </w:r>
            <w:r>
              <w:rPr>
                <w:rFonts w:hint="eastAsia"/>
                <w:color w:val="000000" w:themeColor="text1"/>
                <w:sz w:val="24"/>
                <w:szCs w:val="24"/>
                <w14:textFill>
                  <w14:solidFill>
                    <w14:schemeClr w14:val="tx1"/>
                  </w14:solidFill>
                </w14:textFill>
              </w:rPr>
              <w:t>拟</w:t>
            </w:r>
            <w:r>
              <w:rPr>
                <w:rFonts w:hint="eastAsia"/>
                <w:color w:val="000000" w:themeColor="text1"/>
                <w:sz w:val="24"/>
                <w:szCs w:val="24"/>
                <w:lang w:eastAsia="zh-CN"/>
                <w14:textFill>
                  <w14:solidFill>
                    <w14:schemeClr w14:val="tx1"/>
                  </w14:solidFill>
                </w14:textFill>
              </w:rPr>
              <w:t>租用</w:t>
            </w:r>
            <w:r>
              <w:rPr>
                <w:rFonts w:hint="eastAsia"/>
                <w:color w:val="000000" w:themeColor="text1"/>
                <w:sz w:val="24"/>
                <w:szCs w:val="24"/>
                <w:lang w:val="en-US" w:eastAsia="zh-CN"/>
                <w14:textFill>
                  <w14:solidFill>
                    <w14:schemeClr w14:val="tx1"/>
                  </w14:solidFill>
                </w14:textFill>
              </w:rPr>
              <w:t>重庆市霞艺汽车配件制造有限公司2F空置</w:t>
            </w:r>
            <w:r>
              <w:rPr>
                <w:rFonts w:hint="eastAsia"/>
                <w:bCs/>
                <w:color w:val="000000" w:themeColor="text1"/>
                <w:sz w:val="24"/>
                <w:szCs w:val="24"/>
                <w14:textFill>
                  <w14:solidFill>
                    <w14:schemeClr w14:val="tx1"/>
                  </w14:solidFill>
                </w14:textFill>
              </w:rPr>
              <w:t>厂房</w:t>
            </w:r>
            <w:r>
              <w:rPr>
                <w:rFonts w:hint="eastAsia"/>
                <w:bCs/>
                <w:color w:val="000000" w:themeColor="text1"/>
                <w:sz w:val="24"/>
                <w:szCs w:val="24"/>
                <w:lang w:val="en-US" w:eastAsia="zh-CN"/>
                <w14:textFill>
                  <w14:solidFill>
                    <w14:schemeClr w14:val="tx1"/>
                  </w14:solidFill>
                </w14:textFill>
              </w:rPr>
              <w:t>，</w:t>
            </w:r>
            <w:r>
              <w:rPr>
                <w:rFonts w:hint="default"/>
                <w:bCs/>
                <w:color w:val="000000" w:themeColor="text1"/>
                <w:sz w:val="24"/>
                <w:szCs w:val="24"/>
                <w14:textFill>
                  <w14:solidFill>
                    <w14:schemeClr w14:val="tx1"/>
                  </w14:solidFill>
                </w14:textFill>
              </w:rPr>
              <w:t>建设</w:t>
            </w:r>
            <w:r>
              <w:rPr>
                <w:rFonts w:hint="eastAsia"/>
                <w:bCs/>
                <w:color w:val="000000" w:themeColor="text1"/>
                <w:sz w:val="24"/>
                <w:szCs w:val="24"/>
                <w14:textFill>
                  <w14:solidFill>
                    <w14:schemeClr w14:val="tx1"/>
                  </w14:solidFill>
                </w14:textFill>
              </w:rPr>
              <w:t>“</w:t>
            </w:r>
            <w:r>
              <w:rPr>
                <w:rFonts w:hint="eastAsia"/>
                <w:bCs/>
                <w:color w:val="000000" w:themeColor="text1"/>
                <w:sz w:val="24"/>
                <w:szCs w:val="24"/>
                <w:lang w:eastAsia="zh-CN"/>
                <w14:textFill>
                  <w14:solidFill>
                    <w14:schemeClr w14:val="tx1"/>
                  </w14:solidFill>
                </w14:textFill>
              </w:rPr>
              <w:t>重庆三秋禾科技有限公司年产350万件摩托车配件制造项目</w:t>
            </w:r>
            <w:r>
              <w:rPr>
                <w:rFonts w:hint="eastAsia"/>
                <w:bCs/>
                <w:color w:val="000000" w:themeColor="text1"/>
                <w:sz w:val="24"/>
                <w:szCs w:val="24"/>
                <w14:textFill>
                  <w14:solidFill>
                    <w14:schemeClr w14:val="tx1"/>
                  </w14:solidFill>
                </w14:textFill>
              </w:rPr>
              <w:t>”</w:t>
            </w:r>
            <w:r>
              <w:rPr>
                <w:rFonts w:hint="default"/>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建设</w:t>
            </w:r>
            <w:r>
              <w:rPr>
                <w:rFonts w:hint="default"/>
                <w:bCs/>
                <w:color w:val="000000" w:themeColor="text1"/>
                <w:sz w:val="24"/>
                <w:szCs w:val="24"/>
                <w14:textFill>
                  <w14:solidFill>
                    <w14:schemeClr w14:val="tx1"/>
                  </w14:solidFill>
                </w14:textFill>
              </w:rPr>
              <w:t>地址位于</w:t>
            </w:r>
            <w:r>
              <w:rPr>
                <w:rFonts w:hint="eastAsia"/>
                <w:bCs/>
                <w:color w:val="000000" w:themeColor="text1"/>
                <w:sz w:val="24"/>
                <w:szCs w:val="24"/>
                <w:lang w:eastAsia="zh-CN"/>
                <w14:textFill>
                  <w14:solidFill>
                    <w14:schemeClr w14:val="tx1"/>
                  </w14:solidFill>
                </w14:textFill>
              </w:rPr>
              <w:t>璧山高新技术产业开发区青杠-来凤组团</w:t>
            </w:r>
            <w:r>
              <w:rPr>
                <w:rFonts w:hint="eastAsia" w:eastAsia="方正仿宋_GBK"/>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总投资</w:t>
            </w:r>
            <w:r>
              <w:rPr>
                <w:rFonts w:hint="eastAsia"/>
                <w:bCs/>
                <w:color w:val="000000" w:themeColor="text1"/>
                <w:sz w:val="24"/>
                <w:szCs w:val="24"/>
                <w:lang w:val="en-US" w:eastAsia="zh-CN"/>
                <w14:textFill>
                  <w14:solidFill>
                    <w14:schemeClr w14:val="tx1"/>
                  </w14:solidFill>
                </w14:textFill>
              </w:rPr>
              <w:t>500</w:t>
            </w:r>
            <w:r>
              <w:rPr>
                <w:rFonts w:hint="eastAsia"/>
                <w:bCs/>
                <w:color w:val="000000" w:themeColor="text1"/>
                <w:sz w:val="24"/>
                <w:szCs w:val="24"/>
                <w14:textFill>
                  <w14:solidFill>
                    <w14:schemeClr w14:val="tx1"/>
                  </w14:solidFill>
                </w14:textFill>
              </w:rPr>
              <w:t>万元</w:t>
            </w:r>
            <w:r>
              <w:rPr>
                <w:rFonts w:hint="default"/>
                <w:bCs/>
                <w:color w:val="000000" w:themeColor="text1"/>
                <w:sz w:val="24"/>
                <w:szCs w:val="24"/>
                <w14:textFill>
                  <w14:solidFill>
                    <w14:schemeClr w14:val="tx1"/>
                  </w14:solidFill>
                </w14:textFill>
              </w:rPr>
              <w:t>，总建筑面积</w:t>
            </w:r>
            <w:r>
              <w:rPr>
                <w:rFonts w:hint="eastAsia"/>
                <w:bCs/>
                <w:color w:val="000000" w:themeColor="text1"/>
                <w:sz w:val="24"/>
                <w:szCs w:val="24"/>
                <w14:textFill>
                  <w14:solidFill>
                    <w14:schemeClr w14:val="tx1"/>
                  </w14:solidFill>
                </w14:textFill>
              </w:rPr>
              <w:t>约</w:t>
            </w:r>
            <w:r>
              <w:rPr>
                <w:rFonts w:hint="eastAsia"/>
                <w:bCs/>
                <w:color w:val="000000" w:themeColor="text1"/>
                <w:sz w:val="24"/>
                <w:szCs w:val="24"/>
                <w:lang w:val="en-US" w:eastAsia="zh-CN"/>
                <w14:textFill>
                  <w14:solidFill>
                    <w14:schemeClr w14:val="tx1"/>
                  </w14:solidFill>
                </w14:textFill>
              </w:rPr>
              <w:t>2645.57</w:t>
            </w:r>
            <w:r>
              <w:rPr>
                <w:rFonts w:hint="eastAsia"/>
                <w:bCs/>
                <w:color w:val="000000" w:themeColor="text1"/>
                <w:sz w:val="24"/>
                <w:szCs w:val="24"/>
                <w14:textFill>
                  <w14:solidFill>
                    <w14:schemeClr w14:val="tx1"/>
                  </w14:solidFill>
                </w14:textFill>
              </w:rPr>
              <w:t>m</w:t>
            </w:r>
            <w:r>
              <w:rPr>
                <w:rFonts w:hint="eastAsia"/>
                <w:bCs/>
                <w:color w:val="000000" w:themeColor="text1"/>
                <w:sz w:val="24"/>
                <w:szCs w:val="24"/>
                <w:vertAlign w:val="superscript"/>
                <w14:textFill>
                  <w14:solidFill>
                    <w14:schemeClr w14:val="tx1"/>
                  </w14:solidFill>
                </w14:textFill>
              </w:rPr>
              <w:t>2</w:t>
            </w:r>
            <w:r>
              <w:rPr>
                <w:rFonts w:hint="default"/>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层高约</w:t>
            </w:r>
            <w:r>
              <w:rPr>
                <w:rFonts w:hint="eastAsia"/>
                <w:bCs/>
                <w:color w:val="000000" w:themeColor="text1"/>
                <w:sz w:val="24"/>
                <w:szCs w:val="24"/>
                <w:lang w:val="en-US" w:eastAsia="zh-CN"/>
                <w14:textFill>
                  <w14:solidFill>
                    <w14:schemeClr w14:val="tx1"/>
                  </w14:solidFill>
                </w14:textFill>
              </w:rPr>
              <w:t>4</w:t>
            </w:r>
            <w:r>
              <w:rPr>
                <w:rFonts w:hint="eastAsia"/>
                <w:bCs/>
                <w:color w:val="000000" w:themeColor="text1"/>
                <w:sz w:val="24"/>
                <w:szCs w:val="24"/>
                <w14:textFill>
                  <w14:solidFill>
                    <w14:schemeClr w14:val="tx1"/>
                  </w14:solidFill>
                </w14:textFill>
              </w:rPr>
              <w:t>m</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厂房共2层，本项目位于2F，部分设施位于2F楼顶</w:t>
            </w:r>
            <w:r>
              <w:rPr>
                <w:rFonts w:hint="eastAsia"/>
                <w:bCs/>
                <w:color w:val="000000" w:themeColor="text1"/>
                <w:sz w:val="24"/>
                <w:szCs w:val="24"/>
                <w14:textFill>
                  <w14:solidFill>
                    <w14:schemeClr w14:val="tx1"/>
                  </w14:solidFill>
                </w14:textFill>
              </w:rPr>
              <w:t>。本</w:t>
            </w:r>
            <w:r>
              <w:rPr>
                <w:rFonts w:hint="default"/>
                <w:bCs/>
                <w:color w:val="000000" w:themeColor="text1"/>
                <w:sz w:val="24"/>
                <w:szCs w:val="24"/>
                <w14:textFill>
                  <w14:solidFill>
                    <w14:schemeClr w14:val="tx1"/>
                  </w14:solidFill>
                </w14:textFill>
              </w:rPr>
              <w:t>项目投产后生产规模</w:t>
            </w:r>
            <w:r>
              <w:rPr>
                <w:rFonts w:hint="eastAsia"/>
                <w:bCs/>
                <w:color w:val="000000" w:themeColor="text1"/>
                <w:sz w:val="24"/>
                <w:szCs w:val="24"/>
                <w14:textFill>
                  <w14:solidFill>
                    <w14:schemeClr w14:val="tx1"/>
                  </w14:solidFill>
                </w14:textFill>
              </w:rPr>
              <w:t>为</w:t>
            </w:r>
            <w:r>
              <w:rPr>
                <w:rFonts w:hint="eastAsia"/>
                <w:bCs/>
                <w:color w:val="000000" w:themeColor="text1"/>
                <w:sz w:val="24"/>
                <w:szCs w:val="24"/>
                <w:lang w:val="en-US" w:eastAsia="zh-CN"/>
                <w14:textFill>
                  <w14:solidFill>
                    <w14:schemeClr w14:val="tx1"/>
                  </w14:solidFill>
                </w14:textFill>
              </w:rPr>
              <w:t>单条线生产摩托车配件175万件，2条线合计</w:t>
            </w:r>
            <w:r>
              <w:rPr>
                <w:rFonts w:hint="eastAsia"/>
                <w:color w:val="000000" w:themeColor="text1"/>
                <w:kern w:val="0"/>
                <w:sz w:val="24"/>
                <w:szCs w:val="24"/>
                <w14:textFill>
                  <w14:solidFill>
                    <w14:schemeClr w14:val="tx1"/>
                  </w14:solidFill>
                </w14:textFill>
              </w:rPr>
              <w:t>年产</w:t>
            </w:r>
            <w:r>
              <w:rPr>
                <w:rFonts w:hint="eastAsia"/>
                <w:color w:val="000000" w:themeColor="text1"/>
                <w:kern w:val="0"/>
                <w:sz w:val="24"/>
                <w:szCs w:val="24"/>
                <w:lang w:val="en-US" w:eastAsia="zh-CN"/>
                <w14:textFill>
                  <w14:solidFill>
                    <w14:schemeClr w14:val="tx1"/>
                  </w14:solidFill>
                </w14:textFill>
              </w:rPr>
              <w:t>摩托车配件350万件</w:t>
            </w:r>
            <w:r>
              <w:rPr>
                <w:rFonts w:hint="eastAsia"/>
                <w:color w:val="000000" w:themeColor="text1"/>
                <w:kern w:val="0"/>
                <w:sz w:val="24"/>
                <w:szCs w:val="24"/>
                <w14:textFill>
                  <w14:solidFill>
                    <w14:schemeClr w14:val="tx1"/>
                  </w14:solidFill>
                </w14:textFill>
              </w:rPr>
              <w:t>/a</w:t>
            </w:r>
            <w:r>
              <w:rPr>
                <w:rFonts w:hint="default"/>
                <w:bCs/>
                <w:color w:val="000000" w:themeColor="text1"/>
                <w:sz w:val="24"/>
                <w:szCs w:val="24"/>
                <w14:textFill>
                  <w14:solidFill>
                    <w14:schemeClr w14:val="tx1"/>
                  </w14:solidFill>
                </w14:textFill>
              </w:rPr>
              <w:t>。</w:t>
            </w:r>
            <w:r>
              <w:rPr>
                <w:rFonts w:hint="eastAsia"/>
                <w:bCs/>
                <w:color w:val="000000" w:themeColor="text1"/>
                <w:sz w:val="24"/>
                <w14:textFill>
                  <w14:solidFill>
                    <w14:schemeClr w14:val="tx1"/>
                  </w14:solidFill>
                </w14:textFill>
              </w:rPr>
              <w:t>设</w:t>
            </w:r>
            <w:r>
              <w:rPr>
                <w:rFonts w:hint="eastAsia"/>
                <w:bCs/>
                <w:color w:val="000000" w:themeColor="text1"/>
                <w:sz w:val="24"/>
                <w:lang w:val="en-US" w:eastAsia="zh-CN"/>
                <w14:textFill>
                  <w14:solidFill>
                    <w14:schemeClr w14:val="tx1"/>
                  </w14:solidFill>
                </w14:textFill>
              </w:rPr>
              <w:t>打磨区、除尘上件区、</w:t>
            </w:r>
            <w:r>
              <w:rPr>
                <w:rFonts w:hint="eastAsia"/>
                <w:bCs/>
                <w:color w:val="000000" w:themeColor="text1"/>
                <w:sz w:val="24"/>
                <w14:textFill>
                  <w14:solidFill>
                    <w14:schemeClr w14:val="tx1"/>
                  </w14:solidFill>
                </w14:textFill>
              </w:rPr>
              <w:t>喷涂</w:t>
            </w:r>
            <w:r>
              <w:rPr>
                <w:rFonts w:hint="eastAsia"/>
                <w:bCs/>
                <w:color w:val="000000" w:themeColor="text1"/>
                <w:sz w:val="24"/>
                <w:lang w:eastAsia="zh-CN"/>
                <w14:textFill>
                  <w14:solidFill>
                    <w14:schemeClr w14:val="tx1"/>
                  </w14:solidFill>
                </w14:textFill>
              </w:rPr>
              <w:t>区</w:t>
            </w:r>
            <w:r>
              <w:rPr>
                <w:rFonts w:hint="eastAsia"/>
                <w:bCs/>
                <w:color w:val="000000" w:themeColor="text1"/>
                <w:sz w:val="24"/>
                <w14:textFill>
                  <w14:solidFill>
                    <w14:schemeClr w14:val="tx1"/>
                  </w14:solidFill>
                </w14:textFill>
              </w:rPr>
              <w:t>、流平固化</w:t>
            </w:r>
            <w:r>
              <w:rPr>
                <w:rFonts w:hint="eastAsia"/>
                <w:bCs/>
                <w:color w:val="000000" w:themeColor="text1"/>
                <w:sz w:val="24"/>
                <w:lang w:eastAsia="zh-CN"/>
                <w14:textFill>
                  <w14:solidFill>
                    <w14:schemeClr w14:val="tx1"/>
                  </w14:solidFill>
                </w14:textFill>
              </w:rPr>
              <w:t>区</w:t>
            </w:r>
            <w:r>
              <w:rPr>
                <w:rFonts w:hint="eastAsia"/>
                <w:bCs/>
                <w:color w:val="000000" w:themeColor="text1"/>
                <w:sz w:val="24"/>
                <w14:textFill>
                  <w14:solidFill>
                    <w14:schemeClr w14:val="tx1"/>
                  </w14:solidFill>
                </w14:textFill>
              </w:rPr>
              <w:t>、烘干</w:t>
            </w:r>
            <w:r>
              <w:rPr>
                <w:rFonts w:hint="eastAsia"/>
                <w:bCs/>
                <w:color w:val="000000" w:themeColor="text1"/>
                <w:sz w:val="24"/>
                <w:lang w:val="en-US" w:eastAsia="zh-CN"/>
                <w14:textFill>
                  <w14:solidFill>
                    <w14:schemeClr w14:val="tx1"/>
                  </w14:solidFill>
                </w14:textFill>
              </w:rPr>
              <w:t>区、贴花区、检验抛光区</w:t>
            </w:r>
            <w:r>
              <w:rPr>
                <w:rFonts w:hint="eastAsia"/>
                <w:bCs/>
                <w:color w:val="000000" w:themeColor="text1"/>
                <w:sz w:val="24"/>
                <w14:textFill>
                  <w14:solidFill>
                    <w14:schemeClr w14:val="tx1"/>
                  </w14:solidFill>
                </w14:textFill>
              </w:rPr>
              <w:t>和环保工程</w:t>
            </w:r>
            <w:r>
              <w:rPr>
                <w:rFonts w:hint="eastAsia"/>
                <w:bCs/>
                <w:color w:val="000000" w:themeColor="text1"/>
                <w:sz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本项目组成见下表。</w:t>
            </w:r>
          </w:p>
          <w:p w14:paraId="4E99640A">
            <w:pPr>
              <w:keepNext w:val="0"/>
              <w:keepLines w:val="0"/>
              <w:suppressLineNumbers w:val="0"/>
              <w:adjustRightInd w:val="0"/>
              <w:snapToGrid w:val="0"/>
              <w:spacing w:before="0" w:beforeAutospacing="0" w:after="0" w:afterAutospacing="0"/>
              <w:ind w:left="0" w:right="0"/>
              <w:jc w:val="center"/>
              <w:rPr>
                <w:rFonts w:hint="default"/>
                <w:b/>
                <w:color w:val="000000" w:themeColor="text1"/>
                <w:sz w:val="24"/>
                <w:szCs w:val="24"/>
                <w14:textFill>
                  <w14:solidFill>
                    <w14:schemeClr w14:val="tx1"/>
                  </w14:solidFill>
                </w14:textFill>
              </w:rPr>
            </w:pPr>
            <w:r>
              <w:rPr>
                <w:rFonts w:hint="default"/>
                <w:b/>
                <w:color w:val="000000" w:themeColor="text1"/>
                <w:sz w:val="24"/>
                <w:szCs w:val="24"/>
                <w14:textFill>
                  <w14:solidFill>
                    <w14:schemeClr w14:val="tx1"/>
                  </w14:solidFill>
                </w14:textFill>
              </w:rPr>
              <w:t>表2-1 项目组成一览表</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78"/>
              <w:gridCol w:w="1190"/>
              <w:gridCol w:w="4941"/>
              <w:gridCol w:w="656"/>
            </w:tblGrid>
            <w:tr w14:paraId="1E2D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dxa"/>
                  <w:shd w:val="clear" w:color="auto" w:fill="auto"/>
                  <w:vAlign w:val="center"/>
                </w:tcPr>
                <w:p w14:paraId="13E095A2">
                  <w:pPr>
                    <w:keepNext w:val="0"/>
                    <w:keepLines w:val="0"/>
                    <w:suppressLineNumbers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工程分类</w:t>
                  </w:r>
                </w:p>
              </w:tc>
              <w:tc>
                <w:tcPr>
                  <w:tcW w:w="1568" w:type="dxa"/>
                  <w:gridSpan w:val="2"/>
                  <w:shd w:val="clear" w:color="auto" w:fill="auto"/>
                  <w:vAlign w:val="center"/>
                </w:tcPr>
                <w:p w14:paraId="7C36D7C6">
                  <w:pPr>
                    <w:keepNext w:val="0"/>
                    <w:keepLines w:val="0"/>
                    <w:suppressLineNumbers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项目组成</w:t>
                  </w:r>
                </w:p>
              </w:tc>
              <w:tc>
                <w:tcPr>
                  <w:tcW w:w="4941" w:type="dxa"/>
                  <w:shd w:val="clear" w:color="auto" w:fill="auto"/>
                  <w:vAlign w:val="center"/>
                </w:tcPr>
                <w:p w14:paraId="4BC5F019">
                  <w:pPr>
                    <w:keepNext w:val="0"/>
                    <w:keepLines w:val="0"/>
                    <w:suppressLineNumbers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规模及主要内容</w:t>
                  </w:r>
                </w:p>
              </w:tc>
              <w:tc>
                <w:tcPr>
                  <w:tcW w:w="656" w:type="dxa"/>
                  <w:shd w:val="clear" w:color="auto" w:fill="auto"/>
                  <w:vAlign w:val="center"/>
                </w:tcPr>
                <w:p w14:paraId="6AB19B46">
                  <w:pPr>
                    <w:keepNext w:val="0"/>
                    <w:keepLines w:val="0"/>
                    <w:suppressLineNumbers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备注</w:t>
                  </w:r>
                </w:p>
              </w:tc>
            </w:tr>
            <w:tr w14:paraId="3EB5C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72" w:type="dxa"/>
                  <w:vMerge w:val="restart"/>
                  <w:shd w:val="clear" w:color="auto" w:fill="auto"/>
                  <w:vAlign w:val="center"/>
                </w:tcPr>
                <w:p w14:paraId="2E894D3B">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主体工程</w:t>
                  </w:r>
                </w:p>
              </w:tc>
              <w:tc>
                <w:tcPr>
                  <w:tcW w:w="378" w:type="dxa"/>
                  <w:vMerge w:val="restart"/>
                  <w:shd w:val="clear" w:color="auto" w:fill="auto"/>
                  <w:vAlign w:val="center"/>
                </w:tcPr>
                <w:p w14:paraId="3333C193">
                  <w:pPr>
                    <w:keepNext w:val="0"/>
                    <w:keepLines w:val="0"/>
                    <w:suppressLineNumbers w:val="0"/>
                    <w:spacing w:before="0" w:beforeAutospacing="0" w:after="0" w:afterAutospacing="0"/>
                    <w:ind w:left="0" w:right="0"/>
                    <w:jc w:val="center"/>
                    <w:rPr>
                      <w:rFonts w:hint="default"/>
                      <w:color w:val="000000" w:themeColor="text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1#生产线</w:t>
                  </w:r>
                </w:p>
              </w:tc>
              <w:tc>
                <w:tcPr>
                  <w:tcW w:w="1190" w:type="dxa"/>
                  <w:shd w:val="clear" w:color="auto" w:fill="auto"/>
                  <w:vAlign w:val="center"/>
                </w:tcPr>
                <w:p w14:paraId="6BC13AF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打磨区</w:t>
                  </w:r>
                </w:p>
              </w:tc>
              <w:tc>
                <w:tcPr>
                  <w:tcW w:w="4941" w:type="dxa"/>
                  <w:shd w:val="clear" w:color="auto" w:fill="auto"/>
                  <w:vAlign w:val="center"/>
                </w:tcPr>
                <w:p w14:paraId="031D86C1">
                  <w:pPr>
                    <w:keepNext w:val="0"/>
                    <w:keepLines w:val="0"/>
                    <w:suppressLineNumbers w:val="0"/>
                    <w:spacing w:before="0" w:beforeAutospacing="0" w:after="0" w:afterAutospacing="0"/>
                    <w:ind w:left="0" w:right="0"/>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eastAsia"/>
                      <w:color w:val="000000" w:themeColor="text1"/>
                      <w:sz w:val="21"/>
                      <w:szCs w:val="21"/>
                      <w:lang w:eastAsia="zh-CN"/>
                      <w14:textFill>
                        <w14:solidFill>
                          <w14:schemeClr w14:val="tx1"/>
                        </w14:solidFill>
                      </w14:textFill>
                    </w:rPr>
                    <w:t>厂房</w:t>
                  </w:r>
                  <w:r>
                    <w:rPr>
                      <w:rFonts w:hint="eastAsia"/>
                      <w:color w:val="000000" w:themeColor="text1"/>
                      <w:sz w:val="21"/>
                      <w:szCs w:val="21"/>
                      <w:lang w:val="en-US" w:eastAsia="zh-CN"/>
                      <w14:textFill>
                        <w14:solidFill>
                          <w14:schemeClr w14:val="tx1"/>
                        </w14:solidFill>
                      </w14:textFill>
                    </w:rPr>
                    <w:t>中部</w:t>
                  </w:r>
                  <w:r>
                    <w:rPr>
                      <w:rFonts w:hint="eastAsia"/>
                      <w:color w:val="000000" w:themeColor="text1"/>
                      <w:sz w:val="21"/>
                      <w:szCs w:val="21"/>
                      <w:lang w:eastAsia="zh-CN"/>
                      <w14:textFill>
                        <w14:solidFill>
                          <w14:schemeClr w14:val="tx1"/>
                        </w14:solidFill>
                      </w14:textFill>
                    </w:rPr>
                    <w:t>，面积约</w:t>
                  </w:r>
                  <w:r>
                    <w:rPr>
                      <w:rFonts w:hint="eastAsia"/>
                      <w:color w:val="000000" w:themeColor="text1"/>
                      <w:sz w:val="21"/>
                      <w:szCs w:val="21"/>
                      <w:lang w:val="en-US" w:eastAsia="zh-CN"/>
                      <w14:textFill>
                        <w14:solidFill>
                          <w14:schemeClr w14:val="tx1"/>
                        </w14:solidFill>
                      </w14:textFill>
                    </w:rPr>
                    <w:t>60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用于毛坯件打磨。</w:t>
                  </w:r>
                </w:p>
              </w:tc>
              <w:tc>
                <w:tcPr>
                  <w:tcW w:w="656" w:type="dxa"/>
                  <w:shd w:val="clear" w:color="auto" w:fill="auto"/>
                  <w:vAlign w:val="center"/>
                </w:tcPr>
                <w:p w14:paraId="492DBC45">
                  <w:pPr>
                    <w:keepNext w:val="0"/>
                    <w:keepLines w:val="0"/>
                    <w:suppressLineNumbers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1F68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72" w:type="dxa"/>
                  <w:vMerge w:val="continue"/>
                  <w:shd w:val="clear" w:color="auto" w:fill="auto"/>
                  <w:vAlign w:val="center"/>
                </w:tcPr>
                <w:p w14:paraId="0325580B">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78" w:type="dxa"/>
                  <w:vMerge w:val="continue"/>
                  <w:shd w:val="clear" w:color="auto" w:fill="auto"/>
                  <w:vAlign w:val="center"/>
                </w:tcPr>
                <w:p w14:paraId="258ADAB8">
                  <w:pPr>
                    <w:keepNext w:val="0"/>
                    <w:keepLines w:val="0"/>
                    <w:suppressLineNumbers w:val="0"/>
                    <w:spacing w:before="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p>
              </w:tc>
              <w:tc>
                <w:tcPr>
                  <w:tcW w:w="1190" w:type="dxa"/>
                  <w:shd w:val="clear" w:color="auto" w:fill="auto"/>
                  <w:vAlign w:val="center"/>
                </w:tcPr>
                <w:p w14:paraId="0E8908D4">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除尘上件区</w:t>
                  </w:r>
                </w:p>
              </w:tc>
              <w:tc>
                <w:tcPr>
                  <w:tcW w:w="4941" w:type="dxa"/>
                  <w:shd w:val="clear" w:color="auto" w:fill="auto"/>
                  <w:vAlign w:val="center"/>
                </w:tcPr>
                <w:p w14:paraId="61F1E095">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eastAsia"/>
                      <w:color w:val="000000" w:themeColor="text1"/>
                      <w:sz w:val="21"/>
                      <w:szCs w:val="21"/>
                      <w:lang w:eastAsia="zh-CN"/>
                      <w14:textFill>
                        <w14:solidFill>
                          <w14:schemeClr w14:val="tx1"/>
                        </w14:solidFill>
                      </w14:textFill>
                    </w:rPr>
                    <w:t>厂房</w:t>
                  </w:r>
                  <w:r>
                    <w:rPr>
                      <w:rFonts w:hint="eastAsia"/>
                      <w:color w:val="000000" w:themeColor="text1"/>
                      <w:sz w:val="21"/>
                      <w:szCs w:val="21"/>
                      <w:lang w:val="en-US" w:eastAsia="zh-CN"/>
                      <w14:textFill>
                        <w14:solidFill>
                          <w14:schemeClr w14:val="tx1"/>
                        </w14:solidFill>
                      </w14:textFill>
                    </w:rPr>
                    <w:t>东</w:t>
                  </w:r>
                  <w:r>
                    <w:rPr>
                      <w:rFonts w:hint="eastAsia"/>
                      <w:color w:val="000000" w:themeColor="text1"/>
                      <w:sz w:val="21"/>
                      <w:szCs w:val="21"/>
                      <w:lang w:eastAsia="zh-CN"/>
                      <w14:textFill>
                        <w14:solidFill>
                          <w14:schemeClr w14:val="tx1"/>
                        </w14:solidFill>
                      </w14:textFill>
                    </w:rPr>
                    <w:t>侧，</w:t>
                  </w:r>
                  <w:r>
                    <w:rPr>
                      <w:rFonts w:hint="eastAsia"/>
                      <w:color w:val="000000" w:themeColor="text1"/>
                      <w:sz w:val="21"/>
                      <w:szCs w:val="21"/>
                      <w14:textFill>
                        <w14:solidFill>
                          <w14:schemeClr w14:val="tx1"/>
                        </w14:solidFill>
                      </w14:textFill>
                    </w:rPr>
                    <w:t>面积约</w:t>
                  </w:r>
                  <w:r>
                    <w:rPr>
                      <w:rFonts w:hint="eastAsia"/>
                      <w:color w:val="000000" w:themeColor="text1"/>
                      <w:sz w:val="21"/>
                      <w:szCs w:val="21"/>
                      <w:lang w:val="en-US" w:eastAsia="zh-CN"/>
                      <w14:textFill>
                        <w14:solidFill>
                          <w14:schemeClr w14:val="tx1"/>
                        </w14:solidFill>
                      </w14:textFill>
                    </w:rPr>
                    <w:t>140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用于对打磨后的毛坯件进行除尘。</w:t>
                  </w:r>
                </w:p>
              </w:tc>
              <w:tc>
                <w:tcPr>
                  <w:tcW w:w="656" w:type="dxa"/>
                  <w:shd w:val="clear" w:color="auto" w:fill="auto"/>
                  <w:vAlign w:val="center"/>
                </w:tcPr>
                <w:p w14:paraId="636A68AE">
                  <w:pPr>
                    <w:keepNext w:val="0"/>
                    <w:keepLines w:val="0"/>
                    <w:suppressLineNumbers w:val="0"/>
                    <w:spacing w:before="0" w:beforeAutospacing="0" w:after="0" w:afterAutospacing="0"/>
                    <w:ind w:left="0" w:right="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6A95A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vMerge w:val="continue"/>
                  <w:shd w:val="clear" w:color="auto" w:fill="auto"/>
                  <w:vAlign w:val="center"/>
                </w:tcPr>
                <w:p w14:paraId="629B7B35">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78" w:type="dxa"/>
                  <w:vMerge w:val="continue"/>
                  <w:shd w:val="clear" w:color="auto" w:fill="auto"/>
                  <w:vAlign w:val="center"/>
                </w:tcPr>
                <w:p w14:paraId="02A2EAC4">
                  <w:pPr>
                    <w:keepNext w:val="0"/>
                    <w:keepLines w:val="0"/>
                    <w:suppressLineNumbers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p>
              </w:tc>
              <w:tc>
                <w:tcPr>
                  <w:tcW w:w="1190" w:type="dxa"/>
                  <w:shd w:val="clear" w:color="auto" w:fill="auto"/>
                  <w:vAlign w:val="center"/>
                </w:tcPr>
                <w:p w14:paraId="068E17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喷涂区</w:t>
                  </w:r>
                </w:p>
              </w:tc>
              <w:tc>
                <w:tcPr>
                  <w:tcW w:w="4941" w:type="dxa"/>
                  <w:shd w:val="clear" w:color="auto" w:fill="auto"/>
                  <w:vAlign w:val="center"/>
                </w:tcPr>
                <w:p w14:paraId="44FCFB24">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eastAsia" w:cs="Times New Roman"/>
                      <w:color w:val="000000" w:themeColor="text1"/>
                      <w:kern w:val="2"/>
                      <w:sz w:val="21"/>
                      <w:szCs w:val="24"/>
                      <w:lang w:val="en-US" w:eastAsia="zh-CN" w:bidi="ar-SA"/>
                      <w14:textFill>
                        <w14:solidFill>
                          <w14:schemeClr w14:val="tx1"/>
                        </w14:solidFill>
                      </w14:textFill>
                    </w:rPr>
                    <w:t>厂房中部，面积约140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设置3间喷漆室，2用1备，同时进行底漆或面漆的喷涂；设置一条传送带。</w:t>
                  </w:r>
                </w:p>
              </w:tc>
              <w:tc>
                <w:tcPr>
                  <w:tcW w:w="656" w:type="dxa"/>
                  <w:shd w:val="clear" w:color="auto" w:fill="auto"/>
                  <w:vAlign w:val="center"/>
                </w:tcPr>
                <w:p w14:paraId="09B43698">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2ABA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vMerge w:val="continue"/>
                  <w:shd w:val="clear" w:color="auto" w:fill="auto"/>
                  <w:vAlign w:val="center"/>
                </w:tcPr>
                <w:p w14:paraId="190EE30C">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78" w:type="dxa"/>
                  <w:vMerge w:val="continue"/>
                  <w:shd w:val="clear" w:color="auto" w:fill="auto"/>
                  <w:vAlign w:val="center"/>
                </w:tcPr>
                <w:p w14:paraId="185B6C99">
                  <w:pPr>
                    <w:keepNext w:val="0"/>
                    <w:keepLines w:val="0"/>
                    <w:suppressLineNumbers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p>
              </w:tc>
              <w:tc>
                <w:tcPr>
                  <w:tcW w:w="1190" w:type="dxa"/>
                  <w:shd w:val="clear" w:color="auto" w:fill="auto"/>
                  <w:vAlign w:val="center"/>
                </w:tcPr>
                <w:p w14:paraId="64253C9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流平固化区</w:t>
                  </w:r>
                </w:p>
              </w:tc>
              <w:tc>
                <w:tcPr>
                  <w:tcW w:w="4941" w:type="dxa"/>
                  <w:shd w:val="clear" w:color="auto" w:fill="auto"/>
                  <w:vAlign w:val="center"/>
                </w:tcPr>
                <w:p w14:paraId="184C5DB7">
                  <w:pPr>
                    <w:pStyle w:val="2"/>
                    <w:keepNext w:val="0"/>
                    <w:keepLines w:val="0"/>
                    <w:suppressLineNumbers w:val="0"/>
                    <w:spacing w:before="0" w:beforeAutospacing="0" w:after="0" w:afterAutospacing="0"/>
                    <w:ind w:left="0" w:leftChars="0" w:right="0" w:right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位于</w:t>
                  </w:r>
                  <w:r>
                    <w:rPr>
                      <w:rFonts w:hint="default" w:ascii="Times New Roman" w:hAnsi="Times New Roman" w:cs="Times New Roman"/>
                      <w:color w:val="000000" w:themeColor="text1"/>
                      <w:sz w:val="21"/>
                      <w:szCs w:val="21"/>
                      <w:lang w:val="en-US" w:eastAsia="zh-CN"/>
                      <w14:textFill>
                        <w14:solidFill>
                          <w14:schemeClr w14:val="tx1"/>
                        </w14:solidFill>
                      </w14:textFill>
                    </w:rPr>
                    <w:t>2F</w:t>
                  </w:r>
                  <w:r>
                    <w:rPr>
                      <w:rFonts w:hint="default" w:ascii="Times New Roman" w:hAnsi="Times New Roman" w:cs="Times New Roman"/>
                      <w:color w:val="000000" w:themeColor="text1"/>
                      <w:sz w:val="21"/>
                      <w:szCs w:val="21"/>
                      <w:lang w:eastAsia="zh-CN"/>
                      <w14:textFill>
                        <w14:solidFill>
                          <w14:schemeClr w14:val="tx1"/>
                        </w14:solidFill>
                      </w14:textFill>
                    </w:rPr>
                    <w:t>厂房</w:t>
                  </w:r>
                  <w:r>
                    <w:rPr>
                      <w:rFonts w:hint="default" w:ascii="Times New Roman" w:hAnsi="Times New Roman" w:cs="Times New Roman"/>
                      <w:color w:val="000000" w:themeColor="text1"/>
                      <w:sz w:val="21"/>
                      <w:szCs w:val="21"/>
                      <w:lang w:val="en-US" w:eastAsia="zh-CN"/>
                      <w14:textFill>
                        <w14:solidFill>
                          <w14:schemeClr w14:val="tx1"/>
                        </w14:solidFill>
                      </w14:textFill>
                    </w:rPr>
                    <w:t>西侧</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面积约</w:t>
                  </w:r>
                  <w:r>
                    <w:rPr>
                      <w:rFonts w:hint="eastAsia" w:ascii="Times New Roman" w:cs="Times New Roman"/>
                      <w:color w:val="000000" w:themeColor="text1"/>
                      <w:sz w:val="21"/>
                      <w:szCs w:val="21"/>
                      <w:lang w:val="en-US" w:eastAsia="zh-CN"/>
                      <w14:textFill>
                        <w14:solidFill>
                          <w14:schemeClr w14:val="tx1"/>
                        </w14:solidFill>
                      </w14:textFill>
                    </w:rPr>
                    <w:t>65</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用于喷涂</w:t>
                  </w:r>
                  <w:r>
                    <w:rPr>
                      <w:rFonts w:hint="eastAsia" w:ascii="Times New Roman" w:cs="Times New Roman"/>
                      <w:color w:val="000000" w:themeColor="text1"/>
                      <w:sz w:val="21"/>
                      <w:szCs w:val="21"/>
                      <w:lang w:val="en-US" w:eastAsia="zh-CN"/>
                      <w14:textFill>
                        <w14:solidFill>
                          <w14:schemeClr w14:val="tx1"/>
                        </w14:solidFill>
                      </w14:textFill>
                    </w:rPr>
                    <w:t>底漆或面漆</w:t>
                  </w:r>
                  <w:r>
                    <w:rPr>
                      <w:rFonts w:hint="default" w:ascii="Times New Roman" w:hAnsi="Times New Roman" w:cs="Times New Roman"/>
                      <w:color w:val="000000" w:themeColor="text1"/>
                      <w:sz w:val="21"/>
                      <w:szCs w:val="21"/>
                      <w:lang w:val="en-US" w:eastAsia="zh-CN"/>
                      <w14:textFill>
                        <w14:solidFill>
                          <w14:schemeClr w14:val="tx1"/>
                        </w14:solidFill>
                      </w14:textFill>
                    </w:rPr>
                    <w:t>后的工件流平固化，待流平固化后上件至烘架；</w:t>
                  </w:r>
                </w:p>
              </w:tc>
              <w:tc>
                <w:tcPr>
                  <w:tcW w:w="656" w:type="dxa"/>
                  <w:shd w:val="clear" w:color="auto" w:fill="auto"/>
                  <w:vAlign w:val="center"/>
                </w:tcPr>
                <w:p w14:paraId="571F3927">
                  <w:pPr>
                    <w:keepNext w:val="0"/>
                    <w:keepLines w:val="0"/>
                    <w:suppressLineNumbers w:val="0"/>
                    <w:spacing w:before="0" w:beforeAutospacing="0" w:after="0" w:afterAutospacing="0"/>
                    <w:ind w:left="0" w:right="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58CB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72" w:type="dxa"/>
                  <w:vMerge w:val="continue"/>
                  <w:shd w:val="clear" w:color="auto" w:fill="auto"/>
                  <w:vAlign w:val="center"/>
                </w:tcPr>
                <w:p w14:paraId="51F1A0FB">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78" w:type="dxa"/>
                  <w:vMerge w:val="continue"/>
                  <w:shd w:val="clear" w:color="auto" w:fill="auto"/>
                  <w:vAlign w:val="center"/>
                </w:tcPr>
                <w:p w14:paraId="7722D977">
                  <w:pPr>
                    <w:keepNext w:val="0"/>
                    <w:keepLines w:val="0"/>
                    <w:suppressLineNumbers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p>
              </w:tc>
              <w:tc>
                <w:tcPr>
                  <w:tcW w:w="1190" w:type="dxa"/>
                  <w:shd w:val="clear" w:color="auto" w:fill="auto"/>
                  <w:vAlign w:val="center"/>
                </w:tcPr>
                <w:p w14:paraId="5B66D81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烘干区</w:t>
                  </w:r>
                </w:p>
              </w:tc>
              <w:tc>
                <w:tcPr>
                  <w:tcW w:w="4941" w:type="dxa"/>
                  <w:shd w:val="clear" w:color="auto" w:fill="auto"/>
                  <w:vAlign w:val="center"/>
                </w:tcPr>
                <w:p w14:paraId="5C18A724">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eastAsia"/>
                      <w:color w:val="000000" w:themeColor="text1"/>
                      <w:sz w:val="21"/>
                      <w:szCs w:val="21"/>
                      <w:lang w:eastAsia="zh-CN"/>
                      <w14:textFill>
                        <w14:solidFill>
                          <w14:schemeClr w14:val="tx1"/>
                        </w14:solidFill>
                      </w14:textFill>
                    </w:rPr>
                    <w:t>厂房</w:t>
                  </w:r>
                  <w:r>
                    <w:rPr>
                      <w:rFonts w:hint="eastAsia"/>
                      <w:color w:val="000000" w:themeColor="text1"/>
                      <w:sz w:val="21"/>
                      <w:szCs w:val="21"/>
                      <w:lang w:val="en-US" w:eastAsia="zh-CN"/>
                      <w14:textFill>
                        <w14:solidFill>
                          <w14:schemeClr w14:val="tx1"/>
                        </w14:solidFill>
                      </w14:textFill>
                    </w:rPr>
                    <w:t>中部</w:t>
                  </w:r>
                  <w:r>
                    <w:rPr>
                      <w:rFonts w:hint="eastAsia"/>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面积约</w:t>
                  </w:r>
                  <w:r>
                    <w:rPr>
                      <w:rFonts w:hint="eastAsia" w:cs="Times New Roman"/>
                      <w:color w:val="000000" w:themeColor="text1"/>
                      <w:sz w:val="21"/>
                      <w:szCs w:val="21"/>
                      <w:lang w:val="en-US" w:eastAsia="zh-CN"/>
                      <w14:textFill>
                        <w14:solidFill>
                          <w14:schemeClr w14:val="tx1"/>
                        </w14:solidFill>
                      </w14:textFill>
                    </w:rPr>
                    <w:t>45</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用于烘干流平固化后的工件</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656" w:type="dxa"/>
                  <w:shd w:val="clear" w:color="auto" w:fill="auto"/>
                  <w:vAlign w:val="center"/>
                </w:tcPr>
                <w:p w14:paraId="15699C32">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6FD3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772" w:type="dxa"/>
                  <w:vMerge w:val="continue"/>
                  <w:shd w:val="clear" w:color="auto" w:fill="auto"/>
                  <w:vAlign w:val="center"/>
                </w:tcPr>
                <w:p w14:paraId="3506CB5B">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78" w:type="dxa"/>
                  <w:vMerge w:val="continue"/>
                  <w:shd w:val="clear" w:color="auto" w:fill="auto"/>
                  <w:vAlign w:val="center"/>
                </w:tcPr>
                <w:p w14:paraId="19C7E46F">
                  <w:pPr>
                    <w:keepNext w:val="0"/>
                    <w:keepLines w:val="0"/>
                    <w:suppressLineNumbers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p>
              </w:tc>
              <w:tc>
                <w:tcPr>
                  <w:tcW w:w="1190" w:type="dxa"/>
                  <w:shd w:val="clear" w:color="auto" w:fill="auto"/>
                  <w:vAlign w:val="center"/>
                </w:tcPr>
                <w:p w14:paraId="4138D8C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贴花区</w:t>
                  </w:r>
                </w:p>
              </w:tc>
              <w:tc>
                <w:tcPr>
                  <w:tcW w:w="4941" w:type="dxa"/>
                  <w:shd w:val="clear" w:color="auto" w:fill="auto"/>
                  <w:vAlign w:val="center"/>
                </w:tcPr>
                <w:p w14:paraId="4FB551E3">
                  <w:pPr>
                    <w:keepNext w:val="0"/>
                    <w:keepLines w:val="0"/>
                    <w:suppressLineNumbers w:val="0"/>
                    <w:spacing w:before="0" w:beforeAutospacing="0" w:after="0" w:afterAutospacing="0"/>
                    <w:ind w:left="0" w:leftChars="0" w:right="0" w:rightChars="0"/>
                    <w:rPr>
                      <w:rFonts w:hint="eastAsia" w:ascii="Times New Roman" w:hAnsi="Times New Roman" w:eastAsia="宋体" w:cs="Times New Roman"/>
                      <w:bCs/>
                      <w:color w:val="000000" w:themeColor="text1"/>
                      <w:kern w:val="11"/>
                      <w:sz w:val="21"/>
                      <w:szCs w:val="21"/>
                      <w:lang w:val="en-US" w:eastAsia="zh-CN" w:bidi="ar-SA"/>
                      <w14:textFill>
                        <w14:solidFill>
                          <w14:schemeClr w14:val="tx1"/>
                        </w14:solidFill>
                      </w14:textFill>
                    </w:rPr>
                  </w:pPr>
                  <w:r>
                    <w:rPr>
                      <w:rFonts w:hint="eastAsia"/>
                      <w:bCs/>
                      <w:color w:val="000000" w:themeColor="text1"/>
                      <w:kern w:val="11"/>
                      <w:sz w:val="21"/>
                      <w:szCs w:val="21"/>
                      <w:lang w:eastAsia="zh-CN"/>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eastAsia"/>
                      <w:bCs/>
                      <w:color w:val="000000" w:themeColor="text1"/>
                      <w:kern w:val="11"/>
                      <w:sz w:val="21"/>
                      <w:szCs w:val="21"/>
                      <w:lang w:eastAsia="zh-CN"/>
                      <w14:textFill>
                        <w14:solidFill>
                          <w14:schemeClr w14:val="tx1"/>
                        </w14:solidFill>
                      </w14:textFill>
                    </w:rPr>
                    <w:t>厂房</w:t>
                  </w:r>
                  <w:r>
                    <w:rPr>
                      <w:rFonts w:hint="eastAsia"/>
                      <w:bCs/>
                      <w:color w:val="000000" w:themeColor="text1"/>
                      <w:kern w:val="11"/>
                      <w:sz w:val="21"/>
                      <w:szCs w:val="21"/>
                      <w:lang w:val="en-US" w:eastAsia="zh-CN"/>
                      <w14:textFill>
                        <w14:solidFill>
                          <w14:schemeClr w14:val="tx1"/>
                        </w14:solidFill>
                      </w14:textFill>
                    </w:rPr>
                    <w:t>中部</w:t>
                  </w:r>
                  <w:r>
                    <w:rPr>
                      <w:rFonts w:hint="eastAsia"/>
                      <w:bCs/>
                      <w:color w:val="000000" w:themeColor="text1"/>
                      <w:kern w:val="11"/>
                      <w:sz w:val="21"/>
                      <w:szCs w:val="21"/>
                      <w:lang w:eastAsia="zh-CN"/>
                      <w14:textFill>
                        <w14:solidFill>
                          <w14:schemeClr w14:val="tx1"/>
                        </w14:solidFill>
                      </w14:textFill>
                    </w:rPr>
                    <w:t>，面积约</w:t>
                  </w:r>
                  <w:r>
                    <w:rPr>
                      <w:rFonts w:hint="eastAsia"/>
                      <w:bCs/>
                      <w:color w:val="000000" w:themeColor="text1"/>
                      <w:kern w:val="11"/>
                      <w:sz w:val="21"/>
                      <w:szCs w:val="21"/>
                      <w:lang w:val="en-US" w:eastAsia="zh-CN"/>
                      <w14:textFill>
                        <w14:solidFill>
                          <w14:schemeClr w14:val="tx1"/>
                        </w14:solidFill>
                      </w14:textFill>
                    </w:rPr>
                    <w:t>90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eastAsia"/>
                      <w:color w:val="000000" w:themeColor="text1"/>
                      <w:sz w:val="21"/>
                      <w:szCs w:val="21"/>
                      <w:vertAlign w:val="baseline"/>
                      <w:lang w:eastAsia="zh-CN"/>
                      <w14:textFill>
                        <w14:solidFill>
                          <w14:schemeClr w14:val="tx1"/>
                        </w14:solidFill>
                      </w14:textFill>
                    </w:rPr>
                    <w:t>，</w:t>
                  </w:r>
                  <w:r>
                    <w:rPr>
                      <w:rFonts w:hint="eastAsia"/>
                      <w:color w:val="000000" w:themeColor="text1"/>
                      <w:sz w:val="21"/>
                      <w:szCs w:val="21"/>
                      <w:vertAlign w:val="baseline"/>
                      <w:lang w:val="en-US" w:eastAsia="zh-CN"/>
                      <w14:textFill>
                        <w14:solidFill>
                          <w14:schemeClr w14:val="tx1"/>
                        </w14:solidFill>
                      </w14:textFill>
                    </w:rPr>
                    <w:t>用于对底漆烘干后的产品进行表面贴花；</w:t>
                  </w:r>
                </w:p>
              </w:tc>
              <w:tc>
                <w:tcPr>
                  <w:tcW w:w="656" w:type="dxa"/>
                  <w:shd w:val="clear" w:color="auto" w:fill="auto"/>
                  <w:vAlign w:val="center"/>
                </w:tcPr>
                <w:p w14:paraId="707592B2">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0311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72" w:type="dxa"/>
                  <w:vMerge w:val="continue"/>
                  <w:shd w:val="clear" w:color="auto" w:fill="auto"/>
                  <w:vAlign w:val="center"/>
                </w:tcPr>
                <w:p w14:paraId="1D080DB1">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78" w:type="dxa"/>
                  <w:vMerge w:val="continue"/>
                  <w:shd w:val="clear" w:color="auto" w:fill="auto"/>
                  <w:vAlign w:val="center"/>
                </w:tcPr>
                <w:p w14:paraId="65D1B790">
                  <w:pPr>
                    <w:keepNext w:val="0"/>
                    <w:keepLines w:val="0"/>
                    <w:suppressLineNumbers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p>
              </w:tc>
              <w:tc>
                <w:tcPr>
                  <w:tcW w:w="1190" w:type="dxa"/>
                  <w:shd w:val="clear" w:color="auto" w:fill="auto"/>
                  <w:vAlign w:val="center"/>
                </w:tcPr>
                <w:p w14:paraId="41E8D3E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检验</w:t>
                  </w:r>
                  <w:r>
                    <w:rPr>
                      <w:rFonts w:hint="eastAsia"/>
                      <w:color w:val="000000" w:themeColor="text1"/>
                      <w:sz w:val="21"/>
                      <w:szCs w:val="21"/>
                      <w:lang w:eastAsia="zh-CN"/>
                      <w14:textFill>
                        <w14:solidFill>
                          <w14:schemeClr w14:val="tx1"/>
                        </w14:solidFill>
                      </w14:textFill>
                    </w:rPr>
                    <w:t>抛</w:t>
                  </w:r>
                  <w:r>
                    <w:rPr>
                      <w:rFonts w:hint="eastAsia"/>
                      <w:color w:val="000000" w:themeColor="text1"/>
                      <w:sz w:val="21"/>
                      <w:szCs w:val="21"/>
                      <w:lang w:val="en-US" w:eastAsia="zh-CN"/>
                      <w14:textFill>
                        <w14:solidFill>
                          <w14:schemeClr w14:val="tx1"/>
                        </w14:solidFill>
                      </w14:textFill>
                    </w:rPr>
                    <w:t>光</w:t>
                  </w:r>
                  <w:r>
                    <w:rPr>
                      <w:rFonts w:hint="eastAsia"/>
                      <w:color w:val="000000" w:themeColor="text1"/>
                      <w:lang w:val="en-US" w:eastAsia="zh-CN"/>
                      <w14:textFill>
                        <w14:solidFill>
                          <w14:schemeClr w14:val="tx1"/>
                        </w14:solidFill>
                      </w14:textFill>
                    </w:rPr>
                    <w:t>区</w:t>
                  </w:r>
                </w:p>
              </w:tc>
              <w:tc>
                <w:tcPr>
                  <w:tcW w:w="4941" w:type="dxa"/>
                  <w:shd w:val="clear" w:color="auto" w:fill="auto"/>
                  <w:vAlign w:val="center"/>
                </w:tcPr>
                <w:p w14:paraId="1FBC1835">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kern w:val="1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default" w:ascii="Times New Roman" w:hAnsi="Times New Roman" w:cs="Times New Roman"/>
                      <w:color w:val="000000" w:themeColor="text1"/>
                      <w:sz w:val="21"/>
                      <w:szCs w:val="21"/>
                      <w:lang w:eastAsia="zh-CN"/>
                      <w14:textFill>
                        <w14:solidFill>
                          <w14:schemeClr w14:val="tx1"/>
                        </w14:solidFill>
                      </w14:textFill>
                    </w:rPr>
                    <w:t>厂房</w:t>
                  </w:r>
                  <w:r>
                    <w:rPr>
                      <w:rFonts w:hint="default" w:ascii="Times New Roman" w:hAnsi="Times New Roman" w:cs="Times New Roman"/>
                      <w:color w:val="000000" w:themeColor="text1"/>
                      <w:sz w:val="21"/>
                      <w:szCs w:val="21"/>
                      <w:lang w:val="en-US" w:eastAsia="zh-CN"/>
                      <w14:textFill>
                        <w14:solidFill>
                          <w14:schemeClr w14:val="tx1"/>
                        </w14:solidFill>
                      </w14:textFill>
                    </w:rPr>
                    <w:t>北侧</w:t>
                  </w:r>
                  <w:r>
                    <w:rPr>
                      <w:rFonts w:hint="default" w:ascii="Times New Roman" w:hAnsi="Times New Roman" w:cs="Times New Roman"/>
                      <w:color w:val="000000" w:themeColor="text1"/>
                      <w:sz w:val="21"/>
                      <w:szCs w:val="21"/>
                      <w:lang w:eastAsia="zh-CN"/>
                      <w14:textFill>
                        <w14:solidFill>
                          <w14:schemeClr w14:val="tx1"/>
                        </w14:solidFill>
                      </w14:textFill>
                    </w:rPr>
                    <w:t>，面积约</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用于对面漆烘干后的工件进行检验，合格工件进行抛光，</w:t>
                  </w:r>
                  <w:r>
                    <w:rPr>
                      <w:color w:val="000000" w:themeColor="text1"/>
                      <w:szCs w:val="21"/>
                      <w:highlight w:val="none"/>
                      <w14:textFill>
                        <w14:solidFill>
                          <w14:schemeClr w14:val="tx1"/>
                        </w14:solidFill>
                      </w14:textFill>
                    </w:rPr>
                    <w:t>使表面更光亮。</w:t>
                  </w:r>
                </w:p>
              </w:tc>
              <w:tc>
                <w:tcPr>
                  <w:tcW w:w="656" w:type="dxa"/>
                  <w:shd w:val="clear" w:color="auto" w:fill="auto"/>
                  <w:vAlign w:val="center"/>
                </w:tcPr>
                <w:p w14:paraId="54A9E75A">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0F97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72" w:type="dxa"/>
                  <w:vMerge w:val="continue"/>
                  <w:shd w:val="clear" w:color="auto" w:fill="auto"/>
                  <w:vAlign w:val="center"/>
                </w:tcPr>
                <w:p w14:paraId="6EC4F7B8">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78" w:type="dxa"/>
                  <w:vMerge w:val="restart"/>
                  <w:shd w:val="clear" w:color="auto" w:fill="auto"/>
                  <w:vAlign w:val="center"/>
                </w:tcPr>
                <w:p w14:paraId="6693DB2D">
                  <w:pPr>
                    <w:keepNext w:val="0"/>
                    <w:keepLines w:val="0"/>
                    <w:suppressLineNumbers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2#生产线</w:t>
                  </w:r>
                </w:p>
              </w:tc>
              <w:tc>
                <w:tcPr>
                  <w:tcW w:w="1190" w:type="dxa"/>
                  <w:shd w:val="clear" w:color="auto" w:fill="auto"/>
                  <w:vAlign w:val="center"/>
                </w:tcPr>
                <w:p w14:paraId="2EF87C5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打磨区</w:t>
                  </w:r>
                </w:p>
              </w:tc>
              <w:tc>
                <w:tcPr>
                  <w:tcW w:w="4941" w:type="dxa"/>
                  <w:shd w:val="clear" w:color="auto" w:fill="auto"/>
                  <w:vAlign w:val="center"/>
                </w:tcPr>
                <w:p w14:paraId="5D2CC544">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eastAsia"/>
                      <w:color w:val="000000" w:themeColor="text1"/>
                      <w:sz w:val="21"/>
                      <w:szCs w:val="21"/>
                      <w:lang w:eastAsia="zh-CN"/>
                      <w14:textFill>
                        <w14:solidFill>
                          <w14:schemeClr w14:val="tx1"/>
                        </w14:solidFill>
                      </w14:textFill>
                    </w:rPr>
                    <w:t>厂房</w:t>
                  </w:r>
                  <w:r>
                    <w:rPr>
                      <w:rFonts w:hint="eastAsia"/>
                      <w:color w:val="000000" w:themeColor="text1"/>
                      <w:sz w:val="21"/>
                      <w:szCs w:val="21"/>
                      <w:lang w:val="en-US" w:eastAsia="zh-CN"/>
                      <w14:textFill>
                        <w14:solidFill>
                          <w14:schemeClr w14:val="tx1"/>
                        </w14:solidFill>
                      </w14:textFill>
                    </w:rPr>
                    <w:t>中部</w:t>
                  </w:r>
                  <w:r>
                    <w:rPr>
                      <w:rFonts w:hint="eastAsia"/>
                      <w:color w:val="000000" w:themeColor="text1"/>
                      <w:sz w:val="21"/>
                      <w:szCs w:val="21"/>
                      <w:lang w:eastAsia="zh-CN"/>
                      <w14:textFill>
                        <w14:solidFill>
                          <w14:schemeClr w14:val="tx1"/>
                        </w14:solidFill>
                      </w14:textFill>
                    </w:rPr>
                    <w:t>，面积约</w:t>
                  </w:r>
                  <w:r>
                    <w:rPr>
                      <w:rFonts w:hint="eastAsia"/>
                      <w:color w:val="000000" w:themeColor="text1"/>
                      <w:sz w:val="21"/>
                      <w:szCs w:val="21"/>
                      <w:lang w:val="en-US" w:eastAsia="zh-CN"/>
                      <w14:textFill>
                        <w14:solidFill>
                          <w14:schemeClr w14:val="tx1"/>
                        </w14:solidFill>
                      </w14:textFill>
                    </w:rPr>
                    <w:t>60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用于毛坯件打磨。</w:t>
                  </w:r>
                </w:p>
              </w:tc>
              <w:tc>
                <w:tcPr>
                  <w:tcW w:w="656" w:type="dxa"/>
                  <w:shd w:val="clear" w:color="auto" w:fill="auto"/>
                  <w:vAlign w:val="center"/>
                </w:tcPr>
                <w:p w14:paraId="41A9C22B">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225C6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72" w:type="dxa"/>
                  <w:vMerge w:val="continue"/>
                  <w:shd w:val="clear" w:color="auto" w:fill="auto"/>
                  <w:vAlign w:val="center"/>
                </w:tcPr>
                <w:p w14:paraId="1AC4DFFA">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78" w:type="dxa"/>
                  <w:vMerge w:val="continue"/>
                  <w:shd w:val="clear" w:color="auto" w:fill="auto"/>
                  <w:vAlign w:val="center"/>
                </w:tcPr>
                <w:p w14:paraId="196DBE59">
                  <w:pPr>
                    <w:keepNext w:val="0"/>
                    <w:keepLines w:val="0"/>
                    <w:suppressLineNumbers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p>
              </w:tc>
              <w:tc>
                <w:tcPr>
                  <w:tcW w:w="1190" w:type="dxa"/>
                  <w:shd w:val="clear" w:color="auto" w:fill="auto"/>
                  <w:vAlign w:val="center"/>
                </w:tcPr>
                <w:p w14:paraId="372B8C0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除尘上件区</w:t>
                  </w:r>
                </w:p>
              </w:tc>
              <w:tc>
                <w:tcPr>
                  <w:tcW w:w="4941" w:type="dxa"/>
                  <w:shd w:val="clear" w:color="auto" w:fill="auto"/>
                  <w:vAlign w:val="center"/>
                </w:tcPr>
                <w:p w14:paraId="44EE7661">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eastAsia"/>
                      <w:color w:val="000000" w:themeColor="text1"/>
                      <w:sz w:val="21"/>
                      <w:szCs w:val="21"/>
                      <w:lang w:eastAsia="zh-CN"/>
                      <w14:textFill>
                        <w14:solidFill>
                          <w14:schemeClr w14:val="tx1"/>
                        </w14:solidFill>
                      </w14:textFill>
                    </w:rPr>
                    <w:t>厂房</w:t>
                  </w:r>
                  <w:r>
                    <w:rPr>
                      <w:rFonts w:hint="eastAsia"/>
                      <w:color w:val="000000" w:themeColor="text1"/>
                      <w:sz w:val="21"/>
                      <w:szCs w:val="21"/>
                      <w:lang w:val="en-US" w:eastAsia="zh-CN"/>
                      <w14:textFill>
                        <w14:solidFill>
                          <w14:schemeClr w14:val="tx1"/>
                        </w14:solidFill>
                      </w14:textFill>
                    </w:rPr>
                    <w:t>东</w:t>
                  </w:r>
                  <w:r>
                    <w:rPr>
                      <w:rFonts w:hint="eastAsia"/>
                      <w:color w:val="000000" w:themeColor="text1"/>
                      <w:sz w:val="21"/>
                      <w:szCs w:val="21"/>
                      <w:lang w:eastAsia="zh-CN"/>
                      <w14:textFill>
                        <w14:solidFill>
                          <w14:schemeClr w14:val="tx1"/>
                        </w14:solidFill>
                      </w14:textFill>
                    </w:rPr>
                    <w:t>侧，</w:t>
                  </w:r>
                  <w:r>
                    <w:rPr>
                      <w:rFonts w:hint="eastAsia"/>
                      <w:color w:val="000000" w:themeColor="text1"/>
                      <w:sz w:val="21"/>
                      <w:szCs w:val="21"/>
                      <w14:textFill>
                        <w14:solidFill>
                          <w14:schemeClr w14:val="tx1"/>
                        </w14:solidFill>
                      </w14:textFill>
                    </w:rPr>
                    <w:t>面积约</w:t>
                  </w:r>
                  <w:r>
                    <w:rPr>
                      <w:rFonts w:hint="eastAsia"/>
                      <w:color w:val="000000" w:themeColor="text1"/>
                      <w:sz w:val="21"/>
                      <w:szCs w:val="21"/>
                      <w:lang w:val="en-US" w:eastAsia="zh-CN"/>
                      <w14:textFill>
                        <w14:solidFill>
                          <w14:schemeClr w14:val="tx1"/>
                        </w14:solidFill>
                      </w14:textFill>
                    </w:rPr>
                    <w:t>140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用于对打磨后的毛坯件进行除尘。</w:t>
                  </w:r>
                </w:p>
              </w:tc>
              <w:tc>
                <w:tcPr>
                  <w:tcW w:w="656" w:type="dxa"/>
                  <w:shd w:val="clear" w:color="auto" w:fill="auto"/>
                  <w:vAlign w:val="center"/>
                </w:tcPr>
                <w:p w14:paraId="29AA11E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5A90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72" w:type="dxa"/>
                  <w:vMerge w:val="continue"/>
                  <w:shd w:val="clear" w:color="auto" w:fill="auto"/>
                  <w:vAlign w:val="center"/>
                </w:tcPr>
                <w:p w14:paraId="5EE3D1D5">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78" w:type="dxa"/>
                  <w:vMerge w:val="continue"/>
                  <w:shd w:val="clear" w:color="auto" w:fill="auto"/>
                  <w:vAlign w:val="center"/>
                </w:tcPr>
                <w:p w14:paraId="51FE8C4F">
                  <w:pPr>
                    <w:keepNext w:val="0"/>
                    <w:keepLines w:val="0"/>
                    <w:suppressLineNumbers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p>
              </w:tc>
              <w:tc>
                <w:tcPr>
                  <w:tcW w:w="1190" w:type="dxa"/>
                  <w:shd w:val="clear" w:color="auto" w:fill="auto"/>
                  <w:vAlign w:val="center"/>
                </w:tcPr>
                <w:p w14:paraId="3A0B537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喷涂区</w:t>
                  </w:r>
                </w:p>
              </w:tc>
              <w:tc>
                <w:tcPr>
                  <w:tcW w:w="4941" w:type="dxa"/>
                  <w:shd w:val="clear" w:color="auto" w:fill="auto"/>
                  <w:vAlign w:val="center"/>
                </w:tcPr>
                <w:p w14:paraId="77E4103B">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kern w:val="2"/>
                      <w:sz w:val="21"/>
                      <w:szCs w:val="24"/>
                      <w:lang w:val="en-US" w:eastAsia="zh-CN" w:bidi="ar-SA"/>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eastAsia" w:cs="Times New Roman"/>
                      <w:color w:val="000000" w:themeColor="text1"/>
                      <w:kern w:val="2"/>
                      <w:sz w:val="21"/>
                      <w:szCs w:val="24"/>
                      <w:lang w:val="en-US" w:eastAsia="zh-CN" w:bidi="ar-SA"/>
                      <w14:textFill>
                        <w14:solidFill>
                          <w14:schemeClr w14:val="tx1"/>
                        </w14:solidFill>
                      </w14:textFill>
                    </w:rPr>
                    <w:t>厂房中部，面积约140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设置3间喷漆室，2用1备，同时进行底漆或面漆的喷涂；设置一条传送带。</w:t>
                  </w:r>
                </w:p>
              </w:tc>
              <w:tc>
                <w:tcPr>
                  <w:tcW w:w="656" w:type="dxa"/>
                  <w:shd w:val="clear" w:color="auto" w:fill="auto"/>
                  <w:vAlign w:val="center"/>
                </w:tcPr>
                <w:p w14:paraId="614AAF33">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067D1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72" w:type="dxa"/>
                  <w:vMerge w:val="continue"/>
                  <w:shd w:val="clear" w:color="auto" w:fill="auto"/>
                  <w:vAlign w:val="center"/>
                </w:tcPr>
                <w:p w14:paraId="23C9D67B">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78" w:type="dxa"/>
                  <w:vMerge w:val="continue"/>
                  <w:shd w:val="clear" w:color="auto" w:fill="auto"/>
                  <w:vAlign w:val="center"/>
                </w:tcPr>
                <w:p w14:paraId="01EA34DA">
                  <w:pPr>
                    <w:keepNext w:val="0"/>
                    <w:keepLines w:val="0"/>
                    <w:suppressLineNumbers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p>
              </w:tc>
              <w:tc>
                <w:tcPr>
                  <w:tcW w:w="1190" w:type="dxa"/>
                  <w:shd w:val="clear" w:color="auto" w:fill="auto"/>
                  <w:vAlign w:val="center"/>
                </w:tcPr>
                <w:p w14:paraId="378B70B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流平固化区</w:t>
                  </w:r>
                </w:p>
              </w:tc>
              <w:tc>
                <w:tcPr>
                  <w:tcW w:w="4941" w:type="dxa"/>
                  <w:shd w:val="clear" w:color="auto" w:fill="auto"/>
                  <w:vAlign w:val="center"/>
                </w:tcPr>
                <w:p w14:paraId="0D3A1D74">
                  <w:pPr>
                    <w:pStyle w:val="2"/>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位于</w:t>
                  </w:r>
                  <w:r>
                    <w:rPr>
                      <w:rFonts w:hint="default" w:ascii="Times New Roman" w:hAnsi="Times New Roman" w:cs="Times New Roman"/>
                      <w:color w:val="000000" w:themeColor="text1"/>
                      <w:sz w:val="21"/>
                      <w:szCs w:val="21"/>
                      <w:lang w:val="en-US" w:eastAsia="zh-CN"/>
                      <w14:textFill>
                        <w14:solidFill>
                          <w14:schemeClr w14:val="tx1"/>
                        </w14:solidFill>
                      </w14:textFill>
                    </w:rPr>
                    <w:t>2F</w:t>
                  </w:r>
                  <w:r>
                    <w:rPr>
                      <w:rFonts w:hint="default" w:ascii="Times New Roman" w:hAnsi="Times New Roman" w:cs="Times New Roman"/>
                      <w:color w:val="000000" w:themeColor="text1"/>
                      <w:sz w:val="21"/>
                      <w:szCs w:val="21"/>
                      <w:lang w:eastAsia="zh-CN"/>
                      <w14:textFill>
                        <w14:solidFill>
                          <w14:schemeClr w14:val="tx1"/>
                        </w14:solidFill>
                      </w14:textFill>
                    </w:rPr>
                    <w:t>厂房</w:t>
                  </w:r>
                  <w:r>
                    <w:rPr>
                      <w:rFonts w:hint="default" w:ascii="Times New Roman" w:hAnsi="Times New Roman" w:cs="Times New Roman"/>
                      <w:color w:val="000000" w:themeColor="text1"/>
                      <w:sz w:val="21"/>
                      <w:szCs w:val="21"/>
                      <w:lang w:val="en-US" w:eastAsia="zh-CN"/>
                      <w14:textFill>
                        <w14:solidFill>
                          <w14:schemeClr w14:val="tx1"/>
                        </w14:solidFill>
                      </w14:textFill>
                    </w:rPr>
                    <w:t>西侧</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面积约</w:t>
                  </w:r>
                  <w:r>
                    <w:rPr>
                      <w:rFonts w:hint="eastAsia" w:ascii="Times New Roman" w:cs="Times New Roman"/>
                      <w:color w:val="000000" w:themeColor="text1"/>
                      <w:sz w:val="21"/>
                      <w:szCs w:val="21"/>
                      <w:lang w:val="en-US" w:eastAsia="zh-CN"/>
                      <w14:textFill>
                        <w14:solidFill>
                          <w14:schemeClr w14:val="tx1"/>
                        </w14:solidFill>
                      </w14:textFill>
                    </w:rPr>
                    <w:t>65</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用于喷涂</w:t>
                  </w:r>
                  <w:r>
                    <w:rPr>
                      <w:rFonts w:hint="eastAsia" w:ascii="Times New Roman" w:cs="Times New Roman"/>
                      <w:color w:val="000000" w:themeColor="text1"/>
                      <w:sz w:val="21"/>
                      <w:szCs w:val="21"/>
                      <w:lang w:val="en-US" w:eastAsia="zh-CN"/>
                      <w14:textFill>
                        <w14:solidFill>
                          <w14:schemeClr w14:val="tx1"/>
                        </w14:solidFill>
                      </w14:textFill>
                    </w:rPr>
                    <w:t>底漆或面漆</w:t>
                  </w:r>
                  <w:r>
                    <w:rPr>
                      <w:rFonts w:hint="default" w:ascii="Times New Roman" w:hAnsi="Times New Roman" w:cs="Times New Roman"/>
                      <w:color w:val="000000" w:themeColor="text1"/>
                      <w:sz w:val="21"/>
                      <w:szCs w:val="21"/>
                      <w:lang w:val="en-US" w:eastAsia="zh-CN"/>
                      <w14:textFill>
                        <w14:solidFill>
                          <w14:schemeClr w14:val="tx1"/>
                        </w14:solidFill>
                      </w14:textFill>
                    </w:rPr>
                    <w:t>后的工件流平固化，待流平固化后上件至烘架；</w:t>
                  </w:r>
                </w:p>
              </w:tc>
              <w:tc>
                <w:tcPr>
                  <w:tcW w:w="656" w:type="dxa"/>
                  <w:shd w:val="clear" w:color="auto" w:fill="auto"/>
                  <w:vAlign w:val="center"/>
                </w:tcPr>
                <w:p w14:paraId="285842F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2D7F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72" w:type="dxa"/>
                  <w:vMerge w:val="continue"/>
                  <w:shd w:val="clear" w:color="auto" w:fill="auto"/>
                  <w:vAlign w:val="center"/>
                </w:tcPr>
                <w:p w14:paraId="117A9B66">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78" w:type="dxa"/>
                  <w:vMerge w:val="continue"/>
                  <w:shd w:val="clear" w:color="auto" w:fill="auto"/>
                  <w:vAlign w:val="center"/>
                </w:tcPr>
                <w:p w14:paraId="3301298D">
                  <w:pPr>
                    <w:keepNext w:val="0"/>
                    <w:keepLines w:val="0"/>
                    <w:suppressLineNumbers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p>
              </w:tc>
              <w:tc>
                <w:tcPr>
                  <w:tcW w:w="1190" w:type="dxa"/>
                  <w:shd w:val="clear" w:color="auto" w:fill="auto"/>
                  <w:vAlign w:val="center"/>
                </w:tcPr>
                <w:p w14:paraId="4E657E3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烘干区</w:t>
                  </w:r>
                </w:p>
              </w:tc>
              <w:tc>
                <w:tcPr>
                  <w:tcW w:w="4941" w:type="dxa"/>
                  <w:shd w:val="clear" w:color="auto" w:fill="auto"/>
                  <w:vAlign w:val="center"/>
                </w:tcPr>
                <w:p w14:paraId="4413BD51">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eastAsia"/>
                      <w:color w:val="000000" w:themeColor="text1"/>
                      <w:sz w:val="21"/>
                      <w:szCs w:val="21"/>
                      <w:lang w:eastAsia="zh-CN"/>
                      <w14:textFill>
                        <w14:solidFill>
                          <w14:schemeClr w14:val="tx1"/>
                        </w14:solidFill>
                      </w14:textFill>
                    </w:rPr>
                    <w:t>厂房</w:t>
                  </w:r>
                  <w:r>
                    <w:rPr>
                      <w:rFonts w:hint="eastAsia"/>
                      <w:color w:val="000000" w:themeColor="text1"/>
                      <w:sz w:val="21"/>
                      <w:szCs w:val="21"/>
                      <w:lang w:val="en-US" w:eastAsia="zh-CN"/>
                      <w14:textFill>
                        <w14:solidFill>
                          <w14:schemeClr w14:val="tx1"/>
                        </w14:solidFill>
                      </w14:textFill>
                    </w:rPr>
                    <w:t>中部</w:t>
                  </w:r>
                  <w:r>
                    <w:rPr>
                      <w:rFonts w:hint="eastAsia"/>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面积约</w:t>
                  </w:r>
                  <w:r>
                    <w:rPr>
                      <w:rFonts w:hint="eastAsia" w:cs="Times New Roman"/>
                      <w:color w:val="000000" w:themeColor="text1"/>
                      <w:sz w:val="21"/>
                      <w:szCs w:val="21"/>
                      <w:lang w:val="en-US" w:eastAsia="zh-CN"/>
                      <w14:textFill>
                        <w14:solidFill>
                          <w14:schemeClr w14:val="tx1"/>
                        </w14:solidFill>
                      </w14:textFill>
                    </w:rPr>
                    <w:t>45</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用于烘干流平固化后的工件</w:t>
                  </w: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656" w:type="dxa"/>
                  <w:shd w:val="clear" w:color="auto" w:fill="auto"/>
                  <w:vAlign w:val="center"/>
                </w:tcPr>
                <w:p w14:paraId="71A6133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6360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72" w:type="dxa"/>
                  <w:vMerge w:val="continue"/>
                  <w:shd w:val="clear" w:color="auto" w:fill="auto"/>
                  <w:vAlign w:val="center"/>
                </w:tcPr>
                <w:p w14:paraId="60E67C29">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78" w:type="dxa"/>
                  <w:vMerge w:val="continue"/>
                  <w:shd w:val="clear" w:color="auto" w:fill="auto"/>
                  <w:vAlign w:val="center"/>
                </w:tcPr>
                <w:p w14:paraId="10BA8B61">
                  <w:pPr>
                    <w:keepNext w:val="0"/>
                    <w:keepLines w:val="0"/>
                    <w:suppressLineNumbers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p>
              </w:tc>
              <w:tc>
                <w:tcPr>
                  <w:tcW w:w="1190" w:type="dxa"/>
                  <w:shd w:val="clear" w:color="auto" w:fill="auto"/>
                  <w:vAlign w:val="center"/>
                </w:tcPr>
                <w:p w14:paraId="110D126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贴花区</w:t>
                  </w:r>
                </w:p>
              </w:tc>
              <w:tc>
                <w:tcPr>
                  <w:tcW w:w="4941" w:type="dxa"/>
                  <w:shd w:val="clear" w:color="auto" w:fill="auto"/>
                  <w:vAlign w:val="center"/>
                </w:tcPr>
                <w:p w14:paraId="668C4BA0">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kern w:val="11"/>
                      <w:sz w:val="21"/>
                      <w:szCs w:val="21"/>
                      <w:lang w:val="en-US" w:eastAsia="zh-CN" w:bidi="ar-SA"/>
                      <w14:textFill>
                        <w14:solidFill>
                          <w14:schemeClr w14:val="tx1"/>
                        </w14:solidFill>
                      </w14:textFill>
                    </w:rPr>
                  </w:pPr>
                  <w:r>
                    <w:rPr>
                      <w:rFonts w:hint="eastAsia"/>
                      <w:bCs/>
                      <w:color w:val="000000" w:themeColor="text1"/>
                      <w:kern w:val="11"/>
                      <w:sz w:val="21"/>
                      <w:szCs w:val="21"/>
                      <w:lang w:eastAsia="zh-CN"/>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eastAsia"/>
                      <w:bCs/>
                      <w:color w:val="000000" w:themeColor="text1"/>
                      <w:kern w:val="11"/>
                      <w:sz w:val="21"/>
                      <w:szCs w:val="21"/>
                      <w:lang w:eastAsia="zh-CN"/>
                      <w14:textFill>
                        <w14:solidFill>
                          <w14:schemeClr w14:val="tx1"/>
                        </w14:solidFill>
                      </w14:textFill>
                    </w:rPr>
                    <w:t>厂房</w:t>
                  </w:r>
                  <w:r>
                    <w:rPr>
                      <w:rFonts w:hint="eastAsia"/>
                      <w:bCs/>
                      <w:color w:val="000000" w:themeColor="text1"/>
                      <w:kern w:val="11"/>
                      <w:sz w:val="21"/>
                      <w:szCs w:val="21"/>
                      <w:lang w:val="en-US" w:eastAsia="zh-CN"/>
                      <w14:textFill>
                        <w14:solidFill>
                          <w14:schemeClr w14:val="tx1"/>
                        </w14:solidFill>
                      </w14:textFill>
                    </w:rPr>
                    <w:t>中部</w:t>
                  </w:r>
                  <w:r>
                    <w:rPr>
                      <w:rFonts w:hint="eastAsia"/>
                      <w:bCs/>
                      <w:color w:val="000000" w:themeColor="text1"/>
                      <w:kern w:val="11"/>
                      <w:sz w:val="21"/>
                      <w:szCs w:val="21"/>
                      <w:lang w:eastAsia="zh-CN"/>
                      <w14:textFill>
                        <w14:solidFill>
                          <w14:schemeClr w14:val="tx1"/>
                        </w14:solidFill>
                      </w14:textFill>
                    </w:rPr>
                    <w:t>，面积约</w:t>
                  </w:r>
                  <w:r>
                    <w:rPr>
                      <w:rFonts w:hint="eastAsia"/>
                      <w:bCs/>
                      <w:color w:val="000000" w:themeColor="text1"/>
                      <w:kern w:val="11"/>
                      <w:sz w:val="21"/>
                      <w:szCs w:val="21"/>
                      <w:lang w:val="en-US" w:eastAsia="zh-CN"/>
                      <w14:textFill>
                        <w14:solidFill>
                          <w14:schemeClr w14:val="tx1"/>
                        </w14:solidFill>
                      </w14:textFill>
                    </w:rPr>
                    <w:t>90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eastAsia"/>
                      <w:color w:val="000000" w:themeColor="text1"/>
                      <w:sz w:val="21"/>
                      <w:szCs w:val="21"/>
                      <w:vertAlign w:val="baseline"/>
                      <w:lang w:eastAsia="zh-CN"/>
                      <w14:textFill>
                        <w14:solidFill>
                          <w14:schemeClr w14:val="tx1"/>
                        </w14:solidFill>
                      </w14:textFill>
                    </w:rPr>
                    <w:t>，</w:t>
                  </w:r>
                  <w:r>
                    <w:rPr>
                      <w:rFonts w:hint="eastAsia"/>
                      <w:color w:val="000000" w:themeColor="text1"/>
                      <w:sz w:val="21"/>
                      <w:szCs w:val="21"/>
                      <w:vertAlign w:val="baseline"/>
                      <w:lang w:val="en-US" w:eastAsia="zh-CN"/>
                      <w14:textFill>
                        <w14:solidFill>
                          <w14:schemeClr w14:val="tx1"/>
                        </w14:solidFill>
                      </w14:textFill>
                    </w:rPr>
                    <w:t>用于对底漆烘干后的产品进行表面贴花；</w:t>
                  </w:r>
                </w:p>
              </w:tc>
              <w:tc>
                <w:tcPr>
                  <w:tcW w:w="656" w:type="dxa"/>
                  <w:shd w:val="clear" w:color="auto" w:fill="auto"/>
                  <w:vAlign w:val="center"/>
                </w:tcPr>
                <w:p w14:paraId="0CCD3C18">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6374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72" w:type="dxa"/>
                  <w:vMerge w:val="continue"/>
                  <w:shd w:val="clear" w:color="auto" w:fill="auto"/>
                  <w:vAlign w:val="center"/>
                </w:tcPr>
                <w:p w14:paraId="2B747F39">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78" w:type="dxa"/>
                  <w:vMerge w:val="continue"/>
                  <w:shd w:val="clear" w:color="auto" w:fill="auto"/>
                  <w:vAlign w:val="center"/>
                </w:tcPr>
                <w:p w14:paraId="3DC683DD">
                  <w:pPr>
                    <w:keepNext w:val="0"/>
                    <w:keepLines w:val="0"/>
                    <w:suppressLineNumbers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p>
              </w:tc>
              <w:tc>
                <w:tcPr>
                  <w:tcW w:w="1190" w:type="dxa"/>
                  <w:shd w:val="clear" w:color="auto" w:fill="auto"/>
                  <w:vAlign w:val="center"/>
                </w:tcPr>
                <w:p w14:paraId="44427520">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检验</w:t>
                  </w:r>
                  <w:r>
                    <w:rPr>
                      <w:rFonts w:hint="eastAsia"/>
                      <w:color w:val="000000" w:themeColor="text1"/>
                      <w:sz w:val="21"/>
                      <w:szCs w:val="21"/>
                      <w:lang w:eastAsia="zh-CN"/>
                      <w14:textFill>
                        <w14:solidFill>
                          <w14:schemeClr w14:val="tx1"/>
                        </w14:solidFill>
                      </w14:textFill>
                    </w:rPr>
                    <w:t>抛</w:t>
                  </w:r>
                  <w:r>
                    <w:rPr>
                      <w:rFonts w:hint="eastAsia"/>
                      <w:color w:val="000000" w:themeColor="text1"/>
                      <w:sz w:val="21"/>
                      <w:szCs w:val="21"/>
                      <w:lang w:val="en-US" w:eastAsia="zh-CN"/>
                      <w14:textFill>
                        <w14:solidFill>
                          <w14:schemeClr w14:val="tx1"/>
                        </w14:solidFill>
                      </w14:textFill>
                    </w:rPr>
                    <w:t>光</w:t>
                  </w:r>
                  <w:r>
                    <w:rPr>
                      <w:rFonts w:hint="eastAsia"/>
                      <w:color w:val="000000" w:themeColor="text1"/>
                      <w:lang w:val="en-US" w:eastAsia="zh-CN"/>
                      <w14:textFill>
                        <w14:solidFill>
                          <w14:schemeClr w14:val="tx1"/>
                        </w14:solidFill>
                      </w14:textFill>
                    </w:rPr>
                    <w:t>区</w:t>
                  </w:r>
                </w:p>
              </w:tc>
              <w:tc>
                <w:tcPr>
                  <w:tcW w:w="4941" w:type="dxa"/>
                  <w:shd w:val="clear" w:color="auto" w:fill="auto"/>
                  <w:vAlign w:val="center"/>
                </w:tcPr>
                <w:p w14:paraId="13CA3B7D">
                  <w:pPr>
                    <w:keepNext w:val="0"/>
                    <w:keepLines w:val="0"/>
                    <w:suppressLineNumbers w:val="0"/>
                    <w:spacing w:before="0" w:beforeAutospacing="0" w:after="0" w:afterAutospacing="0"/>
                    <w:ind w:left="0" w:leftChars="0" w:right="0" w:rightChars="0"/>
                    <w:rPr>
                      <w:rFonts w:hint="default" w:ascii="Times New Roman" w:hAnsi="Times New Roman" w:eastAsia="宋体" w:cs="Times New Roman"/>
                      <w:bCs/>
                      <w:color w:val="000000" w:themeColor="text1"/>
                      <w:kern w:val="1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default" w:ascii="Times New Roman" w:hAnsi="Times New Roman" w:cs="Times New Roman"/>
                      <w:color w:val="000000" w:themeColor="text1"/>
                      <w:sz w:val="21"/>
                      <w:szCs w:val="21"/>
                      <w:lang w:eastAsia="zh-CN"/>
                      <w14:textFill>
                        <w14:solidFill>
                          <w14:schemeClr w14:val="tx1"/>
                        </w14:solidFill>
                      </w14:textFill>
                    </w:rPr>
                    <w:t>厂房</w:t>
                  </w:r>
                  <w:r>
                    <w:rPr>
                      <w:rFonts w:hint="default" w:ascii="Times New Roman" w:hAnsi="Times New Roman" w:cs="Times New Roman"/>
                      <w:color w:val="000000" w:themeColor="text1"/>
                      <w:sz w:val="21"/>
                      <w:szCs w:val="21"/>
                      <w:lang w:val="en-US" w:eastAsia="zh-CN"/>
                      <w14:textFill>
                        <w14:solidFill>
                          <w14:schemeClr w14:val="tx1"/>
                        </w14:solidFill>
                      </w14:textFill>
                    </w:rPr>
                    <w:t>南</w:t>
                  </w:r>
                  <w:r>
                    <w:rPr>
                      <w:rFonts w:hint="default" w:ascii="Times New Roman" w:hAnsi="Times New Roman" w:cs="Times New Roman"/>
                      <w:color w:val="000000" w:themeColor="text1"/>
                      <w:sz w:val="21"/>
                      <w:szCs w:val="21"/>
                      <w:lang w:eastAsia="zh-CN"/>
                      <w14:textFill>
                        <w14:solidFill>
                          <w14:schemeClr w14:val="tx1"/>
                        </w14:solidFill>
                      </w14:textFill>
                    </w:rPr>
                    <w:t>侧，面积约</w:t>
                  </w:r>
                  <w:r>
                    <w:rPr>
                      <w:rFonts w:hint="eastAsia" w:cs="Times New Roman"/>
                      <w:color w:val="000000" w:themeColor="text1"/>
                      <w:sz w:val="21"/>
                      <w:szCs w:val="21"/>
                      <w:lang w:val="en-US" w:eastAsia="zh-CN"/>
                      <w14:textFill>
                        <w14:solidFill>
                          <w14:schemeClr w14:val="tx1"/>
                        </w14:solidFill>
                      </w14:textFill>
                    </w:rPr>
                    <w:t>25</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用于对面漆烘干后的工件进行检验，合格工件进行抛光，</w:t>
                  </w:r>
                  <w:r>
                    <w:rPr>
                      <w:color w:val="000000" w:themeColor="text1"/>
                      <w:szCs w:val="21"/>
                      <w:highlight w:val="none"/>
                      <w14:textFill>
                        <w14:solidFill>
                          <w14:schemeClr w14:val="tx1"/>
                        </w14:solidFill>
                      </w14:textFill>
                    </w:rPr>
                    <w:t>使表面更光亮。</w:t>
                  </w:r>
                </w:p>
              </w:tc>
              <w:tc>
                <w:tcPr>
                  <w:tcW w:w="656" w:type="dxa"/>
                  <w:shd w:val="clear" w:color="auto" w:fill="auto"/>
                  <w:vAlign w:val="center"/>
                </w:tcPr>
                <w:p w14:paraId="047CCAFF">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2972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772" w:type="dxa"/>
                  <w:vMerge w:val="restart"/>
                  <w:shd w:val="clear" w:color="auto" w:fill="auto"/>
                  <w:vAlign w:val="center"/>
                </w:tcPr>
                <w:p w14:paraId="7386A308">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辅助</w:t>
                  </w:r>
                </w:p>
                <w:p w14:paraId="0EBE395E">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工程</w:t>
                  </w:r>
                </w:p>
              </w:tc>
              <w:tc>
                <w:tcPr>
                  <w:tcW w:w="1568" w:type="dxa"/>
                  <w:gridSpan w:val="2"/>
                  <w:shd w:val="clear" w:color="auto" w:fill="auto"/>
                  <w:vAlign w:val="center"/>
                </w:tcPr>
                <w:p w14:paraId="10D7E33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办公室</w:t>
                  </w:r>
                </w:p>
              </w:tc>
              <w:tc>
                <w:tcPr>
                  <w:tcW w:w="4941" w:type="dxa"/>
                  <w:shd w:val="clear" w:color="auto" w:fill="auto"/>
                  <w:vAlign w:val="center"/>
                </w:tcPr>
                <w:p w14:paraId="77547A60">
                  <w:pPr>
                    <w:keepNext w:val="0"/>
                    <w:keepLines w:val="0"/>
                    <w:suppressLineNumbers w:val="0"/>
                    <w:spacing w:before="0" w:beforeAutospacing="0" w:after="0" w:afterAutospacing="0"/>
                    <w:ind w:left="0" w:right="0"/>
                    <w:jc w:val="both"/>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bCs/>
                      <w:color w:val="000000" w:themeColor="text1"/>
                      <w:kern w:val="11"/>
                      <w:sz w:val="21"/>
                      <w:szCs w:val="21"/>
                      <w:lang w:eastAsia="zh-CN"/>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eastAsia"/>
                      <w:bCs/>
                      <w:color w:val="000000" w:themeColor="text1"/>
                      <w:kern w:val="11"/>
                      <w:sz w:val="21"/>
                      <w:szCs w:val="21"/>
                      <w:lang w:eastAsia="zh-CN"/>
                      <w14:textFill>
                        <w14:solidFill>
                          <w14:schemeClr w14:val="tx1"/>
                        </w14:solidFill>
                      </w14:textFill>
                    </w:rPr>
                    <w:t>厂房</w:t>
                  </w:r>
                  <w:r>
                    <w:rPr>
                      <w:rFonts w:hint="eastAsia"/>
                      <w:bCs/>
                      <w:color w:val="000000" w:themeColor="text1"/>
                      <w:kern w:val="11"/>
                      <w:sz w:val="21"/>
                      <w:szCs w:val="21"/>
                      <w:lang w:val="en-US" w:eastAsia="zh-CN"/>
                      <w14:textFill>
                        <w14:solidFill>
                          <w14:schemeClr w14:val="tx1"/>
                        </w14:solidFill>
                      </w14:textFill>
                    </w:rPr>
                    <w:t>西北侧、西南</w:t>
                  </w:r>
                  <w:r>
                    <w:rPr>
                      <w:rFonts w:hint="eastAsia"/>
                      <w:bCs/>
                      <w:color w:val="000000" w:themeColor="text1"/>
                      <w:kern w:val="11"/>
                      <w:sz w:val="21"/>
                      <w:szCs w:val="21"/>
                      <w:lang w:eastAsia="zh-CN"/>
                      <w14:textFill>
                        <w14:solidFill>
                          <w14:schemeClr w14:val="tx1"/>
                        </w14:solidFill>
                      </w14:textFill>
                    </w:rPr>
                    <w:t>侧，面积约</w:t>
                  </w:r>
                  <w:r>
                    <w:rPr>
                      <w:rFonts w:hint="eastAsia"/>
                      <w:bCs/>
                      <w:color w:val="000000" w:themeColor="text1"/>
                      <w:kern w:val="11"/>
                      <w:sz w:val="21"/>
                      <w:szCs w:val="21"/>
                      <w:lang w:val="en-US" w:eastAsia="zh-CN"/>
                      <w14:textFill>
                        <w14:solidFill>
                          <w14:schemeClr w14:val="tx1"/>
                        </w14:solidFill>
                      </w14:textFill>
                    </w:rPr>
                    <w:t>130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eastAsia"/>
                      <w:color w:val="000000" w:themeColor="text1"/>
                      <w:sz w:val="21"/>
                      <w:szCs w:val="21"/>
                      <w:lang w:eastAsia="zh-CN"/>
                      <w14:textFill>
                        <w14:solidFill>
                          <w14:schemeClr w14:val="tx1"/>
                        </w14:solidFill>
                      </w14:textFill>
                    </w:rPr>
                    <w:t>。</w:t>
                  </w:r>
                </w:p>
              </w:tc>
              <w:tc>
                <w:tcPr>
                  <w:tcW w:w="656" w:type="dxa"/>
                  <w:shd w:val="clear" w:color="auto" w:fill="auto"/>
                  <w:vAlign w:val="center"/>
                </w:tcPr>
                <w:p w14:paraId="7AE2D57E">
                  <w:pPr>
                    <w:keepNext w:val="0"/>
                    <w:keepLines w:val="0"/>
                    <w:suppressLineNumbers w:val="0"/>
                    <w:spacing w:before="0" w:beforeAutospacing="0" w:after="0" w:afterAutospacing="0"/>
                    <w:ind w:left="0" w:right="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626A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772" w:type="dxa"/>
                  <w:vMerge w:val="continue"/>
                  <w:shd w:val="clear" w:color="auto" w:fill="auto"/>
                  <w:vAlign w:val="center"/>
                </w:tcPr>
                <w:p w14:paraId="1B6707FF">
                  <w:pPr>
                    <w:keepNext w:val="0"/>
                    <w:keepLines w:val="0"/>
                    <w:suppressLineNumbers w:val="0"/>
                    <w:spacing w:before="0" w:beforeAutospacing="0" w:after="0" w:afterAutospacing="0"/>
                    <w:ind w:left="0" w:right="0"/>
                    <w:jc w:val="center"/>
                    <w:rPr>
                      <w:rFonts w:hint="default"/>
                      <w:color w:val="000000" w:themeColor="text1"/>
                      <w14:textFill>
                        <w14:solidFill>
                          <w14:schemeClr w14:val="tx1"/>
                        </w14:solidFill>
                      </w14:textFill>
                    </w:rPr>
                  </w:pPr>
                </w:p>
              </w:tc>
              <w:tc>
                <w:tcPr>
                  <w:tcW w:w="1568" w:type="dxa"/>
                  <w:gridSpan w:val="2"/>
                  <w:shd w:val="clear" w:color="auto" w:fill="auto"/>
                  <w:vAlign w:val="center"/>
                </w:tcPr>
                <w:p w14:paraId="510904DC">
                  <w:pPr>
                    <w:keepNext w:val="0"/>
                    <w:keepLines w:val="0"/>
                    <w:suppressLineNumbers w:val="0"/>
                    <w:spacing w:before="0" w:beforeAutospacing="0" w:after="0" w:afterAutospacing="0"/>
                    <w:ind w:left="0" w:right="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卫生间</w:t>
                  </w:r>
                </w:p>
              </w:tc>
              <w:tc>
                <w:tcPr>
                  <w:tcW w:w="4941" w:type="dxa"/>
                  <w:shd w:val="clear" w:color="auto" w:fill="auto"/>
                  <w:vAlign w:val="center"/>
                </w:tcPr>
                <w:p w14:paraId="311AF9F3">
                  <w:pPr>
                    <w:keepNext w:val="0"/>
                    <w:keepLines w:val="0"/>
                    <w:suppressLineNumbers w:val="0"/>
                    <w:spacing w:before="0" w:beforeAutospacing="0" w:after="0" w:afterAutospacing="0"/>
                    <w:ind w:left="0" w:right="0"/>
                    <w:jc w:val="both"/>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1F</w:t>
                  </w:r>
                  <w:r>
                    <w:rPr>
                      <w:rFonts w:hint="eastAsia"/>
                      <w:color w:val="000000" w:themeColor="text1"/>
                      <w:sz w:val="21"/>
                      <w:szCs w:val="21"/>
                      <w:lang w:eastAsia="zh-CN"/>
                      <w14:textFill>
                        <w14:solidFill>
                          <w14:schemeClr w14:val="tx1"/>
                        </w14:solidFill>
                      </w14:textFill>
                    </w:rPr>
                    <w:t>厂房，面积约</w:t>
                  </w:r>
                  <w:r>
                    <w:rPr>
                      <w:rFonts w:hint="eastAsia"/>
                      <w:bCs/>
                      <w:color w:val="000000" w:themeColor="text1"/>
                      <w:kern w:val="11"/>
                      <w:sz w:val="21"/>
                      <w:szCs w:val="21"/>
                      <w:lang w:val="en-US" w:eastAsia="zh-CN"/>
                      <w14:textFill>
                        <w14:solidFill>
                          <w14:schemeClr w14:val="tx1"/>
                        </w14:solidFill>
                      </w14:textFill>
                    </w:rPr>
                    <w:t>50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eastAsia"/>
                      <w:color w:val="000000" w:themeColor="text1"/>
                      <w:sz w:val="21"/>
                      <w:szCs w:val="21"/>
                      <w:lang w:eastAsia="zh-CN"/>
                      <w14:textFill>
                        <w14:solidFill>
                          <w14:schemeClr w14:val="tx1"/>
                        </w14:solidFill>
                      </w14:textFill>
                    </w:rPr>
                    <w:t>。</w:t>
                  </w:r>
                </w:p>
              </w:tc>
              <w:tc>
                <w:tcPr>
                  <w:tcW w:w="656" w:type="dxa"/>
                  <w:shd w:val="clear" w:color="auto" w:fill="auto"/>
                  <w:vAlign w:val="center"/>
                </w:tcPr>
                <w:p w14:paraId="636A5B46">
                  <w:pPr>
                    <w:keepNext w:val="0"/>
                    <w:keepLines w:val="0"/>
                    <w:suppressLineNumbers w:val="0"/>
                    <w:spacing w:before="0" w:beforeAutospacing="0" w:after="0" w:afterAutospacing="0"/>
                    <w:ind w:left="0" w:right="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依托</w:t>
                  </w:r>
                </w:p>
              </w:tc>
            </w:tr>
            <w:tr w14:paraId="02C1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dxa"/>
                  <w:vMerge w:val="restart"/>
                  <w:shd w:val="clear" w:color="auto" w:fill="auto"/>
                  <w:vAlign w:val="center"/>
                </w:tcPr>
                <w:p w14:paraId="3590B02D">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储运工程</w:t>
                  </w:r>
                </w:p>
              </w:tc>
              <w:tc>
                <w:tcPr>
                  <w:tcW w:w="1568" w:type="dxa"/>
                  <w:gridSpan w:val="2"/>
                  <w:shd w:val="clear" w:color="auto" w:fill="auto"/>
                  <w:vAlign w:val="center"/>
                </w:tcPr>
                <w:p w14:paraId="02FBB8B2">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毛坯</w:t>
                  </w:r>
                  <w:r>
                    <w:rPr>
                      <w:rFonts w:hint="eastAsia"/>
                      <w:color w:val="000000" w:themeColor="text1"/>
                      <w:lang w:val="en-US" w:eastAsia="zh-CN"/>
                      <w14:textFill>
                        <w14:solidFill>
                          <w14:schemeClr w14:val="tx1"/>
                        </w14:solidFill>
                      </w14:textFill>
                    </w:rPr>
                    <w:t>件</w:t>
                  </w:r>
                  <w:r>
                    <w:rPr>
                      <w:rFonts w:hint="eastAsia"/>
                      <w:color w:val="000000" w:themeColor="text1"/>
                      <w:sz w:val="21"/>
                      <w:szCs w:val="21"/>
                      <w:lang w:val="en-US" w:eastAsia="zh-CN"/>
                      <w14:textFill>
                        <w14:solidFill>
                          <w14:schemeClr w14:val="tx1"/>
                        </w14:solidFill>
                      </w14:textFill>
                    </w:rPr>
                    <w:t>堆放</w:t>
                  </w:r>
                  <w:r>
                    <w:rPr>
                      <w:rFonts w:hint="eastAsia"/>
                      <w:color w:val="000000" w:themeColor="text1"/>
                      <w:sz w:val="21"/>
                      <w:szCs w:val="21"/>
                      <w14:textFill>
                        <w14:solidFill>
                          <w14:schemeClr w14:val="tx1"/>
                        </w14:solidFill>
                      </w14:textFill>
                    </w:rPr>
                    <w:t>区</w:t>
                  </w:r>
                </w:p>
              </w:tc>
              <w:tc>
                <w:tcPr>
                  <w:tcW w:w="4941" w:type="dxa"/>
                  <w:shd w:val="clear" w:color="auto" w:fill="auto"/>
                  <w:vAlign w:val="center"/>
                </w:tcPr>
                <w:p w14:paraId="004F8FF6">
                  <w:pPr>
                    <w:keepNext w:val="0"/>
                    <w:keepLines w:val="0"/>
                    <w:suppressLineNumbers w:val="0"/>
                    <w:spacing w:before="0" w:beforeAutospacing="0" w:after="0" w:afterAutospacing="0"/>
                    <w:ind w:left="0" w:right="0"/>
                    <w:rPr>
                      <w:rFonts w:hint="default"/>
                      <w:bCs/>
                      <w:color w:val="000000" w:themeColor="text1"/>
                      <w:kern w:val="11"/>
                      <w:sz w:val="21"/>
                      <w:szCs w:val="21"/>
                      <w14:textFill>
                        <w14:solidFill>
                          <w14:schemeClr w14:val="tx1"/>
                        </w14:solidFill>
                      </w14:textFill>
                    </w:rPr>
                  </w:pPr>
                  <w:r>
                    <w:rPr>
                      <w:rFonts w:hint="eastAsia"/>
                      <w:bCs/>
                      <w:color w:val="000000" w:themeColor="text1"/>
                      <w:kern w:val="11"/>
                      <w:sz w:val="21"/>
                      <w:szCs w:val="21"/>
                      <w:lang w:val="en-US" w:eastAsia="zh-CN"/>
                      <w14:textFill>
                        <w14:solidFill>
                          <w14:schemeClr w14:val="tx1"/>
                        </w14:solidFill>
                      </w14:textFill>
                    </w:rPr>
                    <w:t>1#生产线：</w:t>
                  </w:r>
                  <w:r>
                    <w:rPr>
                      <w:rFonts w:hint="eastAsia"/>
                      <w:bCs/>
                      <w:color w:val="000000" w:themeColor="text1"/>
                      <w:kern w:val="11"/>
                      <w:sz w:val="21"/>
                      <w:szCs w:val="21"/>
                      <w:lang w:eastAsia="zh-CN"/>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eastAsia"/>
                      <w:bCs/>
                      <w:color w:val="000000" w:themeColor="text1"/>
                      <w:kern w:val="11"/>
                      <w:sz w:val="21"/>
                      <w:szCs w:val="21"/>
                      <w:lang w:eastAsia="zh-CN"/>
                      <w14:textFill>
                        <w14:solidFill>
                          <w14:schemeClr w14:val="tx1"/>
                        </w14:solidFill>
                      </w14:textFill>
                    </w:rPr>
                    <w:t>厂房</w:t>
                  </w:r>
                  <w:r>
                    <w:rPr>
                      <w:rFonts w:hint="eastAsia"/>
                      <w:bCs/>
                      <w:color w:val="000000" w:themeColor="text1"/>
                      <w:kern w:val="11"/>
                      <w:sz w:val="21"/>
                      <w:szCs w:val="21"/>
                      <w:lang w:val="en-US" w:eastAsia="zh-CN"/>
                      <w14:textFill>
                        <w14:solidFill>
                          <w14:schemeClr w14:val="tx1"/>
                        </w14:solidFill>
                      </w14:textFill>
                    </w:rPr>
                    <w:t>北侧</w:t>
                  </w:r>
                  <w:r>
                    <w:rPr>
                      <w:rFonts w:hint="eastAsia"/>
                      <w:bCs/>
                      <w:color w:val="000000" w:themeColor="text1"/>
                      <w:kern w:val="11"/>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面积约</w:t>
                  </w:r>
                  <w:r>
                    <w:rPr>
                      <w:rFonts w:hint="eastAsia"/>
                      <w:bCs/>
                      <w:color w:val="000000" w:themeColor="text1"/>
                      <w:kern w:val="11"/>
                      <w:sz w:val="21"/>
                      <w:szCs w:val="21"/>
                      <w:lang w:val="en-US" w:eastAsia="zh-CN"/>
                      <w14:textFill>
                        <w14:solidFill>
                          <w14:schemeClr w14:val="tx1"/>
                        </w14:solidFill>
                      </w14:textFill>
                    </w:rPr>
                    <w:t>140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eastAsia"/>
                      <w:bCs/>
                      <w:color w:val="000000" w:themeColor="text1"/>
                      <w:kern w:val="11"/>
                      <w:sz w:val="21"/>
                      <w:szCs w:val="21"/>
                      <w14:textFill>
                        <w14:solidFill>
                          <w14:schemeClr w14:val="tx1"/>
                        </w14:solidFill>
                      </w14:textFill>
                    </w:rPr>
                    <w:t>，</w:t>
                  </w:r>
                  <w:r>
                    <w:rPr>
                      <w:rFonts w:hint="default"/>
                      <w:bCs/>
                      <w:color w:val="000000" w:themeColor="text1"/>
                      <w:kern w:val="11"/>
                      <w:sz w:val="21"/>
                      <w:szCs w:val="21"/>
                      <w14:textFill>
                        <w14:solidFill>
                          <w14:schemeClr w14:val="tx1"/>
                        </w14:solidFill>
                      </w14:textFill>
                    </w:rPr>
                    <w:t>用于储存</w:t>
                  </w:r>
                  <w:r>
                    <w:rPr>
                      <w:rFonts w:hint="eastAsia"/>
                      <w:bCs/>
                      <w:color w:val="000000" w:themeColor="text1"/>
                      <w:kern w:val="11"/>
                      <w:sz w:val="21"/>
                      <w:szCs w:val="21"/>
                      <w14:textFill>
                        <w14:solidFill>
                          <w14:schemeClr w14:val="tx1"/>
                        </w14:solidFill>
                      </w14:textFill>
                    </w:rPr>
                    <w:t>原材料</w:t>
                  </w:r>
                  <w:r>
                    <w:rPr>
                      <w:rFonts w:hint="eastAsia"/>
                      <w:bCs/>
                      <w:color w:val="000000" w:themeColor="text1"/>
                      <w:kern w:val="11"/>
                      <w:sz w:val="21"/>
                      <w:szCs w:val="21"/>
                      <w:lang w:val="en-US" w:eastAsia="zh-CN"/>
                      <w14:textFill>
                        <w14:solidFill>
                          <w14:schemeClr w14:val="tx1"/>
                        </w14:solidFill>
                      </w14:textFill>
                    </w:rPr>
                    <w:t>毛坯件</w:t>
                  </w:r>
                  <w:r>
                    <w:rPr>
                      <w:rFonts w:hint="default"/>
                      <w:bCs/>
                      <w:color w:val="000000" w:themeColor="text1"/>
                      <w:kern w:val="11"/>
                      <w:sz w:val="21"/>
                      <w:szCs w:val="21"/>
                      <w14:textFill>
                        <w14:solidFill>
                          <w14:schemeClr w14:val="tx1"/>
                        </w14:solidFill>
                      </w14:textFill>
                    </w:rPr>
                    <w:t>。</w:t>
                  </w:r>
                </w:p>
                <w:p w14:paraId="32760460">
                  <w:pPr>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r>
                    <w:rPr>
                      <w:rFonts w:hint="eastAsia"/>
                      <w:bCs/>
                      <w:color w:val="000000" w:themeColor="text1"/>
                      <w:kern w:val="11"/>
                      <w:sz w:val="21"/>
                      <w:szCs w:val="21"/>
                      <w:lang w:val="en-US" w:eastAsia="zh-CN"/>
                      <w14:textFill>
                        <w14:solidFill>
                          <w14:schemeClr w14:val="tx1"/>
                        </w14:solidFill>
                      </w14:textFill>
                    </w:rPr>
                    <w:t>2#生产线：</w:t>
                  </w:r>
                  <w:r>
                    <w:rPr>
                      <w:rFonts w:hint="eastAsia"/>
                      <w:bCs/>
                      <w:color w:val="000000" w:themeColor="text1"/>
                      <w:kern w:val="11"/>
                      <w:sz w:val="21"/>
                      <w:szCs w:val="21"/>
                      <w:lang w:eastAsia="zh-CN"/>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eastAsia"/>
                      <w:bCs/>
                      <w:color w:val="000000" w:themeColor="text1"/>
                      <w:kern w:val="11"/>
                      <w:sz w:val="21"/>
                      <w:szCs w:val="21"/>
                      <w:lang w:eastAsia="zh-CN"/>
                      <w14:textFill>
                        <w14:solidFill>
                          <w14:schemeClr w14:val="tx1"/>
                        </w14:solidFill>
                      </w14:textFill>
                    </w:rPr>
                    <w:t>厂房</w:t>
                  </w:r>
                  <w:r>
                    <w:rPr>
                      <w:rFonts w:hint="eastAsia"/>
                      <w:bCs/>
                      <w:color w:val="000000" w:themeColor="text1"/>
                      <w:kern w:val="11"/>
                      <w:sz w:val="21"/>
                      <w:szCs w:val="21"/>
                      <w:lang w:val="en-US" w:eastAsia="zh-CN"/>
                      <w14:textFill>
                        <w14:solidFill>
                          <w14:schemeClr w14:val="tx1"/>
                        </w14:solidFill>
                      </w14:textFill>
                    </w:rPr>
                    <w:t>南侧</w:t>
                  </w:r>
                  <w:r>
                    <w:rPr>
                      <w:rFonts w:hint="eastAsia"/>
                      <w:bCs/>
                      <w:color w:val="000000" w:themeColor="text1"/>
                      <w:kern w:val="11"/>
                      <w:sz w:val="21"/>
                      <w:szCs w:val="21"/>
                      <w:lang w:eastAsia="zh-CN"/>
                      <w14:textFill>
                        <w14:solidFill>
                          <w14:schemeClr w14:val="tx1"/>
                        </w14:solidFill>
                      </w14:textFill>
                    </w:rPr>
                    <w:t>，</w:t>
                  </w:r>
                  <w:r>
                    <w:rPr>
                      <w:rFonts w:hint="eastAsia"/>
                      <w:color w:val="000000" w:themeColor="text1"/>
                      <w:sz w:val="21"/>
                      <w:szCs w:val="21"/>
                      <w:lang w:eastAsia="zh-CN"/>
                      <w14:textFill>
                        <w14:solidFill>
                          <w14:schemeClr w14:val="tx1"/>
                        </w14:solidFill>
                      </w14:textFill>
                    </w:rPr>
                    <w:t>面积约</w:t>
                  </w:r>
                  <w:r>
                    <w:rPr>
                      <w:rFonts w:hint="eastAsia"/>
                      <w:bCs/>
                      <w:color w:val="000000" w:themeColor="text1"/>
                      <w:kern w:val="11"/>
                      <w:sz w:val="21"/>
                      <w:szCs w:val="21"/>
                      <w:lang w:val="en-US" w:eastAsia="zh-CN"/>
                      <w14:textFill>
                        <w14:solidFill>
                          <w14:schemeClr w14:val="tx1"/>
                        </w14:solidFill>
                      </w14:textFill>
                    </w:rPr>
                    <w:t>140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eastAsia"/>
                      <w:bCs/>
                      <w:color w:val="000000" w:themeColor="text1"/>
                      <w:kern w:val="11"/>
                      <w:sz w:val="21"/>
                      <w:szCs w:val="21"/>
                      <w14:textFill>
                        <w14:solidFill>
                          <w14:schemeClr w14:val="tx1"/>
                        </w14:solidFill>
                      </w14:textFill>
                    </w:rPr>
                    <w:t>，</w:t>
                  </w:r>
                  <w:r>
                    <w:rPr>
                      <w:rFonts w:hint="default"/>
                      <w:bCs/>
                      <w:color w:val="000000" w:themeColor="text1"/>
                      <w:kern w:val="11"/>
                      <w:sz w:val="21"/>
                      <w:szCs w:val="21"/>
                      <w14:textFill>
                        <w14:solidFill>
                          <w14:schemeClr w14:val="tx1"/>
                        </w14:solidFill>
                      </w14:textFill>
                    </w:rPr>
                    <w:t>用于储存</w:t>
                  </w:r>
                  <w:r>
                    <w:rPr>
                      <w:rFonts w:hint="eastAsia"/>
                      <w:bCs/>
                      <w:color w:val="000000" w:themeColor="text1"/>
                      <w:kern w:val="11"/>
                      <w:sz w:val="21"/>
                      <w:szCs w:val="21"/>
                      <w14:textFill>
                        <w14:solidFill>
                          <w14:schemeClr w14:val="tx1"/>
                        </w14:solidFill>
                      </w14:textFill>
                    </w:rPr>
                    <w:t>原材料</w:t>
                  </w:r>
                  <w:r>
                    <w:rPr>
                      <w:rFonts w:hint="eastAsia"/>
                      <w:bCs/>
                      <w:color w:val="000000" w:themeColor="text1"/>
                      <w:kern w:val="11"/>
                      <w:sz w:val="21"/>
                      <w:szCs w:val="21"/>
                      <w:lang w:val="en-US" w:eastAsia="zh-CN"/>
                      <w14:textFill>
                        <w14:solidFill>
                          <w14:schemeClr w14:val="tx1"/>
                        </w14:solidFill>
                      </w14:textFill>
                    </w:rPr>
                    <w:t>毛坯件</w:t>
                  </w:r>
                  <w:r>
                    <w:rPr>
                      <w:rFonts w:hint="default"/>
                      <w:bCs/>
                      <w:color w:val="000000" w:themeColor="text1"/>
                      <w:kern w:val="11"/>
                      <w:sz w:val="21"/>
                      <w:szCs w:val="21"/>
                      <w14:textFill>
                        <w14:solidFill>
                          <w14:schemeClr w14:val="tx1"/>
                        </w14:solidFill>
                      </w14:textFill>
                    </w:rPr>
                    <w:t>。</w:t>
                  </w:r>
                </w:p>
              </w:tc>
              <w:tc>
                <w:tcPr>
                  <w:tcW w:w="656" w:type="dxa"/>
                  <w:shd w:val="clear" w:color="auto" w:fill="auto"/>
                  <w:vAlign w:val="center"/>
                </w:tcPr>
                <w:p w14:paraId="142936EA">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0B89C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vMerge w:val="continue"/>
                  <w:shd w:val="clear" w:color="auto" w:fill="auto"/>
                  <w:vAlign w:val="center"/>
                </w:tcPr>
                <w:p w14:paraId="46D110DB">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1568" w:type="dxa"/>
                  <w:gridSpan w:val="2"/>
                  <w:shd w:val="clear" w:color="auto" w:fill="auto"/>
                  <w:vAlign w:val="center"/>
                </w:tcPr>
                <w:p w14:paraId="15161DF9">
                  <w:pPr>
                    <w:keepNext w:val="0"/>
                    <w:keepLines w:val="0"/>
                    <w:suppressLineNumbers w:val="0"/>
                    <w:spacing w:before="0" w:beforeAutospacing="0" w:after="0" w:afterAutospacing="0"/>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成品、半成品堆放区</w:t>
                  </w:r>
                </w:p>
              </w:tc>
              <w:tc>
                <w:tcPr>
                  <w:tcW w:w="4941" w:type="dxa"/>
                  <w:shd w:val="clear" w:color="auto" w:fill="auto"/>
                  <w:vAlign w:val="center"/>
                </w:tcPr>
                <w:p w14:paraId="2903AF6D">
                  <w:pPr>
                    <w:keepNext w:val="0"/>
                    <w:keepLines w:val="0"/>
                    <w:suppressLineNumbers w:val="0"/>
                    <w:spacing w:before="0" w:beforeAutospacing="0" w:after="0" w:afterAutospacing="0"/>
                    <w:ind w:left="0" w:right="0"/>
                    <w:rPr>
                      <w:rFonts w:hint="eastAsia"/>
                      <w:color w:val="000000" w:themeColor="text1"/>
                      <w:sz w:val="21"/>
                      <w:szCs w:val="21"/>
                      <w:vertAlign w:val="baseline"/>
                      <w:lang w:val="en-US" w:eastAsia="zh-CN"/>
                      <w14:textFill>
                        <w14:solidFill>
                          <w14:schemeClr w14:val="tx1"/>
                        </w14:solidFill>
                      </w14:textFill>
                    </w:rPr>
                  </w:pPr>
                  <w:r>
                    <w:rPr>
                      <w:rFonts w:hint="eastAsia"/>
                      <w:bCs/>
                      <w:color w:val="000000" w:themeColor="text1"/>
                      <w:kern w:val="11"/>
                      <w:sz w:val="21"/>
                      <w:szCs w:val="21"/>
                      <w:lang w:val="en-US" w:eastAsia="zh-CN"/>
                      <w14:textFill>
                        <w14:solidFill>
                          <w14:schemeClr w14:val="tx1"/>
                        </w14:solidFill>
                      </w14:textFill>
                    </w:rPr>
                    <w:t>1#生产线：</w:t>
                  </w:r>
                  <w:r>
                    <w:rPr>
                      <w:rFonts w:hint="eastAsia"/>
                      <w:bCs/>
                      <w:color w:val="000000" w:themeColor="text1"/>
                      <w:kern w:val="11"/>
                      <w:sz w:val="21"/>
                      <w:szCs w:val="21"/>
                      <w:vertAlign w:val="baseline"/>
                      <w:lang w:val="en-US" w:eastAsia="zh-CN"/>
                      <w14:textFill>
                        <w14:solidFill>
                          <w14:schemeClr w14:val="tx1"/>
                        </w14:solidFill>
                      </w14:textFill>
                    </w:rPr>
                    <w:t>位于2F厂房西北侧，面积约180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eastAsia"/>
                      <w:color w:val="000000" w:themeColor="text1"/>
                      <w:sz w:val="21"/>
                      <w:szCs w:val="21"/>
                      <w:vertAlign w:val="baseline"/>
                      <w:lang w:eastAsia="zh-CN"/>
                      <w14:textFill>
                        <w14:solidFill>
                          <w14:schemeClr w14:val="tx1"/>
                        </w14:solidFill>
                      </w14:textFill>
                    </w:rPr>
                    <w:t>，</w:t>
                  </w:r>
                  <w:r>
                    <w:rPr>
                      <w:rFonts w:hint="eastAsia"/>
                      <w:color w:val="000000" w:themeColor="text1"/>
                      <w:sz w:val="21"/>
                      <w:szCs w:val="21"/>
                      <w:vertAlign w:val="baseline"/>
                      <w:lang w:val="en-US" w:eastAsia="zh-CN"/>
                      <w14:textFill>
                        <w14:solidFill>
                          <w14:schemeClr w14:val="tx1"/>
                        </w14:solidFill>
                      </w14:textFill>
                    </w:rPr>
                    <w:t>用于储存成品、底漆烘干后的半成品。</w:t>
                  </w:r>
                </w:p>
                <w:p w14:paraId="717D1696">
                  <w:pPr>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r>
                    <w:rPr>
                      <w:rFonts w:hint="eastAsia"/>
                      <w:bCs/>
                      <w:color w:val="000000" w:themeColor="text1"/>
                      <w:kern w:val="11"/>
                      <w:sz w:val="21"/>
                      <w:szCs w:val="21"/>
                      <w:lang w:val="en-US" w:eastAsia="zh-CN"/>
                      <w14:textFill>
                        <w14:solidFill>
                          <w14:schemeClr w14:val="tx1"/>
                        </w14:solidFill>
                      </w14:textFill>
                    </w:rPr>
                    <w:t>2#生产线：</w:t>
                  </w:r>
                  <w:r>
                    <w:rPr>
                      <w:rFonts w:hint="eastAsia"/>
                      <w:bCs/>
                      <w:color w:val="000000" w:themeColor="text1"/>
                      <w:kern w:val="11"/>
                      <w:sz w:val="21"/>
                      <w:szCs w:val="21"/>
                      <w:vertAlign w:val="baseline"/>
                      <w:lang w:val="en-US" w:eastAsia="zh-CN"/>
                      <w14:textFill>
                        <w14:solidFill>
                          <w14:schemeClr w14:val="tx1"/>
                        </w14:solidFill>
                      </w14:textFill>
                    </w:rPr>
                    <w:t>位于2F厂房西南侧，面积约180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eastAsia"/>
                      <w:color w:val="000000" w:themeColor="text1"/>
                      <w:sz w:val="21"/>
                      <w:szCs w:val="21"/>
                      <w:vertAlign w:val="baseline"/>
                      <w:lang w:eastAsia="zh-CN"/>
                      <w14:textFill>
                        <w14:solidFill>
                          <w14:schemeClr w14:val="tx1"/>
                        </w14:solidFill>
                      </w14:textFill>
                    </w:rPr>
                    <w:t>，</w:t>
                  </w:r>
                  <w:r>
                    <w:rPr>
                      <w:rFonts w:hint="eastAsia"/>
                      <w:color w:val="000000" w:themeColor="text1"/>
                      <w:sz w:val="21"/>
                      <w:szCs w:val="21"/>
                      <w:vertAlign w:val="baseline"/>
                      <w:lang w:val="en-US" w:eastAsia="zh-CN"/>
                      <w14:textFill>
                        <w14:solidFill>
                          <w14:schemeClr w14:val="tx1"/>
                        </w14:solidFill>
                      </w14:textFill>
                    </w:rPr>
                    <w:t>用于储存成品、底漆烘干后的半成品。</w:t>
                  </w:r>
                </w:p>
              </w:tc>
              <w:tc>
                <w:tcPr>
                  <w:tcW w:w="656" w:type="dxa"/>
                  <w:shd w:val="clear" w:color="auto" w:fill="auto"/>
                  <w:vAlign w:val="center"/>
                </w:tcPr>
                <w:p w14:paraId="3AB8B0F5">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02946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72" w:type="dxa"/>
                  <w:vMerge w:val="continue"/>
                  <w:shd w:val="clear" w:color="auto" w:fill="auto"/>
                  <w:vAlign w:val="center"/>
                </w:tcPr>
                <w:p w14:paraId="2B6880A7">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1568" w:type="dxa"/>
                  <w:gridSpan w:val="2"/>
                  <w:shd w:val="clear" w:color="auto" w:fill="auto"/>
                  <w:vAlign w:val="center"/>
                </w:tcPr>
                <w:p w14:paraId="4370418E">
                  <w:pPr>
                    <w:keepNext w:val="0"/>
                    <w:keepLines w:val="0"/>
                    <w:suppressLineNumbers w:val="0"/>
                    <w:spacing w:before="0" w:beforeAutospacing="0" w:after="0" w:afterAutospacing="0"/>
                    <w:ind w:left="0" w:right="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水性漆库房</w:t>
                  </w:r>
                </w:p>
              </w:tc>
              <w:tc>
                <w:tcPr>
                  <w:tcW w:w="4941" w:type="dxa"/>
                  <w:shd w:val="clear" w:color="auto" w:fill="auto"/>
                  <w:vAlign w:val="center"/>
                </w:tcPr>
                <w:p w14:paraId="21B73971">
                  <w:pPr>
                    <w:keepNext w:val="0"/>
                    <w:keepLines w:val="0"/>
                    <w:suppressLineNumbers w:val="0"/>
                    <w:spacing w:before="0" w:beforeAutospacing="0" w:after="0" w:afterAutospacing="0"/>
                    <w:ind w:left="0" w:right="0"/>
                    <w:jc w:val="both"/>
                    <w:rPr>
                      <w:rFonts w:hint="eastAsia"/>
                      <w:color w:val="000000" w:themeColor="text1"/>
                      <w:sz w:val="21"/>
                      <w:szCs w:val="21"/>
                      <w:lang w:eastAsia="zh-CN"/>
                      <w14:textFill>
                        <w14:solidFill>
                          <w14:schemeClr w14:val="tx1"/>
                        </w14:solidFill>
                      </w14:textFill>
                    </w:rPr>
                  </w:pPr>
                  <w:r>
                    <w:rPr>
                      <w:rFonts w:hint="eastAsia"/>
                      <w:bCs/>
                      <w:color w:val="000000" w:themeColor="text1"/>
                      <w:kern w:val="11"/>
                      <w:sz w:val="21"/>
                      <w:szCs w:val="21"/>
                      <w14:textFill>
                        <w14:solidFill>
                          <w14:schemeClr w14:val="tx1"/>
                        </w14:solidFill>
                      </w14:textFill>
                    </w:rPr>
                    <w:t>位于厂房</w:t>
                  </w:r>
                  <w:r>
                    <w:rPr>
                      <w:rFonts w:hint="eastAsia"/>
                      <w:bCs/>
                      <w:color w:val="000000" w:themeColor="text1"/>
                      <w:kern w:val="11"/>
                      <w:sz w:val="21"/>
                      <w:szCs w:val="21"/>
                      <w:lang w:val="en-US" w:eastAsia="zh-CN"/>
                      <w14:textFill>
                        <w14:solidFill>
                          <w14:schemeClr w14:val="tx1"/>
                        </w14:solidFill>
                      </w14:textFill>
                    </w:rPr>
                    <w:t>西北</w:t>
                  </w:r>
                  <w:r>
                    <w:rPr>
                      <w:rFonts w:hint="eastAsia"/>
                      <w:bCs/>
                      <w:color w:val="000000" w:themeColor="text1"/>
                      <w:kern w:val="11"/>
                      <w:sz w:val="21"/>
                      <w:szCs w:val="21"/>
                      <w:lang w:eastAsia="zh-CN"/>
                      <w14:textFill>
                        <w14:solidFill>
                          <w14:schemeClr w14:val="tx1"/>
                        </w14:solidFill>
                      </w14:textFill>
                    </w:rPr>
                    <w:t>侧，面积约</w:t>
                  </w:r>
                  <w:r>
                    <w:rPr>
                      <w:rFonts w:hint="eastAsia"/>
                      <w:bCs/>
                      <w:color w:val="000000" w:themeColor="text1"/>
                      <w:kern w:val="11"/>
                      <w:sz w:val="21"/>
                      <w:szCs w:val="21"/>
                      <w:lang w:val="en-US" w:eastAsia="zh-CN"/>
                      <w14:textFill>
                        <w14:solidFill>
                          <w14:schemeClr w14:val="tx1"/>
                        </w14:solidFill>
                      </w14:textFill>
                    </w:rPr>
                    <w:t>20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eastAsia"/>
                      <w:color w:val="000000" w:themeColor="text1"/>
                      <w:sz w:val="21"/>
                      <w:szCs w:val="21"/>
                      <w:vertAlign w:val="baseline"/>
                      <w:lang w:eastAsia="zh-CN"/>
                      <w14:textFill>
                        <w14:solidFill>
                          <w14:schemeClr w14:val="tx1"/>
                        </w14:solidFill>
                      </w14:textFill>
                    </w:rPr>
                    <w:t>，用于存放</w:t>
                  </w:r>
                  <w:r>
                    <w:rPr>
                      <w:rFonts w:hint="eastAsia"/>
                      <w:color w:val="000000" w:themeColor="text1"/>
                      <w:sz w:val="21"/>
                      <w:szCs w:val="21"/>
                      <w:vertAlign w:val="baseline"/>
                      <w:lang w:val="en-US" w:eastAsia="zh-CN"/>
                      <w14:textFill>
                        <w14:solidFill>
                          <w14:schemeClr w14:val="tx1"/>
                        </w14:solidFill>
                      </w14:textFill>
                    </w:rPr>
                    <w:t>水性</w:t>
                  </w:r>
                  <w:r>
                    <w:rPr>
                      <w:rFonts w:hint="eastAsia"/>
                      <w:color w:val="000000" w:themeColor="text1"/>
                      <w:sz w:val="21"/>
                      <w:szCs w:val="21"/>
                      <w:vertAlign w:val="baseline"/>
                      <w:lang w:eastAsia="zh-CN"/>
                      <w14:textFill>
                        <w14:solidFill>
                          <w14:schemeClr w14:val="tx1"/>
                        </w14:solidFill>
                      </w14:textFill>
                    </w:rPr>
                    <w:t>漆。</w:t>
                  </w:r>
                </w:p>
              </w:tc>
              <w:tc>
                <w:tcPr>
                  <w:tcW w:w="656" w:type="dxa"/>
                  <w:shd w:val="clear" w:color="auto" w:fill="auto"/>
                  <w:vAlign w:val="center"/>
                </w:tcPr>
                <w:p w14:paraId="0E5C25F6">
                  <w:pPr>
                    <w:keepNext w:val="0"/>
                    <w:keepLines w:val="0"/>
                    <w:suppressLineNumbers w:val="0"/>
                    <w:spacing w:before="0" w:beforeAutospacing="0" w:after="0" w:afterAutospacing="0"/>
                    <w:ind w:left="0" w:right="0"/>
                    <w:jc w:val="center"/>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20B6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72" w:type="dxa"/>
                  <w:vMerge w:val="continue"/>
                  <w:shd w:val="clear" w:color="auto" w:fill="auto"/>
                  <w:vAlign w:val="center"/>
                </w:tcPr>
                <w:p w14:paraId="5D7B1FCF">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1568" w:type="dxa"/>
                  <w:gridSpan w:val="2"/>
                  <w:shd w:val="clear" w:color="auto" w:fill="auto"/>
                  <w:vAlign w:val="center"/>
                </w:tcPr>
                <w:p w14:paraId="5187C91B">
                  <w:pPr>
                    <w:keepNext w:val="0"/>
                    <w:keepLines w:val="0"/>
                    <w:suppressLineNumbers w:val="0"/>
                    <w:spacing w:before="0" w:beforeAutospacing="0" w:after="0" w:afterAutospacing="0"/>
                    <w:ind w:left="0" w:right="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贴花库房</w:t>
                  </w:r>
                </w:p>
              </w:tc>
              <w:tc>
                <w:tcPr>
                  <w:tcW w:w="4941" w:type="dxa"/>
                  <w:shd w:val="clear" w:color="auto" w:fill="auto"/>
                  <w:vAlign w:val="center"/>
                </w:tcPr>
                <w:p w14:paraId="55FE232B">
                  <w:pPr>
                    <w:keepNext w:val="0"/>
                    <w:keepLines w:val="0"/>
                    <w:suppressLineNumbers w:val="0"/>
                    <w:spacing w:before="0" w:beforeAutospacing="0" w:after="0" w:afterAutospacing="0"/>
                    <w:ind w:left="0" w:right="0"/>
                    <w:jc w:val="both"/>
                    <w:rPr>
                      <w:rFonts w:hint="default" w:ascii="Times New Roman" w:hAnsi="Times New Roman" w:cs="Times New Roman"/>
                      <w:color w:val="000000" w:themeColor="text1"/>
                      <w:sz w:val="21"/>
                      <w:szCs w:val="21"/>
                      <w:vertAlign w:val="baseline"/>
                      <w:lang w:eastAsia="zh-CN"/>
                      <w14:textFill>
                        <w14:solidFill>
                          <w14:schemeClr w14:val="tx1"/>
                        </w14:solidFill>
                      </w14:textFill>
                    </w:rPr>
                  </w:pPr>
                  <w:r>
                    <w:rPr>
                      <w:rFonts w:hint="default" w:ascii="Times New Roman" w:hAnsi="Times New Roman" w:cs="Times New Roman"/>
                      <w:bCs/>
                      <w:color w:val="000000" w:themeColor="text1"/>
                      <w:kern w:val="11"/>
                      <w:sz w:val="21"/>
                      <w:szCs w:val="21"/>
                      <w:lang w:val="en-US" w:eastAsia="zh-CN"/>
                      <w14:textFill>
                        <w14:solidFill>
                          <w14:schemeClr w14:val="tx1"/>
                        </w14:solidFill>
                      </w14:textFill>
                    </w:rPr>
                    <w:t>1#生产线：位于厂房中部，面积约</w:t>
                  </w:r>
                  <w:r>
                    <w:rPr>
                      <w:rFonts w:hint="eastAsia" w:ascii="Times New Roman" w:hAnsi="Times New Roman" w:cs="Times New Roman"/>
                      <w:bCs/>
                      <w:color w:val="000000" w:themeColor="text1"/>
                      <w:kern w:val="11"/>
                      <w:sz w:val="21"/>
                      <w:szCs w:val="21"/>
                      <w:lang w:val="en-US" w:eastAsia="zh-CN"/>
                      <w14:textFill>
                        <w14:solidFill>
                          <w14:schemeClr w14:val="tx1"/>
                        </w14:solidFill>
                      </w14:textFill>
                    </w:rPr>
                    <w:t>1</w:t>
                  </w:r>
                  <w:r>
                    <w:rPr>
                      <w:rFonts w:hint="default" w:ascii="Times New Roman" w:hAnsi="Times New Roman" w:cs="Times New Roman"/>
                      <w:bCs/>
                      <w:color w:val="000000" w:themeColor="text1"/>
                      <w:kern w:val="1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vertAlign w:val="baseline"/>
                      <w:lang w:eastAsia="zh-CN"/>
                      <w14:textFill>
                        <w14:solidFill>
                          <w14:schemeClr w14:val="tx1"/>
                        </w14:solidFill>
                      </w14:textFill>
                    </w:rPr>
                    <w:t>，用于存放</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粘贴灯壳花样的贴花纸</w:t>
                  </w:r>
                  <w:r>
                    <w:rPr>
                      <w:rFonts w:hint="default" w:ascii="Times New Roman" w:hAnsi="Times New Roman" w:cs="Times New Roman"/>
                      <w:color w:val="000000" w:themeColor="text1"/>
                      <w:sz w:val="21"/>
                      <w:szCs w:val="21"/>
                      <w:vertAlign w:val="baseline"/>
                      <w:lang w:eastAsia="zh-CN"/>
                      <w14:textFill>
                        <w14:solidFill>
                          <w14:schemeClr w14:val="tx1"/>
                        </w14:solidFill>
                      </w14:textFill>
                    </w:rPr>
                    <w:t>。</w:t>
                  </w:r>
                </w:p>
                <w:p w14:paraId="5136541B">
                  <w:pPr>
                    <w:pStyle w:val="2"/>
                    <w:rPr>
                      <w:rFonts w:hint="default"/>
                      <w:color w:val="000000" w:themeColor="text1"/>
                      <w:lang w:val="en-US" w:eastAsia="zh-CN"/>
                      <w14:textFill>
                        <w14:solidFill>
                          <w14:schemeClr w14:val="tx1"/>
                        </w14:solidFill>
                      </w14:textFill>
                    </w:rPr>
                  </w:pPr>
                  <w:r>
                    <w:rPr>
                      <w:rFonts w:hint="default" w:ascii="Times New Roman" w:hAnsi="Times New Roman" w:cs="Times New Roman"/>
                      <w:bCs/>
                      <w:color w:val="000000" w:themeColor="text1"/>
                      <w:kern w:val="11"/>
                      <w:sz w:val="21"/>
                      <w:szCs w:val="21"/>
                      <w:lang w:val="en-US" w:eastAsia="zh-CN"/>
                      <w14:textFill>
                        <w14:solidFill>
                          <w14:schemeClr w14:val="tx1"/>
                        </w14:solidFill>
                      </w14:textFill>
                    </w:rPr>
                    <w:t>2#生产线：位于厂房中部，面积约</w:t>
                  </w:r>
                  <w:r>
                    <w:rPr>
                      <w:rFonts w:hint="eastAsia" w:ascii="Times New Roman" w:hAnsi="Times New Roman" w:cs="Times New Roman"/>
                      <w:bCs/>
                      <w:color w:val="000000" w:themeColor="text1"/>
                      <w:kern w:val="11"/>
                      <w:sz w:val="21"/>
                      <w:szCs w:val="21"/>
                      <w:lang w:val="en-US" w:eastAsia="zh-CN"/>
                      <w14:textFill>
                        <w14:solidFill>
                          <w14:schemeClr w14:val="tx1"/>
                        </w14:solidFill>
                      </w14:textFill>
                    </w:rPr>
                    <w:t>1</w:t>
                  </w:r>
                  <w:r>
                    <w:rPr>
                      <w:rFonts w:hint="default" w:ascii="Times New Roman" w:hAnsi="Times New Roman" w:cs="Times New Roman"/>
                      <w:bCs/>
                      <w:color w:val="000000" w:themeColor="text1"/>
                      <w:kern w:val="11"/>
                      <w:sz w:val="21"/>
                      <w:szCs w:val="21"/>
                      <w:lang w:val="en-US" w:eastAsia="zh-CN"/>
                      <w14:textFill>
                        <w14:solidFill>
                          <w14:schemeClr w14:val="tx1"/>
                        </w14:solidFill>
                      </w14:textFill>
                    </w:rPr>
                    <w:t>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vertAlign w:val="baseline"/>
                      <w:lang w:eastAsia="zh-CN"/>
                      <w14:textFill>
                        <w14:solidFill>
                          <w14:schemeClr w14:val="tx1"/>
                        </w14:solidFill>
                      </w14:textFill>
                    </w:rPr>
                    <w:t>，用于存放</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粘贴灯壳花样的贴花纸</w:t>
                  </w:r>
                  <w:r>
                    <w:rPr>
                      <w:rFonts w:hint="default" w:ascii="Times New Roman" w:hAnsi="Times New Roman" w:cs="Times New Roman"/>
                      <w:color w:val="000000" w:themeColor="text1"/>
                      <w:sz w:val="21"/>
                      <w:szCs w:val="21"/>
                      <w:vertAlign w:val="baseline"/>
                      <w:lang w:eastAsia="zh-CN"/>
                      <w14:textFill>
                        <w14:solidFill>
                          <w14:schemeClr w14:val="tx1"/>
                        </w14:solidFill>
                      </w14:textFill>
                    </w:rPr>
                    <w:t>。</w:t>
                  </w:r>
                </w:p>
              </w:tc>
              <w:tc>
                <w:tcPr>
                  <w:tcW w:w="656" w:type="dxa"/>
                  <w:shd w:val="clear" w:color="auto" w:fill="auto"/>
                  <w:vAlign w:val="center"/>
                </w:tcPr>
                <w:p w14:paraId="1B6F76E9">
                  <w:pPr>
                    <w:keepNext w:val="0"/>
                    <w:keepLines w:val="0"/>
                    <w:suppressLineNumbers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4A89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772" w:type="dxa"/>
                  <w:vMerge w:val="continue"/>
                  <w:shd w:val="clear" w:color="auto" w:fill="auto"/>
                  <w:vAlign w:val="center"/>
                </w:tcPr>
                <w:p w14:paraId="1BDC465D">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1568" w:type="dxa"/>
                  <w:gridSpan w:val="2"/>
                  <w:shd w:val="clear" w:color="auto" w:fill="auto"/>
                  <w:vAlign w:val="center"/>
                </w:tcPr>
                <w:p w14:paraId="242F5AD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物流通道</w:t>
                  </w:r>
                </w:p>
              </w:tc>
              <w:tc>
                <w:tcPr>
                  <w:tcW w:w="4941" w:type="dxa"/>
                  <w:shd w:val="clear" w:color="auto" w:fill="auto"/>
                  <w:vAlign w:val="center"/>
                </w:tcPr>
                <w:p w14:paraId="0DE2CBBE">
                  <w:pPr>
                    <w:keepNext w:val="0"/>
                    <w:keepLines w:val="0"/>
                    <w:suppressLineNumbers w:val="0"/>
                    <w:spacing w:before="0" w:beforeAutospacing="0" w:after="0" w:afterAutospacing="0"/>
                    <w:ind w:left="0" w:leftChars="0" w:right="0" w:rightChars="0"/>
                    <w:jc w:val="both"/>
                    <w:rPr>
                      <w:rFonts w:hint="default" w:ascii="Times New Roman" w:hAnsi="Times New Roman" w:eastAsia="宋体" w:cs="Times New Roman"/>
                      <w:bCs/>
                      <w:color w:val="000000" w:themeColor="text1"/>
                      <w:kern w:val="11"/>
                      <w:sz w:val="21"/>
                      <w:szCs w:val="21"/>
                      <w:lang w:val="en-US" w:eastAsia="zh-CN" w:bidi="ar-SA"/>
                      <w14:textFill>
                        <w14:solidFill>
                          <w14:schemeClr w14:val="tx1"/>
                        </w14:solidFill>
                      </w14:textFill>
                    </w:rPr>
                  </w:pPr>
                  <w:r>
                    <w:rPr>
                      <w:rFonts w:hint="eastAsia"/>
                      <w:bCs/>
                      <w:color w:val="000000" w:themeColor="text1"/>
                      <w:kern w:val="11"/>
                      <w:sz w:val="21"/>
                      <w:szCs w:val="21"/>
                      <w:lang w:val="en-US" w:eastAsia="zh-CN"/>
                      <w14:textFill>
                        <w14:solidFill>
                          <w14:schemeClr w14:val="tx1"/>
                        </w14:solidFill>
                      </w14:textFill>
                    </w:rPr>
                    <w:t>面积约600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eastAsia"/>
                      <w:color w:val="000000" w:themeColor="text1"/>
                      <w:sz w:val="21"/>
                      <w:szCs w:val="21"/>
                      <w:vertAlign w:val="baseline"/>
                      <w:lang w:eastAsia="zh-CN"/>
                      <w14:textFill>
                        <w14:solidFill>
                          <w14:schemeClr w14:val="tx1"/>
                        </w14:solidFill>
                      </w14:textFill>
                    </w:rPr>
                    <w:t>。</w:t>
                  </w:r>
                </w:p>
              </w:tc>
              <w:tc>
                <w:tcPr>
                  <w:tcW w:w="656" w:type="dxa"/>
                  <w:shd w:val="clear" w:color="auto" w:fill="auto"/>
                  <w:vAlign w:val="center"/>
                </w:tcPr>
                <w:p w14:paraId="6D9D256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14:paraId="3D2B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vMerge w:val="restart"/>
                  <w:shd w:val="clear" w:color="auto" w:fill="auto"/>
                  <w:vAlign w:val="center"/>
                </w:tcPr>
                <w:p w14:paraId="0D8815F6">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公用工程</w:t>
                  </w:r>
                </w:p>
              </w:tc>
              <w:tc>
                <w:tcPr>
                  <w:tcW w:w="1568" w:type="dxa"/>
                  <w:gridSpan w:val="2"/>
                  <w:shd w:val="clear" w:color="auto" w:fill="auto"/>
                  <w:vAlign w:val="center"/>
                </w:tcPr>
                <w:p w14:paraId="74D0EDD1">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供水</w:t>
                  </w:r>
                </w:p>
              </w:tc>
              <w:tc>
                <w:tcPr>
                  <w:tcW w:w="4941" w:type="dxa"/>
                  <w:shd w:val="clear" w:color="auto" w:fill="auto"/>
                  <w:vAlign w:val="center"/>
                </w:tcPr>
                <w:p w14:paraId="22B2D850">
                  <w:pPr>
                    <w:keepNext w:val="0"/>
                    <w:keepLines w:val="0"/>
                    <w:suppressLineNumbers w:val="0"/>
                    <w:adjustRightInd w:val="0"/>
                    <w:snapToGrid w:val="0"/>
                    <w:spacing w:before="0" w:beforeAutospacing="0" w:after="0" w:afterAutospacing="0"/>
                    <w:ind w:left="0" w:right="0"/>
                    <w:jc w:val="left"/>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由市政供水管网供水。</w:t>
                  </w:r>
                </w:p>
              </w:tc>
              <w:tc>
                <w:tcPr>
                  <w:tcW w:w="656" w:type="dxa"/>
                  <w:shd w:val="clear" w:color="auto" w:fill="auto"/>
                  <w:vAlign w:val="center"/>
                </w:tcPr>
                <w:p w14:paraId="40051DEB">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依托</w:t>
                  </w:r>
                </w:p>
              </w:tc>
            </w:tr>
            <w:tr w14:paraId="7873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dxa"/>
                  <w:vMerge w:val="continue"/>
                  <w:shd w:val="clear" w:color="auto" w:fill="auto"/>
                  <w:vAlign w:val="center"/>
                </w:tcPr>
                <w:p w14:paraId="567E3C0F">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1568" w:type="dxa"/>
                  <w:gridSpan w:val="2"/>
                  <w:shd w:val="clear" w:color="auto" w:fill="auto"/>
                  <w:vAlign w:val="center"/>
                </w:tcPr>
                <w:p w14:paraId="6CC5BAD5">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供电</w:t>
                  </w:r>
                </w:p>
              </w:tc>
              <w:tc>
                <w:tcPr>
                  <w:tcW w:w="4941" w:type="dxa"/>
                  <w:shd w:val="clear" w:color="auto" w:fill="auto"/>
                  <w:vAlign w:val="center"/>
                </w:tcPr>
                <w:p w14:paraId="2384D203">
                  <w:pPr>
                    <w:keepNext w:val="0"/>
                    <w:keepLines w:val="0"/>
                    <w:suppressLineNumbers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由</w:t>
                  </w:r>
                  <w:r>
                    <w:rPr>
                      <w:rFonts w:hint="eastAsia"/>
                      <w:color w:val="000000" w:themeColor="text1"/>
                      <w:sz w:val="21"/>
                      <w:szCs w:val="21"/>
                      <w14:textFill>
                        <w14:solidFill>
                          <w14:schemeClr w14:val="tx1"/>
                        </w14:solidFill>
                      </w14:textFill>
                    </w:rPr>
                    <w:t>园区电力</w:t>
                  </w:r>
                  <w:r>
                    <w:rPr>
                      <w:rFonts w:hint="eastAsia"/>
                      <w:color w:val="000000" w:themeColor="text1"/>
                      <w:sz w:val="21"/>
                      <w:szCs w:val="21"/>
                      <w:lang w:val="en-US" w:eastAsia="zh-CN"/>
                      <w14:textFill>
                        <w14:solidFill>
                          <w14:schemeClr w14:val="tx1"/>
                        </w14:solidFill>
                      </w14:textFill>
                    </w:rPr>
                    <w:t>管</w:t>
                  </w:r>
                  <w:r>
                    <w:rPr>
                      <w:rFonts w:hint="eastAsia"/>
                      <w:color w:val="000000" w:themeColor="text1"/>
                      <w:sz w:val="21"/>
                      <w:szCs w:val="21"/>
                      <w14:textFill>
                        <w14:solidFill>
                          <w14:schemeClr w14:val="tx1"/>
                        </w14:solidFill>
                      </w14:textFill>
                    </w:rPr>
                    <w:t>网供电</w:t>
                  </w:r>
                  <w:r>
                    <w:rPr>
                      <w:rFonts w:hint="default"/>
                      <w:color w:val="000000" w:themeColor="text1"/>
                      <w:sz w:val="21"/>
                      <w:szCs w:val="21"/>
                      <w14:textFill>
                        <w14:solidFill>
                          <w14:schemeClr w14:val="tx1"/>
                        </w14:solidFill>
                      </w14:textFill>
                    </w:rPr>
                    <w:t>。</w:t>
                  </w:r>
                </w:p>
              </w:tc>
              <w:tc>
                <w:tcPr>
                  <w:tcW w:w="656" w:type="dxa"/>
                  <w:shd w:val="clear" w:color="auto" w:fill="auto"/>
                  <w:vAlign w:val="center"/>
                </w:tcPr>
                <w:p w14:paraId="4413E781">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依托</w:t>
                  </w:r>
                </w:p>
              </w:tc>
            </w:tr>
            <w:tr w14:paraId="0A88C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dxa"/>
                  <w:vMerge w:val="continue"/>
                  <w:shd w:val="clear" w:color="auto" w:fill="auto"/>
                  <w:vAlign w:val="center"/>
                </w:tcPr>
                <w:p w14:paraId="04413DB1">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1568" w:type="dxa"/>
                  <w:gridSpan w:val="2"/>
                  <w:shd w:val="clear" w:color="auto" w:fill="auto"/>
                  <w:vAlign w:val="center"/>
                </w:tcPr>
                <w:p w14:paraId="630664CD">
                  <w:pPr>
                    <w:keepNext w:val="0"/>
                    <w:keepLines w:val="0"/>
                    <w:suppressLineNumbers w:val="0"/>
                    <w:spacing w:before="0" w:beforeAutospacing="0" w:after="0" w:afterAutospacing="0"/>
                    <w:ind w:left="0" w:right="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供气</w:t>
                  </w:r>
                </w:p>
              </w:tc>
              <w:tc>
                <w:tcPr>
                  <w:tcW w:w="4941" w:type="dxa"/>
                  <w:shd w:val="clear" w:color="auto" w:fill="auto"/>
                  <w:vAlign w:val="center"/>
                </w:tcPr>
                <w:p w14:paraId="216283CE">
                  <w:pPr>
                    <w:keepNext w:val="0"/>
                    <w:keepLines w:val="0"/>
                    <w:suppressLineNumbers w:val="0"/>
                    <w:spacing w:before="0" w:beforeAutospacing="0" w:after="0" w:afterAutospacing="0"/>
                    <w:ind w:left="0" w:right="0"/>
                    <w:rPr>
                      <w:rFonts w:hint="eastAsia"/>
                      <w:color w:val="000000" w:themeColor="text1"/>
                      <w:sz w:val="21"/>
                      <w:szCs w:val="21"/>
                      <w14:textFill>
                        <w14:solidFill>
                          <w14:schemeClr w14:val="tx1"/>
                        </w14:solidFill>
                      </w14:textFill>
                    </w:rPr>
                  </w:pPr>
                  <w:r>
                    <w:rPr>
                      <w:rFonts w:ascii="Times New Roman" w:hAnsi="Times New Roman" w:cs="Times New Roman"/>
                      <w:snapToGrid w:val="0"/>
                      <w:color w:val="000000" w:themeColor="text1"/>
                      <w:kern w:val="0"/>
                      <w:szCs w:val="21"/>
                      <w14:textFill>
                        <w14:solidFill>
                          <w14:schemeClr w14:val="tx1"/>
                        </w14:solidFill>
                      </w14:textFill>
                    </w:rPr>
                    <w:t>由园区市政天然气管网接入。</w:t>
                  </w:r>
                </w:p>
              </w:tc>
              <w:tc>
                <w:tcPr>
                  <w:tcW w:w="656" w:type="dxa"/>
                  <w:shd w:val="clear" w:color="auto" w:fill="auto"/>
                  <w:vAlign w:val="center"/>
                </w:tcPr>
                <w:p w14:paraId="621697EE">
                  <w:pPr>
                    <w:keepNext w:val="0"/>
                    <w:keepLines w:val="0"/>
                    <w:suppressLineNumbers w:val="0"/>
                    <w:spacing w:before="0" w:beforeAutospacing="0" w:after="0" w:afterAutospacing="0"/>
                    <w:ind w:left="0" w:right="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依托</w:t>
                  </w:r>
                </w:p>
              </w:tc>
            </w:tr>
            <w:tr w14:paraId="5D96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dxa"/>
                  <w:vMerge w:val="continue"/>
                  <w:shd w:val="clear" w:color="auto" w:fill="auto"/>
                  <w:vAlign w:val="center"/>
                </w:tcPr>
                <w:p w14:paraId="045925AE">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1568" w:type="dxa"/>
                  <w:gridSpan w:val="2"/>
                  <w:shd w:val="clear" w:color="auto" w:fill="auto"/>
                  <w:vAlign w:val="center"/>
                </w:tcPr>
                <w:p w14:paraId="5C1DF65B">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排水</w:t>
                  </w:r>
                </w:p>
              </w:tc>
              <w:tc>
                <w:tcPr>
                  <w:tcW w:w="4941" w:type="dxa"/>
                  <w:shd w:val="clear" w:color="auto" w:fill="auto"/>
                  <w:vAlign w:val="center"/>
                </w:tcPr>
                <w:p w14:paraId="2DE58CBE">
                  <w:pPr>
                    <w:pStyle w:val="1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采用雨污分流制</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洗枪废水回用于调漆；洗手废水经油水分离器预处理；</w:t>
                  </w:r>
                  <w:r>
                    <w:rPr>
                      <w:rFonts w:hint="default" w:ascii="Times New Roman" w:hAnsi="Times New Roman" w:cs="Times New Roman"/>
                      <w:color w:val="000000" w:themeColor="text1"/>
                      <w:sz w:val="21"/>
                      <w:szCs w:val="21"/>
                      <w:lang w:val="en-US" w:eastAsia="zh-CN"/>
                      <w14:textFill>
                        <w14:solidFill>
                          <w14:schemeClr w14:val="tx1"/>
                        </w14:solidFill>
                      </w14:textFill>
                    </w:rPr>
                    <w:t>水帘湿式漆雾净化废水经</w:t>
                  </w:r>
                  <w:r>
                    <w:rPr>
                      <w:rFonts w:hint="eastAsia" w:ascii="Times New Roman" w:hAnsi="Times New Roman" w:cs="Times New Roman"/>
                      <w:color w:val="000000" w:themeColor="text1"/>
                      <w:sz w:val="21"/>
                      <w:szCs w:val="21"/>
                      <w:lang w:val="en-US" w:eastAsia="zh-CN"/>
                      <w14:textFill>
                        <w14:solidFill>
                          <w14:schemeClr w14:val="tx1"/>
                        </w14:solidFill>
                      </w14:textFill>
                    </w:rPr>
                    <w:t>一体化生产废水处理站</w:t>
                  </w:r>
                  <w:r>
                    <w:rPr>
                      <w:rFonts w:hint="default" w:ascii="Times New Roman" w:hAnsi="Times New Roman" w:cs="Times New Roman"/>
                      <w:color w:val="000000" w:themeColor="text1"/>
                      <w:sz w:val="21"/>
                      <w:szCs w:val="21"/>
                      <w:lang w:val="en-US" w:eastAsia="zh-CN"/>
                      <w14:textFill>
                        <w14:solidFill>
                          <w14:schemeClr w14:val="tx1"/>
                        </w14:solidFill>
                      </w14:textFill>
                    </w:rPr>
                    <w:t>预处理</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生活污水、</w:t>
                  </w:r>
                  <w:r>
                    <w:rPr>
                      <w:rFonts w:hint="eastAsia" w:ascii="Times New Roman" w:hAnsi="Times New Roman" w:cs="Times New Roman"/>
                      <w:color w:val="000000" w:themeColor="text1"/>
                      <w:sz w:val="21"/>
                      <w:szCs w:val="21"/>
                      <w:lang w:val="en-US" w:eastAsia="zh-CN"/>
                      <w14:textFill>
                        <w14:solidFill>
                          <w14:schemeClr w14:val="tx1"/>
                        </w14:solidFill>
                      </w14:textFill>
                    </w:rPr>
                    <w:t>洗手</w:t>
                  </w:r>
                  <w:r>
                    <w:rPr>
                      <w:rFonts w:hint="default" w:ascii="Times New Roman" w:hAnsi="Times New Roman" w:cs="Times New Roman"/>
                      <w:color w:val="000000" w:themeColor="text1"/>
                      <w:sz w:val="21"/>
                      <w:szCs w:val="21"/>
                      <w:lang w:val="en-US" w:eastAsia="zh-CN"/>
                      <w14:textFill>
                        <w14:solidFill>
                          <w14:schemeClr w14:val="tx1"/>
                        </w14:solidFill>
                      </w14:textFill>
                    </w:rPr>
                    <w:t>废水与</w:t>
                  </w:r>
                  <w:r>
                    <w:rPr>
                      <w:rFonts w:hint="eastAsia" w:ascii="Times New Roman" w:hAnsi="Times New Roman" w:cs="Times New Roman"/>
                      <w:color w:val="000000" w:themeColor="text1"/>
                      <w:sz w:val="21"/>
                      <w:szCs w:val="21"/>
                      <w:lang w:val="en-US" w:eastAsia="zh-CN"/>
                      <w14:textFill>
                        <w14:solidFill>
                          <w14:schemeClr w14:val="tx1"/>
                        </w14:solidFill>
                      </w14:textFill>
                    </w:rPr>
                    <w:t>一体化生产废水处理站</w:t>
                  </w:r>
                  <w:r>
                    <w:rPr>
                      <w:rFonts w:hint="default" w:ascii="Times New Roman" w:hAnsi="Times New Roman" w:cs="Times New Roman"/>
                      <w:color w:val="000000" w:themeColor="text1"/>
                      <w:sz w:val="21"/>
                      <w:szCs w:val="21"/>
                      <w:lang w:val="en-US" w:eastAsia="zh-CN"/>
                      <w14:textFill>
                        <w14:solidFill>
                          <w14:schemeClr w14:val="tx1"/>
                        </w14:solidFill>
                      </w14:textFill>
                    </w:rPr>
                    <w:t>废水一并经生化池处理后进入园区污水管网，再由青杠污水处理厂深度处理排入璧南河。</w:t>
                  </w:r>
                </w:p>
              </w:tc>
              <w:tc>
                <w:tcPr>
                  <w:tcW w:w="656" w:type="dxa"/>
                  <w:shd w:val="clear" w:color="auto" w:fill="auto"/>
                  <w:vAlign w:val="center"/>
                </w:tcPr>
                <w:p w14:paraId="59316E04">
                  <w:pPr>
                    <w:keepNext w:val="0"/>
                    <w:keepLines w:val="0"/>
                    <w:suppressLineNumbers w:val="0"/>
                    <w:spacing w:before="0" w:beforeAutospacing="0" w:after="0" w:afterAutospacing="0"/>
                    <w:ind w:left="0" w:right="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依托</w:t>
                  </w:r>
                  <w:r>
                    <w:rPr>
                      <w:rFonts w:hint="eastAsia"/>
                      <w:color w:val="000000" w:themeColor="text1"/>
                      <w:sz w:val="21"/>
                      <w:szCs w:val="21"/>
                      <w:lang w:val="en-US" w:eastAsia="zh-CN"/>
                      <w14:textFill>
                        <w14:solidFill>
                          <w14:schemeClr w14:val="tx1"/>
                        </w14:solidFill>
                      </w14:textFill>
                    </w:rPr>
                    <w:t>+新建</w:t>
                  </w:r>
                </w:p>
              </w:tc>
            </w:tr>
            <w:tr w14:paraId="6300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dxa"/>
                  <w:vMerge w:val="restart"/>
                  <w:shd w:val="clear" w:color="auto" w:fill="auto"/>
                  <w:vAlign w:val="center"/>
                </w:tcPr>
                <w:p w14:paraId="4A70D97B">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环保工程</w:t>
                  </w:r>
                </w:p>
              </w:tc>
              <w:tc>
                <w:tcPr>
                  <w:tcW w:w="1568" w:type="dxa"/>
                  <w:gridSpan w:val="2"/>
                  <w:shd w:val="clear" w:color="auto" w:fill="auto"/>
                  <w:vAlign w:val="center"/>
                </w:tcPr>
                <w:p w14:paraId="7D49B38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废水</w:t>
                  </w:r>
                </w:p>
              </w:tc>
              <w:tc>
                <w:tcPr>
                  <w:tcW w:w="4941" w:type="dxa"/>
                  <w:shd w:val="clear" w:color="auto" w:fill="auto"/>
                  <w:vAlign w:val="center"/>
                </w:tcPr>
                <w:p w14:paraId="22F7AE49">
                  <w:pPr>
                    <w:pStyle w:val="12"/>
                    <w:keepNext w:val="0"/>
                    <w:keepLines w:val="0"/>
                    <w:suppressLineNumbers w:val="0"/>
                    <w:adjustRightInd w:val="0"/>
                    <w:spacing w:before="0" w:beforeAutospacing="0" w:after="0" w:afterAutospacing="0" w:line="240" w:lineRule="auto"/>
                    <w:ind w:left="0" w:right="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①洗手废水经油水分离器预处理；</w:t>
                  </w:r>
                </w:p>
                <w:p w14:paraId="2CD05AFA">
                  <w:pPr>
                    <w:pStyle w:val="12"/>
                    <w:keepNext w:val="0"/>
                    <w:keepLines w:val="0"/>
                    <w:suppressLineNumbers w:val="0"/>
                    <w:adjustRightInd w:val="0"/>
                    <w:spacing w:before="0" w:beforeAutospacing="0" w:after="0" w:afterAutospacing="0" w:line="240" w:lineRule="auto"/>
                    <w:ind w:left="0" w:right="0"/>
                    <w:jc w:val="both"/>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②洗枪废水</w:t>
                  </w:r>
                  <w:r>
                    <w:rPr>
                      <w:rFonts w:hint="eastAsia" w:ascii="Times New Roman" w:hAnsi="Times New Roman" w:cs="Times New Roman"/>
                      <w:color w:val="000000" w:themeColor="text1"/>
                      <w:sz w:val="21"/>
                      <w:szCs w:val="21"/>
                      <w:lang w:val="en-US" w:eastAsia="zh-CN"/>
                      <w14:textFill>
                        <w14:solidFill>
                          <w14:schemeClr w14:val="tx1"/>
                        </w14:solidFill>
                      </w14:textFill>
                    </w:rPr>
                    <w:t>回用于调漆；</w:t>
                  </w:r>
                </w:p>
                <w:p w14:paraId="07B3AF1E">
                  <w:pPr>
                    <w:pStyle w:val="12"/>
                    <w:keepNext w:val="0"/>
                    <w:keepLines w:val="0"/>
                    <w:suppressLineNumbers w:val="0"/>
                    <w:adjustRightInd w:val="0"/>
                    <w:spacing w:before="0" w:beforeAutospacing="0" w:after="0" w:afterAutospacing="0" w:line="240" w:lineRule="auto"/>
                    <w:ind w:left="0" w:right="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③水帘湿式漆雾净化废水经一体化生产废水处理站</w:t>
                  </w:r>
                  <w:r>
                    <w:rPr>
                      <w:rFonts w:hint="eastAsia" w:ascii="Times New Roman" w:hAnsi="Times New Roman" w:cs="Times New Roman"/>
                      <w:color w:val="000000" w:themeColor="text1"/>
                      <w:sz w:val="21"/>
                      <w:szCs w:val="21"/>
                      <w:lang w:val="en-US" w:eastAsia="zh-CN"/>
                      <w14:textFill>
                        <w14:solidFill>
                          <w14:schemeClr w14:val="tx1"/>
                        </w14:solidFill>
                      </w14:textFill>
                    </w:rPr>
                    <w:t>（2F楼顶）</w:t>
                  </w:r>
                  <w:r>
                    <w:rPr>
                      <w:rFonts w:hint="default" w:ascii="Times New Roman" w:hAnsi="Times New Roman" w:cs="Times New Roman"/>
                      <w:color w:val="000000" w:themeColor="text1"/>
                      <w:sz w:val="21"/>
                      <w:szCs w:val="21"/>
                      <w:lang w:val="en-US" w:eastAsia="zh-CN"/>
                      <w14:textFill>
                        <w14:solidFill>
                          <w14:schemeClr w14:val="tx1"/>
                        </w14:solidFill>
                      </w14:textFill>
                    </w:rPr>
                    <w:t>预处理，工艺为</w:t>
                  </w:r>
                  <w:r>
                    <w:rPr>
                      <w:rFonts w:hint="eastAsia" w:ascii="Times New Roman" w:hAnsi="Times New Roman"/>
                      <w:color w:val="000000" w:themeColor="text1"/>
                      <w:szCs w:val="24"/>
                      <w:highlight w:val="none"/>
                      <w:lang w:val="en-US" w:eastAsia="zh-CN"/>
                      <w14:textFill>
                        <w14:solidFill>
                          <w14:schemeClr w14:val="tx1"/>
                        </w14:solidFill>
                      </w14:textFill>
                    </w:rPr>
                    <w:t>芬顿氧化+</w:t>
                  </w:r>
                  <w:r>
                    <w:rPr>
                      <w:rFonts w:hint="eastAsia" w:ascii="Times New Roman" w:hAnsi="Times New Roman" w:cs="Times New Roman"/>
                      <w:color w:val="000000" w:themeColor="text1"/>
                      <w:sz w:val="21"/>
                      <w:szCs w:val="21"/>
                      <w:lang w:val="en-US" w:eastAsia="zh-CN"/>
                      <w14:textFill>
                        <w14:solidFill>
                          <w14:schemeClr w14:val="tx1"/>
                        </w14:solidFill>
                      </w14:textFill>
                    </w:rPr>
                    <w:t>混凝+沉淀</w:t>
                  </w:r>
                  <w:r>
                    <w:rPr>
                      <w:rFonts w:hint="default" w:ascii="Times New Roman" w:hAnsi="Times New Roman" w:cs="Times New Roman"/>
                      <w:color w:val="000000" w:themeColor="text1"/>
                      <w:sz w:val="21"/>
                      <w:szCs w:val="21"/>
                      <w:lang w:eastAsia="zh-CN"/>
                      <w14:textFill>
                        <w14:solidFill>
                          <w14:schemeClr w14:val="tx1"/>
                        </w14:solidFill>
                      </w14:textFill>
                    </w:rPr>
                    <w:t>，处理能力为</w:t>
                  </w:r>
                  <w:r>
                    <w:rPr>
                      <w:rFonts w:hint="default" w:ascii="Times New Roman" w:hAnsi="Times New Roman" w:cs="Times New Roman" w:eastAsiaTheme="minorEastAsia"/>
                      <w:color w:val="000000" w:themeColor="text1"/>
                      <w:sz w:val="21"/>
                      <w:szCs w:val="21"/>
                      <w:highlight w:val="none"/>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m</w:t>
                  </w:r>
                  <w:r>
                    <w:rPr>
                      <w:rFonts w:hint="default" w:ascii="Times New Roman" w:hAnsi="Times New Roman" w:cs="Times New Roman" w:eastAsiaTheme="minorEastAsia"/>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highlight w:val="none"/>
                      <w14:textFill>
                        <w14:solidFill>
                          <w14:schemeClr w14:val="tx1"/>
                        </w14:solidFill>
                      </w14:textFill>
                    </w:rPr>
                    <w:t>/d</w:t>
                  </w:r>
                  <w:r>
                    <w:rPr>
                      <w:rFonts w:hint="default" w:ascii="Times New Roman" w:hAnsi="Times New Roman" w:cs="Times New Roman"/>
                      <w:color w:val="000000" w:themeColor="text1"/>
                      <w:sz w:val="21"/>
                      <w:szCs w:val="21"/>
                      <w:lang w:val="en-US" w:eastAsia="zh-CN"/>
                      <w14:textFill>
                        <w14:solidFill>
                          <w14:schemeClr w14:val="tx1"/>
                        </w14:solidFill>
                      </w14:textFill>
                    </w:rPr>
                    <w:t>；</w:t>
                  </w:r>
                </w:p>
                <w:p w14:paraId="104B394D">
                  <w:pPr>
                    <w:pStyle w:val="12"/>
                    <w:keepNext w:val="0"/>
                    <w:keepLines w:val="0"/>
                    <w:suppressLineNumbers w:val="0"/>
                    <w:adjustRightInd w:val="0"/>
                    <w:spacing w:before="0" w:beforeAutospacing="0" w:after="0" w:afterAutospacing="0" w:line="240" w:lineRule="auto"/>
                    <w:ind w:left="0" w:right="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④</w:t>
                  </w:r>
                  <w:r>
                    <w:rPr>
                      <w:rFonts w:hint="default" w:ascii="Times New Roman" w:hAnsi="Times New Roman" w:cs="Times New Roman"/>
                      <w:color w:val="000000" w:themeColor="text1"/>
                      <w:sz w:val="21"/>
                      <w:szCs w:val="21"/>
                      <w:lang w:val="en-US" w:eastAsia="zh-CN"/>
                      <w14:textFill>
                        <w14:solidFill>
                          <w14:schemeClr w14:val="tx1"/>
                        </w14:solidFill>
                      </w14:textFill>
                    </w:rPr>
                    <w:t>生活污水、洗手废水与一体化生产废水处理站废水一并经生化池</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lang w:val="en-US" w:eastAsia="zh-CN"/>
                      <w14:textFill>
                        <w14:solidFill>
                          <w14:schemeClr w14:val="tx1"/>
                        </w14:solidFill>
                      </w14:textFill>
                    </w:rPr>
                    <w:t>处理规模100m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vertAlign w:val="baseline"/>
                      <w:lang w:val="en-US" w:eastAsia="zh-CN"/>
                      <w14:textFill>
                        <w14:solidFill>
                          <w14:schemeClr w14:val="tx1"/>
                        </w14:solidFill>
                      </w14:textFill>
                    </w:rPr>
                    <w:t>/d，工艺为水解酸化</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处理达《污水综合排放标准》（GB8978-1996）三级标准后进入园区污水管网，再由青杠污水处理厂深度处理，COD、BOD</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5</w:t>
                  </w:r>
                  <w:r>
                    <w:rPr>
                      <w:rFonts w:hint="default" w:ascii="Times New Roman" w:hAnsi="Times New Roman" w:cs="Times New Roman"/>
                      <w:color w:val="000000" w:themeColor="text1"/>
                      <w:sz w:val="21"/>
                      <w:szCs w:val="21"/>
                      <w:lang w:val="en-US" w:eastAsia="zh-CN"/>
                      <w14:textFill>
                        <w14:solidFill>
                          <w14:schemeClr w14:val="tx1"/>
                        </w14:solidFill>
                      </w14:textFill>
                    </w:rPr>
                    <w:t>、NH</w:t>
                  </w:r>
                  <w:r>
                    <w:rPr>
                      <w:rFonts w:hint="default" w:ascii="Times New Roman" w:hAnsi="Times New Roman"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color w:val="000000" w:themeColor="text1"/>
                      <w:sz w:val="21"/>
                      <w:szCs w:val="21"/>
                      <w:lang w:val="en-US" w:eastAsia="zh-CN"/>
                      <w14:textFill>
                        <w14:solidFill>
                          <w14:schemeClr w14:val="tx1"/>
                        </w14:solidFill>
                      </w14:textFill>
                    </w:rPr>
                    <w:t>-N、TP达《地表水环境质量标准》（GB3838-2002）IV类标准，其余污染物达《城镇污水处理厂污染物排放标准》（GB18918-2002）一级A标准排入璧南河。</w:t>
                  </w:r>
                </w:p>
              </w:tc>
              <w:tc>
                <w:tcPr>
                  <w:tcW w:w="656" w:type="dxa"/>
                  <w:shd w:val="clear" w:color="auto" w:fill="auto"/>
                  <w:vAlign w:val="center"/>
                </w:tcPr>
                <w:p w14:paraId="4FEE1F95">
                  <w:pPr>
                    <w:keepNext w:val="0"/>
                    <w:keepLines w:val="0"/>
                    <w:suppressLineNumbers w:val="0"/>
                    <w:spacing w:before="0" w:beforeAutospacing="0" w:after="0" w:afterAutospacing="0"/>
                    <w:ind w:left="0" w:right="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生化池</w:t>
                  </w:r>
                  <w:r>
                    <w:rPr>
                      <w:rFonts w:hint="default" w:ascii="Times New Roman" w:hAnsi="Times New Roman" w:cs="Times New Roman"/>
                      <w:color w:val="000000" w:themeColor="text1"/>
                      <w:sz w:val="21"/>
                      <w:szCs w:val="21"/>
                      <w:lang w:eastAsia="zh-CN"/>
                      <w14:textFill>
                        <w14:solidFill>
                          <w14:schemeClr w14:val="tx1"/>
                        </w14:solidFill>
                      </w14:textFill>
                    </w:rPr>
                    <w:t>依托，其余新建</w:t>
                  </w:r>
                </w:p>
              </w:tc>
            </w:tr>
            <w:tr w14:paraId="637F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vMerge w:val="continue"/>
                  <w:shd w:val="clear" w:color="auto" w:fill="auto"/>
                  <w:vAlign w:val="center"/>
                </w:tcPr>
                <w:p w14:paraId="46759A55">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1568" w:type="dxa"/>
                  <w:gridSpan w:val="2"/>
                  <w:shd w:val="clear" w:color="auto" w:fill="auto"/>
                  <w:vAlign w:val="center"/>
                </w:tcPr>
                <w:p w14:paraId="79F31966">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废气</w:t>
                  </w:r>
                </w:p>
              </w:tc>
              <w:tc>
                <w:tcPr>
                  <w:tcW w:w="4941" w:type="dxa"/>
                  <w:shd w:val="clear" w:color="auto" w:fill="auto"/>
                  <w:vAlign w:val="center"/>
                </w:tcPr>
                <w:p w14:paraId="7172DCF0">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rPr>
                      <w:rFonts w:hint="default" w:cs="Times New Roman"/>
                      <w:bCs/>
                      <w:color w:val="000000" w:themeColor="text1"/>
                      <w:kern w:val="0"/>
                      <w:sz w:val="21"/>
                      <w:szCs w:val="21"/>
                      <w:highlight w:val="none"/>
                      <w:lang w:eastAsia="zh-CN"/>
                      <w14:textFill>
                        <w14:solidFill>
                          <w14:schemeClr w14:val="tx1"/>
                        </w14:solidFill>
                      </w14:textFill>
                    </w:rPr>
                  </w:pPr>
                  <w:r>
                    <w:rPr>
                      <w:rFonts w:hint="default" w:ascii="Times New Roman" w:cs="Times New Roman"/>
                      <w:color w:val="000000" w:themeColor="text1"/>
                      <w:sz w:val="21"/>
                      <w:szCs w:val="21"/>
                      <w:lang w:val="en-US" w:eastAsia="zh-CN"/>
                      <w14:textFill>
                        <w14:solidFill>
                          <w14:schemeClr w14:val="tx1"/>
                        </w14:solidFill>
                      </w14:textFill>
                    </w:rPr>
                    <w:t>①</w:t>
                  </w:r>
                  <w:r>
                    <w:rPr>
                      <w:rFonts w:hint="eastAsia" w:ascii="Times New Roman" w:cs="Times New Roman"/>
                      <w:color w:val="000000" w:themeColor="text1"/>
                      <w:sz w:val="21"/>
                      <w:szCs w:val="21"/>
                      <w:lang w:val="en-US" w:eastAsia="zh-CN"/>
                      <w14:textFill>
                        <w14:solidFill>
                          <w14:schemeClr w14:val="tx1"/>
                        </w14:solidFill>
                      </w14:textFill>
                    </w:rPr>
                    <w:t>喷涂废气</w:t>
                  </w:r>
                  <w:r>
                    <w:rPr>
                      <w:rFonts w:hint="default" w:ascii="Times New Roman"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两条线喷漆、流平固化采用整体抽风，烘干采用送新风，</w:t>
                  </w:r>
                  <w:r>
                    <w:rPr>
                      <w:rFonts w:hint="eastAsia" w:cs="Times New Roman"/>
                      <w:bCs/>
                      <w:color w:val="000000" w:themeColor="text1"/>
                      <w:kern w:val="0"/>
                      <w:sz w:val="21"/>
                      <w:szCs w:val="21"/>
                      <w:lang w:val="en-US" w:eastAsia="zh-CN"/>
                      <w14:textFill>
                        <w14:solidFill>
                          <w14:schemeClr w14:val="tx1"/>
                        </w14:solidFill>
                      </w14:textFill>
                    </w:rPr>
                    <w:t>一起</w:t>
                  </w:r>
                  <w:r>
                    <w:rPr>
                      <w:rFonts w:hint="default" w:ascii="Times New Roman" w:hAnsi="Times New Roman" w:cs="Times New Roman"/>
                      <w:bCs/>
                      <w:color w:val="000000" w:themeColor="text1"/>
                      <w:kern w:val="0"/>
                      <w:sz w:val="21"/>
                      <w:szCs w:val="21"/>
                      <w14:textFill>
                        <w14:solidFill>
                          <w14:schemeClr w14:val="tx1"/>
                        </w14:solidFill>
                      </w14:textFill>
                    </w:rPr>
                    <w:t>经</w:t>
                  </w:r>
                  <w:r>
                    <w:rPr>
                      <w:rFonts w:hint="default" w:cs="Times New Roman"/>
                      <w:bCs/>
                      <w:color w:val="000000" w:themeColor="text1"/>
                      <w:kern w:val="0"/>
                      <w:sz w:val="21"/>
                      <w:szCs w:val="21"/>
                      <w:lang w:eastAsia="zh-CN"/>
                      <w14:textFill>
                        <w14:solidFill>
                          <w14:schemeClr w14:val="tx1"/>
                        </w14:solidFill>
                      </w14:textFill>
                    </w:rPr>
                    <w:t>一套</w:t>
                  </w:r>
                  <w:r>
                    <w:rPr>
                      <w:rFonts w:hint="eastAsia" w:cs="Times New Roman"/>
                      <w:bCs/>
                      <w:color w:val="000000" w:themeColor="text1"/>
                      <w:kern w:val="0"/>
                      <w:sz w:val="21"/>
                      <w:szCs w:val="21"/>
                      <w:lang w:eastAsia="zh-CN"/>
                      <w14:textFill>
                        <w14:solidFill>
                          <w14:schemeClr w14:val="tx1"/>
                        </w14:solidFill>
                      </w14:textFill>
                    </w:rPr>
                    <w:t>“</w:t>
                  </w:r>
                  <w:r>
                    <w:rPr>
                      <w:rFonts w:hint="eastAsia" w:cs="Times New Roman"/>
                      <w:bCs/>
                      <w:color w:val="000000" w:themeColor="text1"/>
                      <w:kern w:val="0"/>
                      <w:sz w:val="21"/>
                      <w:szCs w:val="21"/>
                      <w:lang w:val="en-US" w:eastAsia="zh-CN"/>
                      <w14:textFill>
                        <w14:solidFill>
                          <w14:schemeClr w14:val="tx1"/>
                        </w14:solidFill>
                      </w14:textFill>
                    </w:rPr>
                    <w:t>水帘湿式漆雾净化</w:t>
                  </w:r>
                  <w:r>
                    <w:rPr>
                      <w:rFonts w:hint="default" w:cs="Times New Roman"/>
                      <w:bCs/>
                      <w:color w:val="000000" w:themeColor="text1"/>
                      <w:kern w:val="0"/>
                      <w:sz w:val="21"/>
                      <w:szCs w:val="21"/>
                      <w:lang w:val="en-US"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高分子过滤盒</w:t>
                  </w:r>
                  <w:r>
                    <w:rPr>
                      <w:rFonts w:hint="default" w:cs="Times New Roman"/>
                      <w:bCs/>
                      <w:color w:val="000000" w:themeColor="text1"/>
                      <w:kern w:val="0"/>
                      <w:sz w:val="21"/>
                      <w:szCs w:val="21"/>
                      <w:lang w:val="en-US" w:eastAsia="zh-CN"/>
                      <w14:textFill>
                        <w14:solidFill>
                          <w14:schemeClr w14:val="tx1"/>
                        </w14:solidFill>
                      </w14:textFill>
                    </w:rPr>
                    <w:t>+干式过滤</w:t>
                  </w:r>
                  <w:r>
                    <w:rPr>
                      <w:rFonts w:hint="eastAsia" w:cs="Times New Roman"/>
                      <w:bCs/>
                      <w:color w:val="000000" w:themeColor="text1"/>
                      <w:kern w:val="0"/>
                      <w:sz w:val="21"/>
                      <w:szCs w:val="21"/>
                      <w:lang w:val="en-US" w:eastAsia="zh-CN"/>
                      <w14:textFill>
                        <w14:solidFill>
                          <w14:schemeClr w14:val="tx1"/>
                        </w14:solidFill>
                      </w14:textFill>
                    </w:rPr>
                    <w:t>棉</w:t>
                  </w:r>
                  <w:r>
                    <w:rPr>
                      <w:rFonts w:hint="default" w:cs="Times New Roman"/>
                      <w:bCs/>
                      <w:color w:val="000000" w:themeColor="text1"/>
                      <w:kern w:val="0"/>
                      <w:sz w:val="21"/>
                      <w:szCs w:val="21"/>
                      <w:lang w:val="en-US" w:eastAsia="zh-CN"/>
                      <w14:textFill>
                        <w14:solidFill>
                          <w14:schemeClr w14:val="tx1"/>
                        </w14:solidFill>
                      </w14:textFill>
                    </w:rPr>
                    <w:t>+二级活性炭吸附</w:t>
                  </w:r>
                  <w:r>
                    <w:rPr>
                      <w:rFonts w:hint="eastAsia" w:cs="Times New Roman"/>
                      <w:bCs/>
                      <w:color w:val="000000" w:themeColor="text1"/>
                      <w:kern w:val="0"/>
                      <w:sz w:val="21"/>
                      <w:szCs w:val="21"/>
                      <w:lang w:eastAsia="zh-CN"/>
                      <w14:textFill>
                        <w14:solidFill>
                          <w14:schemeClr w14:val="tx1"/>
                        </w14:solidFill>
                      </w14:textFill>
                    </w:rPr>
                    <w:t>”</w:t>
                  </w:r>
                  <w:r>
                    <w:rPr>
                      <w:rFonts w:hint="default" w:cs="Times New Roman"/>
                      <w:bCs/>
                      <w:color w:val="000000" w:themeColor="text1"/>
                      <w:kern w:val="0"/>
                      <w:sz w:val="21"/>
                      <w:szCs w:val="21"/>
                      <w:lang w:eastAsia="zh-CN"/>
                      <w14:textFill>
                        <w14:solidFill>
                          <w14:schemeClr w14:val="tx1"/>
                        </w14:solidFill>
                      </w14:textFill>
                    </w:rPr>
                    <w:t>装置处理后，由</w:t>
                  </w:r>
                  <w:r>
                    <w:rPr>
                      <w:rFonts w:hint="default" w:cs="Times New Roman"/>
                      <w:bCs/>
                      <w:color w:val="000000" w:themeColor="text1"/>
                      <w:kern w:val="0"/>
                      <w:sz w:val="21"/>
                      <w:szCs w:val="21"/>
                      <w:lang w:val="en-US" w:eastAsia="zh-CN"/>
                      <w14:textFill>
                        <w14:solidFill>
                          <w14:schemeClr w14:val="tx1"/>
                        </w14:solidFill>
                      </w14:textFill>
                    </w:rPr>
                    <w:t>15m高排气筒排放（</w:t>
                  </w:r>
                  <w:r>
                    <w:rPr>
                      <w:rFonts w:hint="default" w:ascii="Times New Roman" w:hAnsi="Times New Roman" w:cs="Times New Roman"/>
                      <w:bCs/>
                      <w:color w:val="000000" w:themeColor="text1"/>
                      <w:kern w:val="0"/>
                      <w:sz w:val="21"/>
                      <w:szCs w:val="21"/>
                      <w14:textFill>
                        <w14:solidFill>
                          <w14:schemeClr w14:val="tx1"/>
                        </w14:solidFill>
                      </w14:textFill>
                    </w:rPr>
                    <w:t>DA00</w:t>
                  </w:r>
                  <w:r>
                    <w:rPr>
                      <w:rFonts w:hint="eastAsia" w:cs="Times New Roman"/>
                      <w:bCs/>
                      <w:color w:val="000000" w:themeColor="text1"/>
                      <w:kern w:val="0"/>
                      <w:sz w:val="21"/>
                      <w:szCs w:val="21"/>
                      <w:lang w:val="en-US" w:eastAsia="zh-CN"/>
                      <w14:textFill>
                        <w14:solidFill>
                          <w14:schemeClr w14:val="tx1"/>
                        </w14:solidFill>
                      </w14:textFill>
                    </w:rPr>
                    <w:t>1</w:t>
                  </w:r>
                  <w:r>
                    <w:rPr>
                      <w:rFonts w:hint="default" w:cs="Times New Roman"/>
                      <w:bCs/>
                      <w:color w:val="000000" w:themeColor="text1"/>
                      <w:kern w:val="0"/>
                      <w:sz w:val="21"/>
                      <w:szCs w:val="21"/>
                      <w:lang w:val="en-US" w:eastAsia="zh-CN"/>
                      <w14:textFill>
                        <w14:solidFill>
                          <w14:schemeClr w14:val="tx1"/>
                        </w14:solidFill>
                      </w14:textFill>
                    </w:rPr>
                    <w:t>）</w:t>
                  </w:r>
                  <w:r>
                    <w:rPr>
                      <w:rFonts w:hint="eastAsia" w:cs="Times New Roman"/>
                      <w:bCs/>
                      <w:color w:val="000000" w:themeColor="text1"/>
                      <w:kern w:val="0"/>
                      <w:sz w:val="21"/>
                      <w:szCs w:val="21"/>
                      <w:highlight w:val="none"/>
                      <w:lang w:val="en-US" w:eastAsia="zh-CN"/>
                      <w14:textFill>
                        <w14:solidFill>
                          <w14:schemeClr w14:val="tx1"/>
                        </w14:solidFill>
                      </w14:textFill>
                    </w:rPr>
                    <w:t>，废气处理装置位于2F楼顶，两条线总风量为30000m</w:t>
                  </w:r>
                  <w:r>
                    <w:rPr>
                      <w:rFonts w:hint="eastAsia" w:cs="Times New Roman"/>
                      <w:bCs/>
                      <w:color w:val="000000" w:themeColor="text1"/>
                      <w:kern w:val="0"/>
                      <w:sz w:val="21"/>
                      <w:szCs w:val="21"/>
                      <w:highlight w:val="none"/>
                      <w:vertAlign w:val="superscript"/>
                      <w:lang w:val="en-US" w:eastAsia="zh-CN"/>
                      <w14:textFill>
                        <w14:solidFill>
                          <w14:schemeClr w14:val="tx1"/>
                        </w14:solidFill>
                      </w14:textFill>
                    </w:rPr>
                    <w:t>3</w:t>
                  </w:r>
                  <w:r>
                    <w:rPr>
                      <w:rFonts w:hint="eastAsia" w:cs="Times New Roman"/>
                      <w:bCs/>
                      <w:color w:val="000000" w:themeColor="text1"/>
                      <w:kern w:val="0"/>
                      <w:sz w:val="21"/>
                      <w:szCs w:val="21"/>
                      <w:highlight w:val="none"/>
                      <w:lang w:val="en-US" w:eastAsia="zh-CN"/>
                      <w14:textFill>
                        <w14:solidFill>
                          <w14:schemeClr w14:val="tx1"/>
                        </w14:solidFill>
                      </w14:textFill>
                    </w:rPr>
                    <w:t>/h</w:t>
                  </w:r>
                  <w:r>
                    <w:rPr>
                      <w:rFonts w:hint="eastAsia" w:cs="Times New Roman"/>
                      <w:bCs/>
                      <w:color w:val="000000" w:themeColor="text1"/>
                      <w:kern w:val="0"/>
                      <w:sz w:val="21"/>
                      <w:szCs w:val="21"/>
                      <w:highlight w:val="none"/>
                      <w:lang w:eastAsia="zh-CN"/>
                      <w14:textFill>
                        <w14:solidFill>
                          <w14:schemeClr w14:val="tx1"/>
                        </w14:solidFill>
                      </w14:textFill>
                    </w:rPr>
                    <w:t>；</w:t>
                  </w:r>
                </w:p>
                <w:p w14:paraId="6B366691">
                  <w:pPr>
                    <w:keepNext w:val="0"/>
                    <w:keepLines w:val="0"/>
                    <w:pageBreakBefore w:val="0"/>
                    <w:widowControl/>
                    <w:suppressLineNumbers w:val="0"/>
                    <w:kinsoku/>
                    <w:wordWrap/>
                    <w:overflowPunct/>
                    <w:topLinePunct w:val="0"/>
                    <w:bidi w:val="0"/>
                    <w:snapToGrid/>
                    <w:spacing w:before="0" w:beforeAutospacing="0" w:after="0" w:afterAutospacing="0" w:line="240" w:lineRule="auto"/>
                    <w:ind w:left="0" w:right="0"/>
                    <w:rPr>
                      <w:rFonts w:hint="default" w:cs="Times New Roman"/>
                      <w:bCs/>
                      <w:color w:val="000000" w:themeColor="text1"/>
                      <w:kern w:val="0"/>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②</w:t>
                  </w:r>
                  <w:r>
                    <w:rPr>
                      <w:rFonts w:hint="eastAsia" w:ascii="Times New Roman" w:cs="Times New Roman"/>
                      <w:color w:val="000000" w:themeColor="text1"/>
                      <w:sz w:val="21"/>
                      <w:szCs w:val="21"/>
                      <w:lang w:val="en-US" w:eastAsia="zh-CN"/>
                      <w14:textFill>
                        <w14:solidFill>
                          <w14:schemeClr w14:val="tx1"/>
                        </w14:solidFill>
                      </w14:textFill>
                    </w:rPr>
                    <w:t>打磨</w:t>
                  </w:r>
                  <w:r>
                    <w:rPr>
                      <w:rFonts w:hint="default" w:ascii="Times New Roman" w:cs="Times New Roman"/>
                      <w:color w:val="000000" w:themeColor="text1"/>
                      <w:sz w:val="21"/>
                      <w:szCs w:val="21"/>
                      <w:lang w:val="en-US" w:eastAsia="zh-CN"/>
                      <w14:textFill>
                        <w14:solidFill>
                          <w14:schemeClr w14:val="tx1"/>
                        </w14:solidFill>
                      </w14:textFill>
                    </w:rPr>
                    <w:t>废</w:t>
                  </w:r>
                  <w:r>
                    <w:rPr>
                      <w:rFonts w:hint="default" w:ascii="Times New Roman" w:hAnsi="Times New Roman" w:cs="Times New Roman"/>
                      <w:color w:val="000000" w:themeColor="text1"/>
                      <w:sz w:val="21"/>
                      <w:szCs w:val="21"/>
                      <w:lang w:val="en-US" w:eastAsia="zh-CN"/>
                      <w14:textFill>
                        <w14:solidFill>
                          <w14:schemeClr w14:val="tx1"/>
                        </w14:solidFill>
                      </w14:textFill>
                    </w:rPr>
                    <w:t>气：</w:t>
                  </w:r>
                  <w:r>
                    <w:rPr>
                      <w:rFonts w:hint="eastAsia" w:cs="Times New Roman"/>
                      <w:color w:val="000000" w:themeColor="text1"/>
                      <w:sz w:val="21"/>
                      <w:szCs w:val="21"/>
                      <w:lang w:val="en-US" w:eastAsia="zh-CN"/>
                      <w14:textFill>
                        <w14:solidFill>
                          <w14:schemeClr w14:val="tx1"/>
                        </w14:solidFill>
                      </w14:textFill>
                    </w:rPr>
                    <w:t>产生量较小，加强车间通风，无组织排放</w:t>
                  </w:r>
                  <w:r>
                    <w:rPr>
                      <w:rFonts w:hint="default" w:ascii="Times New Roman" w:hAnsi="Times New Roman" w:cs="Times New Roman"/>
                      <w:color w:val="000000" w:themeColor="text1"/>
                      <w:sz w:val="21"/>
                      <w:szCs w:val="21"/>
                      <w:lang w:val="en-US" w:eastAsia="zh-CN"/>
                      <w14:textFill>
                        <w14:solidFill>
                          <w14:schemeClr w14:val="tx1"/>
                        </w14:solidFill>
                      </w14:textFill>
                    </w:rPr>
                    <w:t>；</w:t>
                  </w:r>
                </w:p>
                <w:p w14:paraId="3F87F2B2">
                  <w:pPr>
                    <w:pStyle w:val="2"/>
                    <w:keepNext w:val="0"/>
                    <w:keepLines w:val="0"/>
                    <w:pageBreakBefore w:val="0"/>
                    <w:suppressLineNumbers w:val="0"/>
                    <w:kinsoku/>
                    <w:wordWrap/>
                    <w:overflowPunct/>
                    <w:topLinePunct w:val="0"/>
                    <w:bidi w:val="0"/>
                    <w:snapToGrid/>
                    <w:spacing w:before="0" w:beforeAutospacing="0" w:after="0" w:afterAutospacing="0" w:line="240" w:lineRule="auto"/>
                    <w:ind w:left="0" w:right="0"/>
                    <w:rPr>
                      <w:rFonts w:hint="default" w:asci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③除尘废气：</w:t>
                  </w:r>
                  <w:r>
                    <w:rPr>
                      <w:rFonts w:hint="eastAsia" w:ascii="Times New Roman" w:cs="Times New Roman"/>
                      <w:color w:val="000000" w:themeColor="text1"/>
                      <w:sz w:val="21"/>
                      <w:szCs w:val="21"/>
                      <w:lang w:val="en-US" w:eastAsia="zh-CN"/>
                      <w14:textFill>
                        <w14:solidFill>
                          <w14:schemeClr w14:val="tx1"/>
                        </w14:solidFill>
                      </w14:textFill>
                    </w:rPr>
                    <w:t>除尘柜顶部设置过滤棉，过滤后无组织排放</w:t>
                  </w:r>
                  <w:r>
                    <w:rPr>
                      <w:rFonts w:hint="default" w:ascii="Times New Roman" w:hAnsi="Times New Roman" w:cs="Times New Roman"/>
                      <w:color w:val="000000" w:themeColor="text1"/>
                      <w:sz w:val="21"/>
                      <w:szCs w:val="21"/>
                      <w:lang w:val="en-US" w:eastAsia="zh-CN"/>
                      <w14:textFill>
                        <w14:solidFill>
                          <w14:schemeClr w14:val="tx1"/>
                        </w14:solidFill>
                      </w14:textFill>
                    </w:rPr>
                    <w:t>；</w:t>
                  </w:r>
                </w:p>
                <w:p w14:paraId="51DBD1AC">
                  <w:pPr>
                    <w:pStyle w:val="2"/>
                    <w:keepNext w:val="0"/>
                    <w:keepLines w:val="0"/>
                    <w:pageBreakBefore w:val="0"/>
                    <w:suppressLineNumbers w:val="0"/>
                    <w:kinsoku/>
                    <w:wordWrap/>
                    <w:overflowPunct/>
                    <w:topLinePunct w:val="0"/>
                    <w:bidi w:val="0"/>
                    <w:snapToGrid/>
                    <w:spacing w:before="0" w:beforeAutospacing="0" w:after="0" w:afterAutospacing="0" w:line="240" w:lineRule="auto"/>
                    <w:ind w:left="0" w:right="0"/>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④抛光废气：</w:t>
                  </w:r>
                  <w:r>
                    <w:rPr>
                      <w:rFonts w:hint="eastAsia" w:cs="Times New Roman"/>
                      <w:color w:val="000000" w:themeColor="text1"/>
                      <w:sz w:val="21"/>
                      <w:szCs w:val="21"/>
                      <w:lang w:val="en-US" w:eastAsia="zh-CN"/>
                      <w14:textFill>
                        <w14:solidFill>
                          <w14:schemeClr w14:val="tx1"/>
                        </w14:solidFill>
                      </w14:textFill>
                    </w:rPr>
                    <w:t>产生量较小，加强车间通风，无组织排放</w:t>
                  </w:r>
                  <w:r>
                    <w:rPr>
                      <w:rFonts w:hint="default" w:ascii="Times New Roman" w:hAnsi="Times New Roman" w:cs="Times New Roman"/>
                      <w:color w:val="000000" w:themeColor="text1"/>
                      <w:sz w:val="21"/>
                      <w:szCs w:val="21"/>
                      <w:lang w:val="en-US" w:eastAsia="zh-CN"/>
                      <w14:textFill>
                        <w14:solidFill>
                          <w14:schemeClr w14:val="tx1"/>
                        </w14:solidFill>
                      </w14:textFill>
                    </w:rPr>
                    <w:t>；</w:t>
                  </w:r>
                </w:p>
                <w:p w14:paraId="5912D3C3">
                  <w:pPr>
                    <w:pStyle w:val="2"/>
                    <w:keepNext w:val="0"/>
                    <w:keepLines w:val="0"/>
                    <w:pageBreakBefore w:val="0"/>
                    <w:suppressLineNumbers w:val="0"/>
                    <w:kinsoku/>
                    <w:wordWrap/>
                    <w:overflowPunct/>
                    <w:topLinePunct w:val="0"/>
                    <w:bidi w:val="0"/>
                    <w:snapToGrid/>
                    <w:spacing w:before="0" w:beforeAutospacing="0" w:after="0" w:afterAutospacing="0" w:line="240" w:lineRule="auto"/>
                    <w:ind w:left="0" w:right="0"/>
                    <w:rPr>
                      <w:rFonts w:hint="eastAsia" w:eastAsia="宋体"/>
                      <w:color w:val="000000" w:themeColor="text1"/>
                      <w:sz w:val="21"/>
                      <w:szCs w:val="21"/>
                      <w:lang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⑤</w:t>
                  </w:r>
                  <w:r>
                    <w:rPr>
                      <w:rFonts w:hint="eastAsia"/>
                      <w:color w:val="000000" w:themeColor="text1"/>
                      <w:sz w:val="21"/>
                      <w:szCs w:val="21"/>
                      <w:lang w:val="en-US" w:eastAsia="zh-CN"/>
                      <w14:textFill>
                        <w14:solidFill>
                          <w14:schemeClr w14:val="tx1"/>
                        </w14:solidFill>
                      </w14:textFill>
                    </w:rPr>
                    <w:t>天然气燃烧废气：采用低氮燃烧技术，废气</w:t>
                  </w:r>
                  <w:r>
                    <w:rPr>
                      <w:rFonts w:hint="default" w:ascii="Times New Roman" w:cs="Times New Roman"/>
                      <w:color w:val="000000" w:themeColor="text1"/>
                      <w:sz w:val="21"/>
                      <w:szCs w:val="21"/>
                      <w:highlight w:val="none"/>
                      <w14:textFill>
                        <w14:solidFill>
                          <w14:schemeClr w14:val="tx1"/>
                        </w14:solidFill>
                      </w14:textFill>
                    </w:rPr>
                    <w:t>通过1根15m高排气筒（</w:t>
                  </w:r>
                  <w:r>
                    <w:rPr>
                      <w:rFonts w:hint="eastAsia" w:ascii="Times New Roman" w:cs="Times New Roman"/>
                      <w:color w:val="000000" w:themeColor="text1"/>
                      <w:sz w:val="21"/>
                      <w:szCs w:val="21"/>
                      <w:highlight w:val="none"/>
                      <w:lang w:val="en-US" w:eastAsia="zh-CN"/>
                      <w14:textFill>
                        <w14:solidFill>
                          <w14:schemeClr w14:val="tx1"/>
                        </w14:solidFill>
                      </w14:textFill>
                    </w:rPr>
                    <w:t>DA002</w:t>
                  </w:r>
                  <w:r>
                    <w:rPr>
                      <w:rFonts w:hint="default" w:ascii="Times New Roman" w:cs="Times New Roman"/>
                      <w:color w:val="000000" w:themeColor="text1"/>
                      <w:sz w:val="21"/>
                      <w:szCs w:val="21"/>
                      <w:highlight w:val="none"/>
                      <w14:textFill>
                        <w14:solidFill>
                          <w14:schemeClr w14:val="tx1"/>
                        </w14:solidFill>
                      </w14:textFill>
                    </w:rPr>
                    <w:t>）有组织排放</w:t>
                  </w:r>
                  <w:r>
                    <w:rPr>
                      <w:rFonts w:hint="eastAsia" w:ascii="Times New Roman" w:cs="Times New Roman"/>
                      <w:color w:val="000000" w:themeColor="text1"/>
                      <w:sz w:val="21"/>
                      <w:szCs w:val="21"/>
                      <w:highlight w:val="none"/>
                      <w:lang w:eastAsia="zh-CN"/>
                      <w14:textFill>
                        <w14:solidFill>
                          <w14:schemeClr w14:val="tx1"/>
                        </w14:solidFill>
                      </w14:textFill>
                    </w:rPr>
                    <w:t>；</w:t>
                  </w:r>
                </w:p>
                <w:p w14:paraId="4E926684">
                  <w:pPr>
                    <w:pStyle w:val="2"/>
                    <w:keepNext w:val="0"/>
                    <w:keepLines w:val="0"/>
                    <w:pageBreakBefore w:val="0"/>
                    <w:suppressLineNumbers w:val="0"/>
                    <w:kinsoku/>
                    <w:wordWrap/>
                    <w:overflowPunct/>
                    <w:topLinePunct w:val="0"/>
                    <w:bidi w:val="0"/>
                    <w:snapToGrid/>
                    <w:spacing w:before="0" w:beforeAutospacing="0" w:after="0" w:afterAutospacing="0" w:line="240" w:lineRule="auto"/>
                    <w:ind w:left="0" w:right="0"/>
                    <w:rPr>
                      <w:rFonts w:hint="default"/>
                      <w:color w:val="000000" w:themeColor="text1"/>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⑥危废贮存库</w:t>
                  </w:r>
                  <w:r>
                    <w:rPr>
                      <w:rFonts w:hint="default" w:ascii="Times New Roman" w:cs="Times New Roman"/>
                      <w:color w:val="000000" w:themeColor="text1"/>
                      <w:sz w:val="21"/>
                      <w:szCs w:val="21"/>
                      <w:highlight w:val="none"/>
                      <w14:textFill>
                        <w14:solidFill>
                          <w14:schemeClr w14:val="tx1"/>
                        </w14:solidFill>
                      </w14:textFill>
                    </w:rPr>
                    <w:t>废气：设置一套抽风装置，将废气引入</w:t>
                  </w:r>
                  <w:r>
                    <w:rPr>
                      <w:rFonts w:hint="eastAsia" w:ascii="Times New Roman" w:cs="Times New Roman"/>
                      <w:color w:val="000000" w:themeColor="text1"/>
                      <w:sz w:val="21"/>
                      <w:szCs w:val="21"/>
                      <w:highlight w:val="none"/>
                      <w:lang w:val="en-US" w:eastAsia="zh-CN"/>
                      <w14:textFill>
                        <w14:solidFill>
                          <w14:schemeClr w14:val="tx1"/>
                        </w14:solidFill>
                      </w14:textFill>
                    </w:rPr>
                    <w:t>喷涂废气处理设施的二级活性炭吸附装置处理，</w:t>
                  </w:r>
                  <w:r>
                    <w:rPr>
                      <w:rFonts w:hint="default" w:ascii="Times New Roman" w:cs="Times New Roman"/>
                      <w:color w:val="000000" w:themeColor="text1"/>
                      <w:sz w:val="21"/>
                      <w:szCs w:val="21"/>
                      <w:highlight w:val="none"/>
                      <w14:textFill>
                        <w14:solidFill>
                          <w14:schemeClr w14:val="tx1"/>
                        </w14:solidFill>
                      </w14:textFill>
                    </w:rPr>
                    <w:t>处理后通过1根15m高排气筒（DA00</w:t>
                  </w:r>
                  <w:r>
                    <w:rPr>
                      <w:rFonts w:hint="eastAsia" w:ascii="Times New Roman" w:cs="Times New Roman"/>
                      <w:color w:val="000000" w:themeColor="text1"/>
                      <w:sz w:val="21"/>
                      <w:szCs w:val="21"/>
                      <w:highlight w:val="none"/>
                      <w:lang w:val="en-US" w:eastAsia="zh-CN"/>
                      <w14:textFill>
                        <w14:solidFill>
                          <w14:schemeClr w14:val="tx1"/>
                        </w14:solidFill>
                      </w14:textFill>
                    </w:rPr>
                    <w:t>1</w:t>
                  </w:r>
                  <w:r>
                    <w:rPr>
                      <w:rFonts w:hint="default" w:ascii="Times New Roman" w:cs="Times New Roman"/>
                      <w:color w:val="000000" w:themeColor="text1"/>
                      <w:sz w:val="21"/>
                      <w:szCs w:val="21"/>
                      <w:highlight w:val="none"/>
                      <w14:textFill>
                        <w14:solidFill>
                          <w14:schemeClr w14:val="tx1"/>
                        </w14:solidFill>
                      </w14:textFill>
                    </w:rPr>
                    <w:t>）有组织排放。</w:t>
                  </w:r>
                </w:p>
              </w:tc>
              <w:tc>
                <w:tcPr>
                  <w:tcW w:w="656" w:type="dxa"/>
                  <w:shd w:val="clear" w:color="auto" w:fill="auto"/>
                  <w:vAlign w:val="center"/>
                </w:tcPr>
                <w:p w14:paraId="7D6B4618">
                  <w:pPr>
                    <w:keepNext w:val="0"/>
                    <w:keepLines w:val="0"/>
                    <w:suppressLineNumbers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新建</w:t>
                  </w:r>
                </w:p>
              </w:tc>
            </w:tr>
            <w:tr w14:paraId="058E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dxa"/>
                  <w:vMerge w:val="continue"/>
                  <w:shd w:val="clear" w:color="auto" w:fill="auto"/>
                  <w:vAlign w:val="center"/>
                </w:tcPr>
                <w:p w14:paraId="52121525">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1568" w:type="dxa"/>
                  <w:gridSpan w:val="2"/>
                  <w:shd w:val="clear" w:color="auto" w:fill="auto"/>
                  <w:vAlign w:val="center"/>
                </w:tcPr>
                <w:p w14:paraId="5D35E4CF">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固废</w:t>
                  </w:r>
                </w:p>
              </w:tc>
              <w:tc>
                <w:tcPr>
                  <w:tcW w:w="4941" w:type="dxa"/>
                  <w:shd w:val="clear" w:color="auto" w:fill="auto"/>
                  <w:vAlign w:val="center"/>
                </w:tcPr>
                <w:p w14:paraId="3524F8A0">
                  <w:pPr>
                    <w:keepNext w:val="0"/>
                    <w:keepLines w:val="0"/>
                    <w:suppressLineNumbers w:val="0"/>
                    <w:adjustRightInd w:val="0"/>
                    <w:snapToGrid w:val="0"/>
                    <w:spacing w:before="0" w:beforeAutospacing="0" w:after="0" w:afterAutospacing="0"/>
                    <w:ind w:left="0" w:right="0"/>
                    <w:rPr>
                      <w:rFonts w:hint="eastAsia"/>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①</w:t>
                  </w:r>
                  <w:r>
                    <w:rPr>
                      <w:rFonts w:hint="default"/>
                      <w:color w:val="000000" w:themeColor="text1"/>
                      <w:sz w:val="21"/>
                      <w:szCs w:val="21"/>
                      <w14:textFill>
                        <w14:solidFill>
                          <w14:schemeClr w14:val="tx1"/>
                        </w14:solidFill>
                      </w14:textFill>
                    </w:rPr>
                    <w:t>一般固废暂存</w:t>
                  </w:r>
                  <w:r>
                    <w:rPr>
                      <w:rFonts w:hint="eastAsia"/>
                      <w:color w:val="000000" w:themeColor="text1"/>
                      <w:sz w:val="21"/>
                      <w:szCs w:val="21"/>
                      <w:lang w:val="en-US" w:eastAsia="zh-CN"/>
                      <w14:textFill>
                        <w14:solidFill>
                          <w14:schemeClr w14:val="tx1"/>
                        </w14:solidFill>
                      </w14:textFill>
                    </w:rPr>
                    <w:t>间</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新建一间一</w:t>
                  </w:r>
                  <w:r>
                    <w:rPr>
                      <w:rFonts w:hint="default"/>
                      <w:color w:val="000000" w:themeColor="text1"/>
                      <w:sz w:val="21"/>
                      <w:szCs w:val="21"/>
                      <w14:textFill>
                        <w14:solidFill>
                          <w14:schemeClr w14:val="tx1"/>
                        </w14:solidFill>
                      </w14:textFill>
                    </w:rPr>
                    <w:t>般固废暂存</w:t>
                  </w:r>
                  <w:r>
                    <w:rPr>
                      <w:rFonts w:hint="eastAsia"/>
                      <w:color w:val="000000" w:themeColor="text1"/>
                      <w:sz w:val="21"/>
                      <w:szCs w:val="21"/>
                      <w:lang w:val="en-US" w:eastAsia="zh-CN"/>
                      <w14:textFill>
                        <w14:solidFill>
                          <w14:schemeClr w14:val="tx1"/>
                        </w14:solidFill>
                      </w14:textFill>
                    </w:rPr>
                    <w:t>间，</w:t>
                  </w:r>
                  <w:r>
                    <w:rPr>
                      <w:rFonts w:hint="default"/>
                      <w:color w:val="000000" w:themeColor="text1"/>
                      <w:sz w:val="21"/>
                      <w:szCs w:val="21"/>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eastAsia"/>
                      <w:color w:val="000000" w:themeColor="text1"/>
                      <w:sz w:val="21"/>
                      <w:szCs w:val="21"/>
                      <w14:textFill>
                        <w14:solidFill>
                          <w14:schemeClr w14:val="tx1"/>
                        </w14:solidFill>
                      </w14:textFill>
                    </w:rPr>
                    <w:t>厂房</w:t>
                  </w:r>
                  <w:r>
                    <w:rPr>
                      <w:rFonts w:hint="eastAsia"/>
                      <w:color w:val="000000" w:themeColor="text1"/>
                      <w:sz w:val="21"/>
                      <w:szCs w:val="21"/>
                      <w:lang w:val="en-US" w:eastAsia="zh-CN"/>
                      <w14:textFill>
                        <w14:solidFill>
                          <w14:schemeClr w14:val="tx1"/>
                        </w14:solidFill>
                      </w14:textFill>
                    </w:rPr>
                    <w:t>东</w:t>
                  </w:r>
                  <w:r>
                    <w:rPr>
                      <w:rFonts w:hint="eastAsia"/>
                      <w:color w:val="000000" w:themeColor="text1"/>
                      <w:sz w:val="21"/>
                      <w:szCs w:val="21"/>
                      <w:u w:val="none"/>
                      <w:lang w:val="en-US" w:eastAsia="zh-CN"/>
                      <w14:textFill>
                        <w14:solidFill>
                          <w14:schemeClr w14:val="tx1"/>
                        </w14:solidFill>
                      </w14:textFill>
                    </w:rPr>
                    <w:t>南侧</w:t>
                  </w:r>
                  <w:r>
                    <w:rPr>
                      <w:rFonts w:hint="default"/>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面积约</w:t>
                  </w:r>
                  <w:r>
                    <w:rPr>
                      <w:rFonts w:hint="eastAsia"/>
                      <w:color w:val="000000" w:themeColor="text1"/>
                      <w:sz w:val="21"/>
                      <w:szCs w:val="21"/>
                      <w14:textFill>
                        <w14:solidFill>
                          <w14:schemeClr w14:val="tx1"/>
                        </w14:solidFill>
                      </w14:textFill>
                    </w:rPr>
                    <w:t>1</w:t>
                  </w:r>
                  <w:r>
                    <w:rPr>
                      <w:rFonts w:hint="default"/>
                      <w:color w:val="000000" w:themeColor="text1"/>
                      <w:sz w:val="21"/>
                      <w:szCs w:val="21"/>
                      <w14:textFill>
                        <w14:solidFill>
                          <w14:schemeClr w14:val="tx1"/>
                        </w14:solidFill>
                      </w14:textFill>
                    </w:rPr>
                    <w:t>0m</w:t>
                  </w:r>
                  <w:r>
                    <w:rPr>
                      <w:rFonts w:hint="default"/>
                      <w:color w:val="000000" w:themeColor="text1"/>
                      <w:sz w:val="21"/>
                      <w:szCs w:val="21"/>
                      <w:vertAlign w:val="superscript"/>
                      <w14:textFill>
                        <w14:solidFill>
                          <w14:schemeClr w14:val="tx1"/>
                        </w14:solidFill>
                      </w14:textFill>
                    </w:rPr>
                    <w:t>2</w:t>
                  </w:r>
                  <w:r>
                    <w:rPr>
                      <w:rFonts w:hint="eastAsia"/>
                      <w:color w:val="000000" w:themeColor="text1"/>
                      <w:sz w:val="21"/>
                      <w:szCs w:val="21"/>
                      <w:vertAlign w:val="baseline"/>
                      <w:lang w:eastAsia="zh-CN"/>
                      <w14:textFill>
                        <w14:solidFill>
                          <w14:schemeClr w14:val="tx1"/>
                        </w14:solidFill>
                      </w14:textFill>
                    </w:rPr>
                    <w:t>，</w:t>
                  </w:r>
                  <w:r>
                    <w:rPr>
                      <w:rFonts w:hint="eastAsia"/>
                      <w:color w:val="000000" w:themeColor="text1"/>
                      <w:sz w:val="21"/>
                      <w:szCs w:val="21"/>
                      <w:vertAlign w:val="baseline"/>
                      <w:lang w:val="en-US" w:eastAsia="zh-CN"/>
                      <w14:textFill>
                        <w14:solidFill>
                          <w14:schemeClr w14:val="tx1"/>
                        </w14:solidFill>
                      </w14:textFill>
                    </w:rPr>
                    <w:t>用于存放不合格品、</w:t>
                  </w:r>
                  <w:r>
                    <w:rPr>
                      <w:rFonts w:hint="eastAsia"/>
                      <w:color w:val="000000" w:themeColor="text1"/>
                      <w:szCs w:val="21"/>
                      <w14:textFill>
                        <w14:solidFill>
                          <w14:schemeClr w14:val="tx1"/>
                        </w14:solidFill>
                      </w14:textFill>
                    </w:rPr>
                    <w:t>未沾染危化品和危险废物的包装物</w:t>
                  </w:r>
                  <w:r>
                    <w:rPr>
                      <w:rFonts w:hint="eastAsia"/>
                      <w:color w:val="000000" w:themeColor="text1"/>
                      <w:szCs w:val="21"/>
                      <w:lang w:val="en-US" w:eastAsia="zh-CN"/>
                      <w14:textFill>
                        <w14:solidFill>
                          <w14:schemeClr w14:val="tx1"/>
                        </w14:solidFill>
                      </w14:textFill>
                    </w:rPr>
                    <w:t>等</w:t>
                  </w:r>
                  <w:r>
                    <w:rPr>
                      <w:rFonts w:hint="eastAsia"/>
                      <w:color w:val="000000" w:themeColor="text1"/>
                      <w:sz w:val="21"/>
                      <w:szCs w:val="21"/>
                      <w:lang w:eastAsia="zh-CN"/>
                      <w14:textFill>
                        <w14:solidFill>
                          <w14:schemeClr w14:val="tx1"/>
                        </w14:solidFill>
                      </w14:textFill>
                    </w:rPr>
                    <w:t>；</w:t>
                  </w:r>
                </w:p>
                <w:p w14:paraId="6AF525D4">
                  <w:pPr>
                    <w:keepNext w:val="0"/>
                    <w:keepLines w:val="0"/>
                    <w:suppressLineNumbers w:val="0"/>
                    <w:adjustRightInd w:val="0"/>
                    <w:snapToGrid w:val="0"/>
                    <w:spacing w:before="0" w:beforeAutospacing="0" w:after="0" w:afterAutospacing="0"/>
                    <w:ind w:left="0" w:right="0"/>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②</w:t>
                  </w:r>
                  <w:r>
                    <w:rPr>
                      <w:rFonts w:hint="eastAsia"/>
                      <w:color w:val="000000" w:themeColor="text1"/>
                      <w:sz w:val="21"/>
                      <w:szCs w:val="21"/>
                      <w:lang w:eastAsia="zh-CN"/>
                      <w14:textFill>
                        <w14:solidFill>
                          <w14:schemeClr w14:val="tx1"/>
                        </w14:solidFill>
                      </w14:textFill>
                    </w:rPr>
                    <w:t>危废贮存库：</w:t>
                  </w:r>
                  <w:r>
                    <w:rPr>
                      <w:rFonts w:hint="eastAsia"/>
                      <w:color w:val="000000" w:themeColor="text1"/>
                      <w:sz w:val="21"/>
                      <w:szCs w:val="21"/>
                      <w:lang w:val="en-US" w:eastAsia="zh-CN"/>
                      <w14:textFill>
                        <w14:solidFill>
                          <w14:schemeClr w14:val="tx1"/>
                        </w14:solidFill>
                      </w14:textFill>
                    </w:rPr>
                    <w:t>新建一个</w:t>
                  </w:r>
                  <w:r>
                    <w:rPr>
                      <w:rFonts w:hint="eastAsia"/>
                      <w:color w:val="000000" w:themeColor="text1"/>
                      <w:sz w:val="21"/>
                      <w:szCs w:val="21"/>
                      <w:lang w:eastAsia="zh-CN"/>
                      <w14:textFill>
                        <w14:solidFill>
                          <w14:schemeClr w14:val="tx1"/>
                        </w14:solidFill>
                      </w14:textFill>
                    </w:rPr>
                    <w:t>危废贮存库</w:t>
                  </w:r>
                  <w:r>
                    <w:rPr>
                      <w:rFonts w:hint="eastAsia"/>
                      <w:color w:val="000000" w:themeColor="text1"/>
                      <w:sz w:val="21"/>
                      <w:szCs w:val="21"/>
                      <w:lang w:val="en-US" w:eastAsia="zh-CN"/>
                      <w14:textFill>
                        <w14:solidFill>
                          <w14:schemeClr w14:val="tx1"/>
                        </w14:solidFill>
                      </w14:textFill>
                    </w:rPr>
                    <w:t>，</w:t>
                  </w:r>
                  <w:r>
                    <w:rPr>
                      <w:rFonts w:hint="default"/>
                      <w:color w:val="000000" w:themeColor="text1"/>
                      <w:sz w:val="21"/>
                      <w:szCs w:val="21"/>
                      <w14:textFill>
                        <w14:solidFill>
                          <w14:schemeClr w14:val="tx1"/>
                        </w14:solidFill>
                      </w14:textFill>
                    </w:rPr>
                    <w:t>位于</w:t>
                  </w:r>
                  <w:r>
                    <w:rPr>
                      <w:rFonts w:hint="eastAsia"/>
                      <w:color w:val="000000" w:themeColor="text1"/>
                      <w:sz w:val="21"/>
                      <w:szCs w:val="21"/>
                      <w:lang w:val="en-US" w:eastAsia="zh-CN"/>
                      <w14:textFill>
                        <w14:solidFill>
                          <w14:schemeClr w14:val="tx1"/>
                        </w14:solidFill>
                      </w14:textFill>
                    </w:rPr>
                    <w:t>2F</w:t>
                  </w:r>
                  <w:r>
                    <w:rPr>
                      <w:rFonts w:hint="eastAsia"/>
                      <w:color w:val="000000" w:themeColor="text1"/>
                      <w:sz w:val="21"/>
                      <w:szCs w:val="21"/>
                      <w14:textFill>
                        <w14:solidFill>
                          <w14:schemeClr w14:val="tx1"/>
                        </w14:solidFill>
                      </w14:textFill>
                    </w:rPr>
                    <w:t>厂房</w:t>
                  </w:r>
                  <w:r>
                    <w:rPr>
                      <w:rFonts w:hint="eastAsia"/>
                      <w:color w:val="000000" w:themeColor="text1"/>
                      <w:sz w:val="21"/>
                      <w:szCs w:val="21"/>
                      <w:u w:val="none"/>
                      <w:lang w:val="en-US" w:eastAsia="zh-CN"/>
                      <w14:textFill>
                        <w14:solidFill>
                          <w14:schemeClr w14:val="tx1"/>
                        </w14:solidFill>
                      </w14:textFill>
                    </w:rPr>
                    <w:t>东南侧</w:t>
                  </w:r>
                  <w:r>
                    <w:rPr>
                      <w:rFonts w:hint="default"/>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面积约30</w:t>
                  </w:r>
                  <w:r>
                    <w:rPr>
                      <w:rFonts w:hint="default"/>
                      <w:color w:val="000000" w:themeColor="text1"/>
                      <w:sz w:val="21"/>
                      <w:szCs w:val="21"/>
                      <w14:textFill>
                        <w14:solidFill>
                          <w14:schemeClr w14:val="tx1"/>
                        </w14:solidFill>
                      </w14:textFill>
                    </w:rPr>
                    <w:t>m</w:t>
                  </w:r>
                  <w:r>
                    <w:rPr>
                      <w:rFonts w:hint="default"/>
                      <w:color w:val="000000" w:themeColor="text1"/>
                      <w:sz w:val="21"/>
                      <w:szCs w:val="21"/>
                      <w:vertAlign w:val="superscript"/>
                      <w14:textFill>
                        <w14:solidFill>
                          <w14:schemeClr w14:val="tx1"/>
                        </w14:solidFill>
                      </w14:textFill>
                    </w:rPr>
                    <w:t>2</w:t>
                  </w:r>
                  <w:r>
                    <w:rPr>
                      <w:rFonts w:hint="default"/>
                      <w:color w:val="000000" w:themeColor="text1"/>
                      <w:sz w:val="21"/>
                      <w:szCs w:val="21"/>
                      <w14:textFill>
                        <w14:solidFill>
                          <w14:schemeClr w14:val="tx1"/>
                        </w14:solidFill>
                      </w14:textFill>
                    </w:rPr>
                    <w:t>，</w:t>
                  </w:r>
                  <w:r>
                    <w:rPr>
                      <w:rFonts w:hint="default"/>
                      <w:color w:val="000000" w:themeColor="text1"/>
                      <w:szCs w:val="21"/>
                      <w14:textFill>
                        <w14:solidFill>
                          <w14:schemeClr w14:val="tx1"/>
                        </w14:solidFill>
                      </w14:textFill>
                    </w:rPr>
                    <w:t>危险废物贮存库按照《危险废物贮存污染控制标准》（GB18597-2023）要求建设</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用于存放废活性炭等危险废物</w:t>
                  </w:r>
                  <w:r>
                    <w:rPr>
                      <w:rFonts w:hint="eastAsia"/>
                      <w:color w:val="000000" w:themeColor="text1"/>
                      <w:sz w:val="21"/>
                      <w:szCs w:val="21"/>
                      <w:lang w:eastAsia="zh-CN"/>
                      <w14:textFill>
                        <w14:solidFill>
                          <w14:schemeClr w14:val="tx1"/>
                        </w14:solidFill>
                      </w14:textFill>
                    </w:rPr>
                    <w:t>；</w:t>
                  </w:r>
                </w:p>
                <w:p w14:paraId="58A8A5D9">
                  <w:pPr>
                    <w:keepNext w:val="0"/>
                    <w:keepLines w:val="0"/>
                    <w:suppressLineNumbers w:val="0"/>
                    <w:adjustRightInd w:val="0"/>
                    <w:snapToGrid w:val="0"/>
                    <w:spacing w:before="0" w:beforeAutospacing="0" w:after="0" w:afterAutospacing="0"/>
                    <w:ind w:left="0" w:right="0"/>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③</w:t>
                  </w:r>
                  <w:r>
                    <w:rPr>
                      <w:rFonts w:hint="default"/>
                      <w:color w:val="000000" w:themeColor="text1"/>
                      <w:szCs w:val="21"/>
                      <w:highlight w:val="none"/>
                      <w14:textFill>
                        <w14:solidFill>
                          <w14:schemeClr w14:val="tx1"/>
                        </w14:solidFill>
                      </w14:textFill>
                    </w:rPr>
                    <w:t>生活垃圾：设置垃圾</w:t>
                  </w:r>
                  <w:r>
                    <w:rPr>
                      <w:rFonts w:hint="default"/>
                      <w:bCs/>
                      <w:color w:val="000000" w:themeColor="text1"/>
                      <w:szCs w:val="21"/>
                      <w:highlight w:val="none"/>
                      <w14:textFill>
                        <w14:solidFill>
                          <w14:schemeClr w14:val="tx1"/>
                        </w14:solidFill>
                      </w14:textFill>
                    </w:rPr>
                    <w:t>收集点，</w:t>
                  </w:r>
                  <w:r>
                    <w:rPr>
                      <w:rFonts w:hint="default"/>
                      <w:color w:val="000000" w:themeColor="text1"/>
                      <w:szCs w:val="21"/>
                      <w:highlight w:val="none"/>
                      <w14:textFill>
                        <w14:solidFill>
                          <w14:schemeClr w14:val="tx1"/>
                        </w14:solidFill>
                      </w14:textFill>
                    </w:rPr>
                    <w:t>由环卫部门收集处理</w:t>
                  </w:r>
                  <w:r>
                    <w:rPr>
                      <w:rFonts w:hint="eastAsia"/>
                      <w:color w:val="000000" w:themeColor="text1"/>
                      <w:szCs w:val="21"/>
                      <w:highlight w:val="none"/>
                      <w:lang w:eastAsia="zh-CN"/>
                      <w14:textFill>
                        <w14:solidFill>
                          <w14:schemeClr w14:val="tx1"/>
                        </w14:solidFill>
                      </w14:textFill>
                    </w:rPr>
                    <w:t>。</w:t>
                  </w:r>
                </w:p>
              </w:tc>
              <w:tc>
                <w:tcPr>
                  <w:tcW w:w="656" w:type="dxa"/>
                  <w:shd w:val="clear" w:color="auto" w:fill="auto"/>
                  <w:vAlign w:val="center"/>
                </w:tcPr>
                <w:p w14:paraId="474DB5D8">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新建</w:t>
                  </w:r>
                </w:p>
              </w:tc>
            </w:tr>
            <w:tr w14:paraId="13C68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2" w:type="dxa"/>
                  <w:vMerge w:val="continue"/>
                  <w:shd w:val="clear" w:color="auto" w:fill="auto"/>
                  <w:vAlign w:val="center"/>
                </w:tcPr>
                <w:p w14:paraId="7B979CC4">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1568" w:type="dxa"/>
                  <w:gridSpan w:val="2"/>
                  <w:shd w:val="clear" w:color="auto" w:fill="auto"/>
                  <w:vAlign w:val="center"/>
                </w:tcPr>
                <w:p w14:paraId="5A9B364D">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噪声</w:t>
                  </w:r>
                </w:p>
              </w:tc>
              <w:tc>
                <w:tcPr>
                  <w:tcW w:w="4941" w:type="dxa"/>
                  <w:shd w:val="clear" w:color="auto" w:fill="auto"/>
                  <w:vAlign w:val="center"/>
                </w:tcPr>
                <w:p w14:paraId="3D330AC8">
                  <w:pPr>
                    <w:keepNext w:val="0"/>
                    <w:keepLines w:val="0"/>
                    <w:suppressLineNumbers w:val="0"/>
                    <w:spacing w:before="0" w:beforeAutospacing="0" w:after="0" w:afterAutospacing="0"/>
                    <w:ind w:left="0" w:right="0"/>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选用低噪声设备，通过合理布局</w:t>
                  </w:r>
                  <w:r>
                    <w:rPr>
                      <w:rFonts w:hint="eastAsia"/>
                      <w:color w:val="000000" w:themeColor="text1"/>
                      <w:sz w:val="21"/>
                      <w:szCs w:val="21"/>
                      <w14:textFill>
                        <w14:solidFill>
                          <w14:schemeClr w14:val="tx1"/>
                        </w14:solidFill>
                      </w14:textFill>
                    </w:rPr>
                    <w:t>、基础减振、</w:t>
                  </w:r>
                  <w:r>
                    <w:rPr>
                      <w:rFonts w:hint="default"/>
                      <w:color w:val="000000" w:themeColor="text1"/>
                      <w:sz w:val="21"/>
                      <w:szCs w:val="21"/>
                      <w14:textFill>
                        <w14:solidFill>
                          <w14:schemeClr w14:val="tx1"/>
                        </w14:solidFill>
                      </w14:textFill>
                    </w:rPr>
                    <w:t>建筑隔声等措施。</w:t>
                  </w:r>
                </w:p>
              </w:tc>
              <w:tc>
                <w:tcPr>
                  <w:tcW w:w="656" w:type="dxa"/>
                  <w:shd w:val="clear" w:color="auto" w:fill="auto"/>
                  <w:vAlign w:val="center"/>
                </w:tcPr>
                <w:p w14:paraId="35C6237E">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新建</w:t>
                  </w:r>
                </w:p>
              </w:tc>
            </w:tr>
            <w:tr w14:paraId="3342F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vMerge w:val="continue"/>
                  <w:shd w:val="clear" w:color="auto" w:fill="auto"/>
                  <w:vAlign w:val="center"/>
                </w:tcPr>
                <w:p w14:paraId="63E1EE29">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1568" w:type="dxa"/>
                  <w:gridSpan w:val="2"/>
                  <w:shd w:val="clear" w:color="auto" w:fill="auto"/>
                  <w:vAlign w:val="center"/>
                </w:tcPr>
                <w:p w14:paraId="744BB21F">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w:t>
                  </w:r>
                </w:p>
              </w:tc>
              <w:tc>
                <w:tcPr>
                  <w:tcW w:w="4941" w:type="dxa"/>
                  <w:shd w:val="clear" w:color="auto" w:fill="auto"/>
                  <w:vAlign w:val="center"/>
                </w:tcPr>
                <w:p w14:paraId="4F0714E5">
                  <w:pPr>
                    <w:keepNext w:val="0"/>
                    <w:keepLines w:val="0"/>
                    <w:widowControl/>
                    <w:suppressLineNumbers w:val="0"/>
                    <w:adjustRightInd w:val="0"/>
                    <w:snapToGrid w:val="0"/>
                    <w:spacing w:before="0" w:beforeAutospacing="0" w:after="0" w:afterAutospacing="0"/>
                    <w:ind w:left="0" w:right="0"/>
                    <w:rPr>
                      <w:rFonts w:hint="eastAsia" w:eastAsia="宋体"/>
                      <w:color w:val="000000" w:themeColor="text1"/>
                      <w:kern w:val="0"/>
                      <w:sz w:val="21"/>
                      <w:szCs w:val="21"/>
                      <w:lang w:eastAsia="zh-CN"/>
                      <w14:textFill>
                        <w14:solidFill>
                          <w14:schemeClr w14:val="tx1"/>
                        </w14:solidFill>
                      </w14:textFill>
                    </w:rPr>
                  </w:pPr>
                  <w:r>
                    <w:rPr>
                      <w:rFonts w:hint="default"/>
                      <w:color w:val="000000" w:themeColor="text1"/>
                      <w:kern w:val="0"/>
                      <w:sz w:val="21"/>
                      <w:szCs w:val="21"/>
                      <w14:textFill>
                        <w14:solidFill>
                          <w14:schemeClr w14:val="tx1"/>
                        </w14:solidFill>
                      </w14:textFill>
                    </w:rPr>
                    <w:t>①</w:t>
                  </w:r>
                  <w:r>
                    <w:rPr>
                      <w:rFonts w:hint="eastAsia"/>
                      <w:color w:val="000000" w:themeColor="text1"/>
                      <w:kern w:val="0"/>
                      <w:sz w:val="21"/>
                      <w:szCs w:val="21"/>
                      <w:lang w:eastAsia="zh-CN"/>
                      <w14:textFill>
                        <w14:solidFill>
                          <w14:schemeClr w14:val="tx1"/>
                        </w14:solidFill>
                      </w14:textFill>
                    </w:rPr>
                    <w:t>危废贮存库、水性漆库房、</w:t>
                  </w:r>
                  <w:r>
                    <w:rPr>
                      <w:rFonts w:hint="eastAsia"/>
                      <w:color w:val="000000" w:themeColor="text1"/>
                      <w:kern w:val="0"/>
                      <w:sz w:val="21"/>
                      <w:szCs w:val="21"/>
                      <w:lang w:val="en-US" w:eastAsia="zh-CN"/>
                      <w14:textFill>
                        <w14:solidFill>
                          <w14:schemeClr w14:val="tx1"/>
                        </w14:solidFill>
                      </w14:textFill>
                    </w:rPr>
                    <w:t>喷涂区、备漆间、</w:t>
                  </w:r>
                  <w:r>
                    <w:rPr>
                      <w:rFonts w:hint="eastAsia"/>
                      <w:color w:val="000000" w:themeColor="text1"/>
                      <w:sz w:val="21"/>
                      <w:szCs w:val="21"/>
                      <w:lang w:val="en-US" w:eastAsia="zh-CN"/>
                      <w14:textFill>
                        <w14:solidFill>
                          <w14:schemeClr w14:val="tx1"/>
                        </w14:solidFill>
                      </w14:textFill>
                    </w:rPr>
                    <w:t>一体化生产废水处理站、空压机区域</w:t>
                  </w:r>
                  <w:r>
                    <w:rPr>
                      <w:rFonts w:hint="default"/>
                      <w:color w:val="000000" w:themeColor="text1"/>
                      <w:kern w:val="0"/>
                      <w:sz w:val="21"/>
                      <w:szCs w:val="21"/>
                      <w14:textFill>
                        <w14:solidFill>
                          <w14:schemeClr w14:val="tx1"/>
                        </w14:solidFill>
                      </w14:textFill>
                    </w:rPr>
                    <w:t>做重点防渗，</w:t>
                  </w:r>
                  <w:r>
                    <w:rPr>
                      <w:rFonts w:hint="eastAsia"/>
                      <w:color w:val="000000" w:themeColor="text1"/>
                      <w:kern w:val="0"/>
                      <w:sz w:val="21"/>
                      <w:szCs w:val="21"/>
                      <w14:textFill>
                        <w14:solidFill>
                          <w14:schemeClr w14:val="tx1"/>
                        </w14:solidFill>
                      </w14:textFill>
                    </w:rPr>
                    <w:t>液态危废</w:t>
                  </w:r>
                  <w:r>
                    <w:rPr>
                      <w:rFonts w:hint="default"/>
                      <w:color w:val="000000" w:themeColor="text1"/>
                      <w:kern w:val="0"/>
                      <w:sz w:val="21"/>
                      <w:szCs w:val="21"/>
                      <w14:textFill>
                        <w14:solidFill>
                          <w14:schemeClr w14:val="tx1"/>
                        </w14:solidFill>
                      </w14:textFill>
                    </w:rPr>
                    <w:t>下方设置托盘，</w:t>
                  </w:r>
                  <w:r>
                    <w:rPr>
                      <w:rFonts w:hint="eastAsia"/>
                      <w:color w:val="000000" w:themeColor="text1"/>
                      <w:kern w:val="0"/>
                      <w:sz w:val="21"/>
                      <w:szCs w:val="21"/>
                      <w14:textFill>
                        <w14:solidFill>
                          <w14:schemeClr w14:val="tx1"/>
                        </w14:solidFill>
                      </w14:textFill>
                    </w:rPr>
                    <w:t>一般固废暂存</w:t>
                  </w:r>
                  <w:r>
                    <w:rPr>
                      <w:rFonts w:hint="eastAsia"/>
                      <w:color w:val="000000" w:themeColor="text1"/>
                      <w:kern w:val="0"/>
                      <w:sz w:val="21"/>
                      <w:szCs w:val="21"/>
                      <w:lang w:val="en-US" w:eastAsia="zh-CN"/>
                      <w14:textFill>
                        <w14:solidFill>
                          <w14:schemeClr w14:val="tx1"/>
                        </w14:solidFill>
                      </w14:textFill>
                    </w:rPr>
                    <w:t>间</w:t>
                  </w:r>
                  <w:r>
                    <w:rPr>
                      <w:rFonts w:hint="eastAsia"/>
                      <w:color w:val="000000" w:themeColor="text1"/>
                      <w:kern w:val="0"/>
                      <w:sz w:val="21"/>
                      <w:szCs w:val="21"/>
                      <w14:textFill>
                        <w14:solidFill>
                          <w14:schemeClr w14:val="tx1"/>
                        </w14:solidFill>
                      </w14:textFill>
                    </w:rPr>
                    <w:t>做一般防渗，</w:t>
                  </w:r>
                  <w:r>
                    <w:rPr>
                      <w:rFonts w:hint="default"/>
                      <w:color w:val="000000" w:themeColor="text1"/>
                      <w:kern w:val="0"/>
                      <w:sz w:val="21"/>
                      <w:szCs w:val="21"/>
                      <w14:textFill>
                        <w14:solidFill>
                          <w14:schemeClr w14:val="tx1"/>
                        </w14:solidFill>
                      </w14:textFill>
                    </w:rPr>
                    <w:t>其他区域地面硬化处理。</w:t>
                  </w:r>
                </w:p>
                <w:p w14:paraId="52CD7FB1">
                  <w:pPr>
                    <w:keepNext w:val="0"/>
                    <w:keepLines w:val="0"/>
                    <w:widowControl/>
                    <w:suppressLineNumbers w:val="0"/>
                    <w:adjustRightInd w:val="0"/>
                    <w:snapToGrid w:val="0"/>
                    <w:spacing w:before="0" w:beforeAutospacing="0" w:after="0" w:afterAutospacing="0"/>
                    <w:ind w:left="0" w:right="0"/>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②</w:t>
                  </w:r>
                  <w:r>
                    <w:rPr>
                      <w:rFonts w:hint="eastAsia"/>
                      <w:color w:val="000000" w:themeColor="text1"/>
                      <w:kern w:val="0"/>
                      <w:sz w:val="21"/>
                      <w:szCs w:val="21"/>
                      <w:lang w:eastAsia="zh-CN"/>
                      <w14:textFill>
                        <w14:solidFill>
                          <w14:schemeClr w14:val="tx1"/>
                        </w14:solidFill>
                      </w14:textFill>
                    </w:rPr>
                    <w:t>危废贮存库</w:t>
                  </w:r>
                  <w:r>
                    <w:rPr>
                      <w:rFonts w:hint="default"/>
                      <w:color w:val="000000" w:themeColor="text1"/>
                      <w:kern w:val="0"/>
                      <w:sz w:val="21"/>
                      <w:szCs w:val="21"/>
                      <w14:textFill>
                        <w14:solidFill>
                          <w14:schemeClr w14:val="tx1"/>
                        </w14:solidFill>
                      </w14:textFill>
                    </w:rPr>
                    <w:t>内部根据危险物质种类分开存放，废油桶下方设置高约15cm的托盘；</w:t>
                  </w:r>
                  <w:r>
                    <w:rPr>
                      <w:rFonts w:hint="eastAsia"/>
                      <w:color w:val="000000" w:themeColor="text1"/>
                      <w:kern w:val="0"/>
                      <w:sz w:val="21"/>
                      <w:szCs w:val="21"/>
                      <w:lang w:eastAsia="zh-CN"/>
                      <w14:textFill>
                        <w14:solidFill>
                          <w14:schemeClr w14:val="tx1"/>
                        </w14:solidFill>
                      </w14:textFill>
                    </w:rPr>
                    <w:t>危废贮存库</w:t>
                  </w:r>
                  <w:r>
                    <w:rPr>
                      <w:rFonts w:hint="default"/>
                      <w:color w:val="000000" w:themeColor="text1"/>
                      <w:kern w:val="0"/>
                      <w:sz w:val="21"/>
                      <w:szCs w:val="21"/>
                      <w14:textFill>
                        <w14:solidFill>
                          <w14:schemeClr w14:val="tx1"/>
                        </w14:solidFill>
                      </w14:textFill>
                    </w:rPr>
                    <w:t>张贴禁止火源的标志，四周禁止有火源。</w:t>
                  </w:r>
                </w:p>
                <w:p w14:paraId="0504F880">
                  <w:pPr>
                    <w:keepNext w:val="0"/>
                    <w:keepLines w:val="0"/>
                    <w:widowControl/>
                    <w:suppressLineNumbers w:val="0"/>
                    <w:adjustRightInd w:val="0"/>
                    <w:snapToGrid w:val="0"/>
                    <w:spacing w:before="0" w:beforeAutospacing="0" w:after="0" w:afterAutospacing="0"/>
                    <w:ind w:left="0" w:right="0"/>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③</w:t>
                  </w:r>
                  <w:r>
                    <w:rPr>
                      <w:rFonts w:hint="eastAsia"/>
                      <w:color w:val="000000" w:themeColor="text1"/>
                      <w:kern w:val="0"/>
                      <w:sz w:val="21"/>
                      <w:szCs w:val="21"/>
                      <w14:textFill>
                        <w14:solidFill>
                          <w14:schemeClr w14:val="tx1"/>
                        </w14:solidFill>
                      </w14:textFill>
                    </w:rPr>
                    <w:t>建立完善相应环保设备设施运行记录和管理制度</w:t>
                  </w:r>
                  <w:r>
                    <w:rPr>
                      <w:rFonts w:hint="default"/>
                      <w:color w:val="000000" w:themeColor="text1"/>
                      <w:kern w:val="0"/>
                      <w:sz w:val="21"/>
                      <w:szCs w:val="21"/>
                      <w14:textFill>
                        <w14:solidFill>
                          <w14:schemeClr w14:val="tx1"/>
                        </w14:solidFill>
                      </w14:textFill>
                    </w:rPr>
                    <w:t>。</w:t>
                  </w:r>
                </w:p>
                <w:p w14:paraId="79DF8A76">
                  <w:pPr>
                    <w:keepNext w:val="0"/>
                    <w:keepLines w:val="0"/>
                    <w:suppressLineNumbers w:val="0"/>
                    <w:spacing w:before="0" w:beforeAutospacing="0" w:after="0" w:afterAutospacing="0"/>
                    <w:ind w:left="0" w:right="0"/>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④厂区准备一定数量的灭火毯、灭火器、干沙等物质。</w:t>
                  </w:r>
                </w:p>
                <w:p w14:paraId="787C80B9">
                  <w:pPr>
                    <w:keepNext w:val="0"/>
                    <w:keepLines w:val="0"/>
                    <w:suppressLineNumbers w:val="0"/>
                    <w:spacing w:before="0" w:beforeAutospacing="0" w:after="0" w:afterAutospacing="0"/>
                    <w:ind w:left="0" w:right="0"/>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⑤</w:t>
                  </w:r>
                  <w:r>
                    <w:rPr>
                      <w:rFonts w:hint="eastAsia"/>
                      <w:color w:val="000000" w:themeColor="text1"/>
                      <w:kern w:val="0"/>
                      <w:sz w:val="21"/>
                      <w:szCs w:val="21"/>
                      <w14:textFill>
                        <w14:solidFill>
                          <w14:schemeClr w14:val="tx1"/>
                        </w14:solidFill>
                      </w14:textFill>
                    </w:rPr>
                    <w:t>废气处理装置处设置双回路电源，以保证污染物正常处理</w:t>
                  </w:r>
                  <w:r>
                    <w:rPr>
                      <w:rFonts w:hint="eastAsia"/>
                      <w:color w:val="000000" w:themeColor="text1"/>
                      <w:kern w:val="0"/>
                      <w:sz w:val="21"/>
                      <w:szCs w:val="21"/>
                      <w:lang w:eastAsia="zh-CN"/>
                      <w14:textFill>
                        <w14:solidFill>
                          <w14:schemeClr w14:val="tx1"/>
                        </w14:solidFill>
                      </w14:textFill>
                    </w:rPr>
                    <w:t>。</w:t>
                  </w:r>
                </w:p>
              </w:tc>
              <w:tc>
                <w:tcPr>
                  <w:tcW w:w="656" w:type="dxa"/>
                  <w:shd w:val="clear" w:color="auto" w:fill="auto"/>
                  <w:vAlign w:val="center"/>
                </w:tcPr>
                <w:p w14:paraId="2C1714B8">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新建</w:t>
                  </w:r>
                </w:p>
              </w:tc>
            </w:tr>
          </w:tbl>
          <w:p w14:paraId="2134B57F">
            <w:pPr>
              <w:keepNext w:val="0"/>
              <w:keepLines w:val="0"/>
              <w:numPr>
                <w:ilvl w:val="0"/>
                <w:numId w:val="0"/>
              </w:numPr>
              <w:suppressLineNumbers w:val="0"/>
              <w:spacing w:before="0" w:beforeAutospacing="0" w:after="0" w:afterAutospacing="0" w:line="360" w:lineRule="auto"/>
              <w:ind w:left="0" w:right="0"/>
              <w:jc w:val="left"/>
              <w:rPr>
                <w:rFonts w:hint="default"/>
                <w:b/>
                <w:bCs/>
                <w:snapToGrid w:val="0"/>
                <w:color w:val="000000" w:themeColor="text1"/>
                <w:sz w:val="24"/>
                <w:szCs w:val="24"/>
                <w14:textFill>
                  <w14:solidFill>
                    <w14:schemeClr w14:val="tx1"/>
                  </w14:solidFill>
                </w14:textFill>
              </w:rPr>
            </w:pPr>
            <w:r>
              <w:rPr>
                <w:rFonts w:hint="default"/>
                <w:b/>
                <w:color w:val="000000" w:themeColor="text1"/>
                <w:sz w:val="24"/>
                <w:szCs w:val="24"/>
                <w14:textFill>
                  <w14:solidFill>
                    <w14:schemeClr w14:val="tx1"/>
                  </w14:solidFill>
                </w14:textFill>
              </w:rPr>
              <w:t>3、</w:t>
            </w:r>
            <w:r>
              <w:rPr>
                <w:rFonts w:hint="eastAsia"/>
                <w:b/>
                <w:bCs/>
                <w:snapToGrid w:val="0"/>
                <w:color w:val="000000" w:themeColor="text1"/>
                <w:sz w:val="24"/>
                <w:szCs w:val="24"/>
                <w14:textFill>
                  <w14:solidFill>
                    <w14:schemeClr w14:val="tx1"/>
                  </w14:solidFill>
                </w14:textFill>
              </w:rPr>
              <w:t>项目</w:t>
            </w:r>
            <w:r>
              <w:rPr>
                <w:rFonts w:hint="default"/>
                <w:b/>
                <w:bCs/>
                <w:snapToGrid w:val="0"/>
                <w:color w:val="000000" w:themeColor="text1"/>
                <w:sz w:val="24"/>
                <w:szCs w:val="24"/>
                <w14:textFill>
                  <w14:solidFill>
                    <w14:schemeClr w14:val="tx1"/>
                  </w14:solidFill>
                </w14:textFill>
              </w:rPr>
              <w:t>依托</w:t>
            </w:r>
            <w:r>
              <w:rPr>
                <w:rFonts w:hint="eastAsia"/>
                <w:b/>
                <w:bCs/>
                <w:snapToGrid w:val="0"/>
                <w:color w:val="000000" w:themeColor="text1"/>
                <w:sz w:val="24"/>
                <w:szCs w:val="24"/>
                <w14:textFill>
                  <w14:solidFill>
                    <w14:schemeClr w14:val="tx1"/>
                  </w14:solidFill>
                </w14:textFill>
              </w:rPr>
              <w:t>情况</w:t>
            </w:r>
          </w:p>
          <w:p w14:paraId="4B78FFA7">
            <w:pPr>
              <w:keepNext w:val="0"/>
              <w:keepLines w:val="0"/>
              <w:suppressLineNumbers w:val="0"/>
              <w:spacing w:before="0" w:beforeAutospacing="0" w:after="0" w:afterAutospacing="0" w:line="360" w:lineRule="auto"/>
              <w:ind w:left="0" w:right="0" w:firstLine="480" w:firstLineChars="200"/>
              <w:jc w:val="both"/>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本项目</w:t>
            </w:r>
            <w:r>
              <w:rPr>
                <w:rFonts w:hint="eastAsia"/>
                <w:color w:val="000000" w:themeColor="text1"/>
                <w:sz w:val="24"/>
                <w:szCs w:val="24"/>
                <w:lang w:val="en-US" w:eastAsia="zh-CN"/>
                <w14:textFill>
                  <w14:solidFill>
                    <w14:schemeClr w14:val="tx1"/>
                  </w14:solidFill>
                </w14:textFill>
              </w:rPr>
              <w:t>租赁重庆市霞艺汽车配件制造有限公司</w:t>
            </w:r>
            <w:r>
              <w:rPr>
                <w:rFonts w:hint="eastAsia"/>
                <w:bCs/>
                <w:color w:val="000000" w:themeColor="text1"/>
                <w:sz w:val="24"/>
                <w:szCs w:val="24"/>
                <w14:textFill>
                  <w14:solidFill>
                    <w14:schemeClr w14:val="tx1"/>
                  </w14:solidFill>
                </w14:textFill>
              </w:rPr>
              <w:t>位于</w:t>
            </w:r>
            <w:r>
              <w:rPr>
                <w:rFonts w:hint="eastAsia"/>
                <w:bCs/>
                <w:color w:val="000000" w:themeColor="text1"/>
                <w:sz w:val="24"/>
                <w:szCs w:val="24"/>
                <w:lang w:eastAsia="zh-CN"/>
                <w14:textFill>
                  <w14:solidFill>
                    <w14:schemeClr w14:val="tx1"/>
                  </w14:solidFill>
                </w14:textFill>
              </w:rPr>
              <w:t>重庆市璧山区青杠街道龙青路59号</w:t>
            </w:r>
            <w:r>
              <w:rPr>
                <w:rFonts w:hint="eastAsia"/>
                <w:bCs/>
                <w:color w:val="000000" w:themeColor="text1"/>
                <w:sz w:val="24"/>
                <w:szCs w:val="24"/>
                <w14:textFill>
                  <w14:solidFill>
                    <w14:schemeClr w14:val="tx1"/>
                  </w14:solidFill>
                </w14:textFill>
              </w:rPr>
              <w:t>的现有厂房</w:t>
            </w:r>
            <w:r>
              <w:rPr>
                <w:rFonts w:hint="default"/>
                <w:bCs/>
                <w:color w:val="000000" w:themeColor="text1"/>
                <w:sz w:val="24"/>
                <w:szCs w:val="24"/>
                <w14:textFill>
                  <w14:solidFill>
                    <w14:schemeClr w14:val="tx1"/>
                  </w14:solidFill>
                </w14:textFill>
              </w:rPr>
              <w:t>建设</w:t>
            </w:r>
            <w:r>
              <w:rPr>
                <w:rFonts w:hint="eastAsia"/>
                <w:bCs/>
                <w:color w:val="000000" w:themeColor="text1"/>
                <w:sz w:val="24"/>
                <w:szCs w:val="24"/>
                <w:lang w:eastAsia="zh-CN"/>
                <w14:textFill>
                  <w14:solidFill>
                    <w14:schemeClr w14:val="tx1"/>
                  </w14:solidFill>
                </w14:textFill>
              </w:rPr>
              <w:t>“重庆三秋禾科技有限公司年产350万件摩托车配件制造项目”，</w:t>
            </w:r>
            <w:r>
              <w:rPr>
                <w:rFonts w:hint="default"/>
                <w:color w:val="000000" w:themeColor="text1"/>
                <w:sz w:val="24"/>
                <w:szCs w:val="24"/>
                <w14:textFill>
                  <w14:solidFill>
                    <w14:schemeClr w14:val="tx1"/>
                  </w14:solidFill>
                </w14:textFill>
              </w:rPr>
              <w:t>依托</w:t>
            </w:r>
            <w:r>
              <w:rPr>
                <w:rFonts w:hint="eastAsia"/>
                <w:color w:val="000000" w:themeColor="text1"/>
                <w:sz w:val="24"/>
                <w:szCs w:val="24"/>
                <w14:textFill>
                  <w14:solidFill>
                    <w14:schemeClr w14:val="tx1"/>
                  </w14:solidFill>
                </w14:textFill>
              </w:rPr>
              <w:t>园区</w:t>
            </w:r>
            <w:r>
              <w:rPr>
                <w:rFonts w:hint="default"/>
                <w:color w:val="000000" w:themeColor="text1"/>
                <w:sz w:val="24"/>
                <w:szCs w:val="24"/>
                <w14:textFill>
                  <w14:solidFill>
                    <w14:schemeClr w14:val="tx1"/>
                  </w14:solidFill>
                </w14:textFill>
              </w:rPr>
              <w:t>已建成的供水系统、排水系统</w:t>
            </w:r>
            <w:r>
              <w:rPr>
                <w:rFonts w:hint="eastAsia"/>
                <w:color w:val="000000" w:themeColor="text1"/>
                <w:sz w:val="24"/>
                <w:szCs w:val="24"/>
                <w14:textFill>
                  <w14:solidFill>
                    <w14:schemeClr w14:val="tx1"/>
                  </w14:solidFill>
                </w14:textFill>
              </w:rPr>
              <w:t>、</w:t>
            </w:r>
            <w:r>
              <w:rPr>
                <w:rFonts w:hint="default"/>
                <w:color w:val="000000" w:themeColor="text1"/>
                <w:sz w:val="24"/>
                <w:szCs w:val="24"/>
                <w14:textFill>
                  <w14:solidFill>
                    <w14:schemeClr w14:val="tx1"/>
                  </w14:solidFill>
                </w14:textFill>
              </w:rPr>
              <w:t>厂内道路等。</w:t>
            </w:r>
          </w:p>
          <w:p w14:paraId="75283BE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w:t>
            </w:r>
            <w:r>
              <w:rPr>
                <w:rFonts w:hint="default"/>
                <w:color w:val="000000" w:themeColor="text1"/>
                <w:sz w:val="24"/>
                <w:szCs w:val="24"/>
                <w14:textFill>
                  <w14:solidFill>
                    <w14:schemeClr w14:val="tx1"/>
                  </w14:solidFill>
                </w14:textFill>
              </w:rPr>
              <w:t>依托现有工程情况详见表2-</w:t>
            </w:r>
            <w:r>
              <w:rPr>
                <w:rFonts w:hint="eastAsia"/>
                <w:color w:val="000000" w:themeColor="text1"/>
                <w:sz w:val="24"/>
                <w:szCs w:val="24"/>
                <w:lang w:val="en-US" w:eastAsia="zh-CN"/>
                <w14:textFill>
                  <w14:solidFill>
                    <w14:schemeClr w14:val="tx1"/>
                  </w14:solidFill>
                </w14:textFill>
              </w:rPr>
              <w:t>2</w:t>
            </w:r>
            <w:r>
              <w:rPr>
                <w:rFonts w:hint="default"/>
                <w:color w:val="000000" w:themeColor="text1"/>
                <w:sz w:val="24"/>
                <w:szCs w:val="24"/>
                <w14:textFill>
                  <w14:solidFill>
                    <w14:schemeClr w14:val="tx1"/>
                  </w14:solidFill>
                </w14:textFill>
              </w:rPr>
              <w:t>。</w:t>
            </w:r>
          </w:p>
          <w:p w14:paraId="18EAD74D">
            <w:pPr>
              <w:keepNext w:val="0"/>
              <w:keepLines w:val="0"/>
              <w:suppressLineNumbers w:val="0"/>
              <w:adjustRightInd w:val="0"/>
              <w:snapToGrid w:val="0"/>
              <w:spacing w:before="0" w:beforeAutospacing="0" w:after="0" w:afterAutospacing="0"/>
              <w:ind w:left="0" w:right="0"/>
              <w:jc w:val="center"/>
              <w:rPr>
                <w:rFonts w:hint="default"/>
                <w:b/>
                <w:color w:val="000000" w:themeColor="text1"/>
                <w:sz w:val="24"/>
                <w:szCs w:val="24"/>
                <w14:textFill>
                  <w14:solidFill>
                    <w14:schemeClr w14:val="tx1"/>
                  </w14:solidFill>
                </w14:textFill>
              </w:rPr>
            </w:pPr>
            <w:r>
              <w:rPr>
                <w:rFonts w:hint="default"/>
                <w:b/>
                <w:color w:val="000000" w:themeColor="text1"/>
                <w:sz w:val="24"/>
                <w:szCs w:val="24"/>
                <w14:textFill>
                  <w14:solidFill>
                    <w14:schemeClr w14:val="tx1"/>
                  </w14:solidFill>
                </w14:textFill>
              </w:rPr>
              <w:t>表2-</w:t>
            </w:r>
            <w:r>
              <w:rPr>
                <w:rFonts w:hint="eastAsia"/>
                <w:b/>
                <w:color w:val="000000" w:themeColor="text1"/>
                <w:sz w:val="24"/>
                <w:szCs w:val="24"/>
                <w:lang w:val="en-US" w:eastAsia="zh-CN"/>
                <w14:textFill>
                  <w14:solidFill>
                    <w14:schemeClr w14:val="tx1"/>
                  </w14:solidFill>
                </w14:textFill>
              </w:rPr>
              <w:t>2</w:t>
            </w:r>
            <w:r>
              <w:rPr>
                <w:rFonts w:hint="default"/>
                <w:b/>
                <w:color w:val="000000" w:themeColor="text1"/>
                <w:sz w:val="24"/>
                <w:szCs w:val="24"/>
                <w14:textFill>
                  <w14:solidFill>
                    <w14:schemeClr w14:val="tx1"/>
                  </w14:solidFill>
                </w14:textFill>
              </w:rPr>
              <w:t xml:space="preserve"> 项目与现有工程依托关系一览表</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092"/>
              <w:gridCol w:w="2282"/>
              <w:gridCol w:w="3926"/>
            </w:tblGrid>
            <w:tr w14:paraId="7A7B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center"/>
                </w:tcPr>
                <w:p w14:paraId="5996CE8A">
                  <w:pPr>
                    <w:keepNext w:val="0"/>
                    <w:keepLines w:val="0"/>
                    <w:suppressLineNumbers w:val="0"/>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序号</w:t>
                  </w:r>
                </w:p>
              </w:tc>
              <w:tc>
                <w:tcPr>
                  <w:tcW w:w="1092" w:type="dxa"/>
                  <w:vAlign w:val="center"/>
                </w:tcPr>
                <w:p w14:paraId="520D4954">
                  <w:pPr>
                    <w:keepNext w:val="0"/>
                    <w:keepLines w:val="0"/>
                    <w:suppressLineNumbers w:val="0"/>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内容</w:t>
                  </w:r>
                </w:p>
              </w:tc>
              <w:tc>
                <w:tcPr>
                  <w:tcW w:w="2282" w:type="dxa"/>
                  <w:vAlign w:val="center"/>
                </w:tcPr>
                <w:p w14:paraId="4E230930">
                  <w:pPr>
                    <w:keepNext w:val="0"/>
                    <w:keepLines w:val="0"/>
                    <w:suppressLineNumbers w:val="0"/>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建设情况</w:t>
                  </w:r>
                </w:p>
              </w:tc>
              <w:tc>
                <w:tcPr>
                  <w:tcW w:w="3926" w:type="dxa"/>
                  <w:vAlign w:val="center"/>
                </w:tcPr>
                <w:p w14:paraId="199B3E40">
                  <w:pPr>
                    <w:keepNext w:val="0"/>
                    <w:keepLines w:val="0"/>
                    <w:suppressLineNumbers w:val="0"/>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依托关系</w:t>
                  </w:r>
                </w:p>
              </w:tc>
            </w:tr>
            <w:tr w14:paraId="61A9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center"/>
                </w:tcPr>
                <w:p w14:paraId="53B4BC55">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1</w:t>
                  </w:r>
                </w:p>
              </w:tc>
              <w:tc>
                <w:tcPr>
                  <w:tcW w:w="1092" w:type="dxa"/>
                  <w:vAlign w:val="center"/>
                </w:tcPr>
                <w:p w14:paraId="4FF2894F">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供电</w:t>
                  </w:r>
                </w:p>
              </w:tc>
              <w:tc>
                <w:tcPr>
                  <w:tcW w:w="2282" w:type="dxa"/>
                  <w:vAlign w:val="center"/>
                </w:tcPr>
                <w:p w14:paraId="6CFBF04B">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市政供电系统供给</w:t>
                  </w:r>
                </w:p>
              </w:tc>
              <w:tc>
                <w:tcPr>
                  <w:tcW w:w="3926" w:type="dxa"/>
                  <w:vAlign w:val="center"/>
                </w:tcPr>
                <w:p w14:paraId="1D219D9E">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依托</w:t>
                  </w:r>
                </w:p>
              </w:tc>
            </w:tr>
            <w:tr w14:paraId="07B8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center"/>
                </w:tcPr>
                <w:p w14:paraId="02CDD24A">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2</w:t>
                  </w:r>
                </w:p>
              </w:tc>
              <w:tc>
                <w:tcPr>
                  <w:tcW w:w="1092" w:type="dxa"/>
                  <w:vAlign w:val="center"/>
                </w:tcPr>
                <w:p w14:paraId="3463796B">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供水</w:t>
                  </w:r>
                </w:p>
              </w:tc>
              <w:tc>
                <w:tcPr>
                  <w:tcW w:w="2282" w:type="dxa"/>
                  <w:vAlign w:val="center"/>
                </w:tcPr>
                <w:p w14:paraId="6A21C057">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市政给水管网供给</w:t>
                  </w:r>
                </w:p>
              </w:tc>
              <w:tc>
                <w:tcPr>
                  <w:tcW w:w="3926" w:type="dxa"/>
                  <w:vAlign w:val="center"/>
                </w:tcPr>
                <w:p w14:paraId="37C74FB0">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依托</w:t>
                  </w:r>
                </w:p>
              </w:tc>
            </w:tr>
            <w:tr w14:paraId="5219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vAlign w:val="center"/>
                </w:tcPr>
                <w:p w14:paraId="0EE840D2">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3</w:t>
                  </w:r>
                </w:p>
              </w:tc>
              <w:tc>
                <w:tcPr>
                  <w:tcW w:w="1092" w:type="dxa"/>
                  <w:vAlign w:val="center"/>
                </w:tcPr>
                <w:p w14:paraId="4516580F">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排水</w:t>
                  </w:r>
                </w:p>
              </w:tc>
              <w:tc>
                <w:tcPr>
                  <w:tcW w:w="2282" w:type="dxa"/>
                  <w:vAlign w:val="center"/>
                </w:tcPr>
                <w:p w14:paraId="69E3105C">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生活污水排水系统</w:t>
                  </w:r>
                </w:p>
              </w:tc>
              <w:tc>
                <w:tcPr>
                  <w:tcW w:w="3926" w:type="dxa"/>
                  <w:vAlign w:val="center"/>
                </w:tcPr>
                <w:p w14:paraId="028EE5AA">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bCs/>
                      <w:color w:val="000000" w:themeColor="text1"/>
                      <w:sz w:val="21"/>
                      <w:szCs w:val="21"/>
                      <w14:textFill>
                        <w14:solidFill>
                          <w14:schemeClr w14:val="tx1"/>
                        </w14:solidFill>
                      </w14:textFill>
                    </w:rPr>
                    <w:t>依托</w:t>
                  </w:r>
                </w:p>
              </w:tc>
            </w:tr>
            <w:tr w14:paraId="4624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shd w:val="clear" w:color="auto" w:fill="auto"/>
                  <w:vAlign w:val="center"/>
                </w:tcPr>
                <w:p w14:paraId="3A3B34D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1092" w:type="dxa"/>
                  <w:vAlign w:val="center"/>
                </w:tcPr>
                <w:p w14:paraId="127C0A76">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供气</w:t>
                  </w:r>
                </w:p>
              </w:tc>
              <w:tc>
                <w:tcPr>
                  <w:tcW w:w="2282" w:type="dxa"/>
                  <w:vAlign w:val="center"/>
                </w:tcPr>
                <w:p w14:paraId="30B05D63">
                  <w:pPr>
                    <w:jc w:val="center"/>
                    <w:rPr>
                      <w:rFonts w:hint="default"/>
                      <w:color w:val="000000" w:themeColor="text1"/>
                      <w:sz w:val="2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已建成园区供气管网</w:t>
                  </w:r>
                </w:p>
              </w:tc>
              <w:tc>
                <w:tcPr>
                  <w:tcW w:w="3926" w:type="dxa"/>
                  <w:vAlign w:val="center"/>
                </w:tcPr>
                <w:p w14:paraId="0F52F91C">
                  <w:pPr>
                    <w:jc w:val="center"/>
                    <w:rPr>
                      <w:rFonts w:hint="default"/>
                      <w:bCs/>
                      <w:color w:val="000000" w:themeColor="text1"/>
                      <w:sz w:val="2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依托</w:t>
                  </w:r>
                </w:p>
              </w:tc>
            </w:tr>
            <w:tr w14:paraId="6FE3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shd w:val="clear" w:color="auto" w:fill="auto"/>
                  <w:vAlign w:val="center"/>
                </w:tcPr>
                <w:p w14:paraId="51B271E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092" w:type="dxa"/>
                  <w:vAlign w:val="center"/>
                </w:tcPr>
                <w:p w14:paraId="16D01F2C">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生化池</w:t>
                  </w:r>
                </w:p>
              </w:tc>
              <w:tc>
                <w:tcPr>
                  <w:tcW w:w="2282" w:type="dxa"/>
                  <w:vAlign w:val="center"/>
                </w:tcPr>
                <w:p w14:paraId="3490F316">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已建生化池</w:t>
                  </w:r>
                </w:p>
              </w:tc>
              <w:tc>
                <w:tcPr>
                  <w:tcW w:w="3926" w:type="dxa"/>
                  <w:vAlign w:val="center"/>
                </w:tcPr>
                <w:p w14:paraId="7E571CC3">
                  <w:pPr>
                    <w:keepNext w:val="0"/>
                    <w:keepLines w:val="0"/>
                    <w:suppressLineNumbers w:val="0"/>
                    <w:adjustRightInd w:val="0"/>
                    <w:snapToGrid w:val="0"/>
                    <w:spacing w:before="0" w:beforeAutospacing="0" w:after="0" w:afterAutospacing="0"/>
                    <w:ind w:left="0" w:right="0"/>
                    <w:jc w:val="both"/>
                    <w:rPr>
                      <w:rFonts w:hint="default"/>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依托已建成的生化池处理本项目废水，该生化池处理能力为</w:t>
                  </w:r>
                  <w:r>
                    <w:rPr>
                      <w:rFonts w:hint="eastAsia" w:cs="Times New Roman"/>
                      <w:color w:val="000000" w:themeColor="text1"/>
                      <w:kern w:val="2"/>
                      <w:sz w:val="21"/>
                      <w:szCs w:val="21"/>
                      <w:lang w:val="en-US" w:eastAsia="zh-CN" w:bidi="ar"/>
                      <w14:textFill>
                        <w14:solidFill>
                          <w14:schemeClr w14:val="tx1"/>
                        </w14:solidFill>
                      </w14:textFill>
                    </w:rPr>
                    <w:t>100</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m</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/d</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，处理工艺为：</w:t>
                  </w:r>
                  <w:r>
                    <w:rPr>
                      <w:rFonts w:hint="eastAsia" w:cs="Times New Roman"/>
                      <w:color w:val="000000" w:themeColor="text1"/>
                      <w:kern w:val="2"/>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水解酸化</w:t>
                  </w:r>
                  <w:r>
                    <w:rPr>
                      <w:rFonts w:hint="eastAsia" w:cs="Times New Roman"/>
                      <w:color w:val="000000" w:themeColor="text1"/>
                      <w:kern w:val="2"/>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，该生化池目前剩余处理能力</w:t>
                  </w:r>
                  <w:r>
                    <w:rPr>
                      <w:rFonts w:hint="eastAsia" w:cs="Times New Roman"/>
                      <w:color w:val="000000" w:themeColor="text1"/>
                      <w:kern w:val="2"/>
                      <w:sz w:val="21"/>
                      <w:szCs w:val="21"/>
                      <w:lang w:val="en-US" w:eastAsia="zh-CN" w:bidi="ar"/>
                      <w14:textFill>
                        <w14:solidFill>
                          <w14:schemeClr w14:val="tx1"/>
                        </w14:solidFill>
                      </w14:textFill>
                    </w:rPr>
                    <w:t>为30</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m</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/d</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，本项目污废水排放量为</w:t>
                  </w:r>
                  <w:r>
                    <w:rPr>
                      <w:rFonts w:hint="eastAsia" w:cs="Times New Roman"/>
                      <w:color w:val="000000" w:themeColor="text1"/>
                      <w:kern w:val="2"/>
                      <w:sz w:val="21"/>
                      <w:szCs w:val="21"/>
                      <w:lang w:val="en-US" w:eastAsia="zh-CN" w:bidi="ar"/>
                      <w14:textFill>
                        <w14:solidFill>
                          <w14:schemeClr w14:val="tx1"/>
                        </w14:solidFill>
                      </w14:textFill>
                    </w:rPr>
                    <w:t>10.99</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m</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/d</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，能够满足接收处理本项目废水，依托可行。</w:t>
                  </w:r>
                </w:p>
              </w:tc>
            </w:tr>
            <w:tr w14:paraId="0D1B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7" w:type="dxa"/>
                  <w:shd w:val="clear" w:color="auto" w:fill="auto"/>
                  <w:vAlign w:val="center"/>
                </w:tcPr>
                <w:p w14:paraId="4654843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1092" w:type="dxa"/>
                  <w:vAlign w:val="center"/>
                </w:tcPr>
                <w:p w14:paraId="68E7D009">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卫生间</w:t>
                  </w:r>
                </w:p>
              </w:tc>
              <w:tc>
                <w:tcPr>
                  <w:tcW w:w="2282" w:type="dxa"/>
                  <w:vAlign w:val="center"/>
                </w:tcPr>
                <w:p w14:paraId="2E10DAC6">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厂房1F已建卫生间</w:t>
                  </w:r>
                </w:p>
              </w:tc>
              <w:tc>
                <w:tcPr>
                  <w:tcW w:w="3926" w:type="dxa"/>
                  <w:vAlign w:val="center"/>
                </w:tcPr>
                <w:p w14:paraId="28FE1D9D">
                  <w:pPr>
                    <w:keepNext w:val="0"/>
                    <w:keepLines w:val="0"/>
                    <w:suppressLineNumbers w:val="0"/>
                    <w:adjustRightInd w:val="0"/>
                    <w:snapToGrid w:val="0"/>
                    <w:spacing w:before="0" w:beforeAutospacing="0" w:after="0" w:afterAutospacing="0"/>
                    <w:ind w:left="0" w:right="0"/>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依托</w:t>
                  </w:r>
                </w:p>
              </w:tc>
            </w:tr>
            <w:tr w14:paraId="2B43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7" w:type="dxa"/>
                  <w:gridSpan w:val="4"/>
                  <w:vAlign w:val="center"/>
                </w:tcPr>
                <w:p w14:paraId="4B39FE05">
                  <w:pPr>
                    <w:keepNext w:val="0"/>
                    <w:keepLines w:val="0"/>
                    <w:suppressLineNumbers w:val="0"/>
                    <w:adjustRightInd w:val="0"/>
                    <w:snapToGrid w:val="0"/>
                    <w:spacing w:before="0" w:beforeAutospacing="0" w:after="0" w:afterAutospacing="0"/>
                    <w:ind w:left="0" w:right="0"/>
                    <w:jc w:val="left"/>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卫生间、生化池与重庆市霞艺汽车配件制造有限公司共用。</w:t>
                  </w:r>
                </w:p>
              </w:tc>
            </w:tr>
          </w:tbl>
          <w:p w14:paraId="463D551E">
            <w:pPr>
              <w:keepNext w:val="0"/>
              <w:keepLines w:val="0"/>
              <w:suppressLineNumbers w:val="0"/>
              <w:adjustRightInd w:val="0"/>
              <w:snapToGrid w:val="0"/>
              <w:spacing w:before="0" w:beforeLines="50" w:beforeAutospacing="0" w:after="0" w:afterAutospacing="0" w:line="360" w:lineRule="auto"/>
              <w:ind w:left="0" w:right="0"/>
              <w:rPr>
                <w:rFonts w:hint="default"/>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4、</w:t>
            </w:r>
            <w:r>
              <w:rPr>
                <w:rFonts w:hint="default"/>
                <w:b/>
                <w:color w:val="000000" w:themeColor="text1"/>
                <w:sz w:val="24"/>
                <w:szCs w:val="24"/>
                <w14:textFill>
                  <w14:solidFill>
                    <w14:schemeClr w14:val="tx1"/>
                  </w14:solidFill>
                </w14:textFill>
              </w:rPr>
              <w:t>主要产品及产能</w:t>
            </w:r>
          </w:p>
          <w:p w14:paraId="0710EF45">
            <w:pPr>
              <w:keepNext w:val="0"/>
              <w:keepLines w:val="0"/>
              <w:suppressLineNumbers w:val="0"/>
              <w:adjustRightInd w:val="0"/>
              <w:snapToGrid w:val="0"/>
              <w:spacing w:before="0" w:beforeAutospacing="0" w:after="0" w:afterAutospacing="0" w:line="360" w:lineRule="auto"/>
              <w:ind w:left="0" w:right="0" w:firstLine="480" w:firstLineChars="200"/>
              <w:rPr>
                <w:rFonts w:hint="default"/>
                <w:b/>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根据业主提供资料，项目</w:t>
            </w:r>
            <w:r>
              <w:rPr>
                <w:rFonts w:hint="eastAsia"/>
                <w:bCs/>
                <w:color w:val="000000" w:themeColor="text1"/>
                <w:sz w:val="24"/>
                <w:szCs w:val="24"/>
                <w14:textFill>
                  <w14:solidFill>
                    <w14:schemeClr w14:val="tx1"/>
                  </w14:solidFill>
                </w14:textFill>
              </w:rPr>
              <w:t>生产</w:t>
            </w:r>
            <w:r>
              <w:rPr>
                <w:rFonts w:hint="eastAsia"/>
                <w:color w:val="000000" w:themeColor="text1"/>
                <w:kern w:val="0"/>
                <w:sz w:val="24"/>
                <w:szCs w:val="24"/>
                <w:lang w:val="en-US" w:eastAsia="zh-CN"/>
                <w14:textFill>
                  <w14:solidFill>
                    <w14:schemeClr w14:val="tx1"/>
                  </w14:solidFill>
                </w14:textFill>
              </w:rPr>
              <w:t>摩托车配件</w:t>
            </w:r>
            <w:r>
              <w:rPr>
                <w:rFonts w:hint="eastAsia"/>
                <w:bCs/>
                <w:color w:val="000000" w:themeColor="text1"/>
                <w:sz w:val="24"/>
                <w:szCs w:val="24"/>
                <w14:textFill>
                  <w14:solidFill>
                    <w14:schemeClr w14:val="tx1"/>
                  </w14:solidFill>
                </w14:textFill>
              </w:rPr>
              <w:t>，产品</w:t>
            </w:r>
            <w:r>
              <w:rPr>
                <w:rFonts w:hint="default"/>
                <w:bCs/>
                <w:color w:val="000000" w:themeColor="text1"/>
                <w:sz w:val="24"/>
                <w:szCs w:val="24"/>
                <w14:textFill>
                  <w14:solidFill>
                    <w14:schemeClr w14:val="tx1"/>
                  </w14:solidFill>
                </w14:textFill>
              </w:rPr>
              <w:t>方案详见下表。</w:t>
            </w:r>
          </w:p>
          <w:p w14:paraId="0C1F7B5D">
            <w:pPr>
              <w:keepNext w:val="0"/>
              <w:keepLines w:val="0"/>
              <w:suppressLineNumbers w:val="0"/>
              <w:adjustRightInd w:val="0"/>
              <w:snapToGrid w:val="0"/>
              <w:spacing w:before="0" w:beforeAutospacing="0" w:after="0" w:afterAutospacing="0"/>
              <w:ind w:left="0" w:right="0"/>
              <w:jc w:val="center"/>
              <w:rPr>
                <w:rFonts w:hint="default"/>
                <w:b/>
                <w:bCs/>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表2-</w:t>
            </w:r>
            <w:r>
              <w:rPr>
                <w:rFonts w:hint="eastAsia"/>
                <w:b/>
                <w:bCs/>
                <w:color w:val="000000" w:themeColor="text1"/>
                <w:sz w:val="24"/>
                <w:szCs w:val="24"/>
                <w:lang w:val="en-US" w:eastAsia="zh-CN"/>
                <w14:textFill>
                  <w14:solidFill>
                    <w14:schemeClr w14:val="tx1"/>
                  </w14:solidFill>
                </w14:textFill>
              </w:rPr>
              <w:t>3</w:t>
            </w:r>
            <w:r>
              <w:rPr>
                <w:rFonts w:hint="default"/>
                <w:b/>
                <w:bCs/>
                <w:color w:val="000000" w:themeColor="text1"/>
                <w:sz w:val="24"/>
                <w:szCs w:val="24"/>
                <w14:textFill>
                  <w14:solidFill>
                    <w14:schemeClr w14:val="tx1"/>
                  </w14:solidFill>
                </w14:textFill>
              </w:rPr>
              <w:t xml:space="preserve"> 项目产品方案一览表</w:t>
            </w:r>
          </w:p>
          <w:tbl>
            <w:tblPr>
              <w:tblStyle w:val="21"/>
              <w:tblW w:w="47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945"/>
              <w:gridCol w:w="1035"/>
              <w:gridCol w:w="1191"/>
              <w:gridCol w:w="825"/>
              <w:gridCol w:w="1078"/>
              <w:gridCol w:w="1137"/>
              <w:gridCol w:w="1080"/>
            </w:tblGrid>
            <w:tr w14:paraId="167B7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06" w:type="pct"/>
                  <w:vMerge w:val="restart"/>
                  <w:shd w:val="clear" w:color="auto" w:fill="auto"/>
                  <w:vAlign w:val="center"/>
                </w:tcPr>
                <w:p w14:paraId="07EC56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名称</w:t>
                  </w:r>
                </w:p>
              </w:tc>
              <w:tc>
                <w:tcPr>
                  <w:tcW w:w="595" w:type="pct"/>
                  <w:vMerge w:val="restart"/>
                  <w:vAlign w:val="center"/>
                </w:tcPr>
                <w:p w14:paraId="18E60FC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lang w:val="en-US"/>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规格尺寸</w:t>
                  </w:r>
                  <w:r>
                    <w:rPr>
                      <w:rFonts w:hint="default" w:ascii="Times New Roman" w:hAnsi="Times New Roman" w:cs="Times New Roman"/>
                      <w:b/>
                      <w:bCs/>
                      <w:color w:val="000000" w:themeColor="text1"/>
                      <w:sz w:val="21"/>
                      <w:szCs w:val="21"/>
                      <w:lang w:val="en-US"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cm</w:t>
                  </w:r>
                </w:p>
              </w:tc>
              <w:tc>
                <w:tcPr>
                  <w:tcW w:w="652" w:type="pct"/>
                  <w:vMerge w:val="restart"/>
                  <w:shd w:val="clear" w:color="auto" w:fill="auto"/>
                  <w:vAlign w:val="center"/>
                </w:tcPr>
                <w:p w14:paraId="1D6C03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年产量</w:t>
                  </w:r>
                  <w:r>
                    <w:rPr>
                      <w:rFonts w:hint="default" w:ascii="Times New Roman" w:hAnsi="Times New Roman" w:cs="Times New Roman"/>
                      <w:b/>
                      <w:bCs/>
                      <w:color w:val="000000" w:themeColor="text1"/>
                      <w:sz w:val="21"/>
                      <w:szCs w:val="21"/>
                      <w:lang w:val="en-US" w:eastAsia="zh-CN"/>
                      <w14:textFill>
                        <w14:solidFill>
                          <w14:schemeClr w14:val="tx1"/>
                        </w14:solidFill>
                      </w14:textFill>
                    </w:rPr>
                    <w:t>/</w:t>
                  </w:r>
                  <w:r>
                    <w:rPr>
                      <w:rFonts w:hint="eastAsia" w:cs="Times New Roman"/>
                      <w:b/>
                      <w:bCs/>
                      <w:color w:val="000000" w:themeColor="text1"/>
                      <w:sz w:val="21"/>
                      <w:szCs w:val="21"/>
                      <w:lang w:val="en-US" w:eastAsia="zh-CN"/>
                      <w14:textFill>
                        <w14:solidFill>
                          <w14:schemeClr w14:val="tx1"/>
                        </w14:solidFill>
                      </w14:textFill>
                    </w:rPr>
                    <w:t>万</w:t>
                  </w:r>
                  <w:r>
                    <w:rPr>
                      <w:rFonts w:hint="default" w:ascii="Times New Roman" w:hAnsi="Times New Roman" w:cs="Times New Roman"/>
                      <w:b/>
                      <w:bCs/>
                      <w:color w:val="000000" w:themeColor="text1"/>
                      <w:sz w:val="21"/>
                      <w:szCs w:val="21"/>
                      <w:lang w:val="en-US" w:eastAsia="zh-CN"/>
                      <w14:textFill>
                        <w14:solidFill>
                          <w14:schemeClr w14:val="tx1"/>
                        </w14:solidFill>
                      </w14:textFill>
                    </w:rPr>
                    <w:t>件</w:t>
                  </w:r>
                </w:p>
              </w:tc>
              <w:tc>
                <w:tcPr>
                  <w:tcW w:w="3345" w:type="pct"/>
                  <w:gridSpan w:val="5"/>
                  <w:vAlign w:val="center"/>
                </w:tcPr>
                <w:p w14:paraId="308DCD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水性漆喷涂参数</w:t>
                  </w:r>
                </w:p>
              </w:tc>
            </w:tr>
            <w:tr w14:paraId="10BA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06" w:type="pct"/>
                  <w:vMerge w:val="continue"/>
                  <w:shd w:val="clear" w:color="auto" w:fill="auto"/>
                  <w:vAlign w:val="center"/>
                </w:tcPr>
                <w:p w14:paraId="557FCEA7">
                  <w:pPr>
                    <w:keepNext w:val="0"/>
                    <w:keepLines w:val="0"/>
                    <w:suppressLineNumbers w:val="0"/>
                    <w:adjustRightInd w:val="0"/>
                    <w:snapToGrid w:val="0"/>
                    <w:spacing w:before="0" w:beforeAutospacing="0" w:after="0" w:afterAutospacing="0"/>
                    <w:ind w:left="0" w:right="0"/>
                    <w:jc w:val="center"/>
                    <w:rPr>
                      <w:rFonts w:hint="default"/>
                      <w:color w:val="000000" w:themeColor="text1"/>
                      <w14:textFill>
                        <w14:solidFill>
                          <w14:schemeClr w14:val="tx1"/>
                        </w14:solidFill>
                      </w14:textFill>
                    </w:rPr>
                  </w:pPr>
                </w:p>
              </w:tc>
              <w:tc>
                <w:tcPr>
                  <w:tcW w:w="595" w:type="pct"/>
                  <w:vMerge w:val="continue"/>
                  <w:vAlign w:val="center"/>
                </w:tcPr>
                <w:p w14:paraId="2A95BE9D">
                  <w:pPr>
                    <w:keepNext w:val="0"/>
                    <w:keepLines w:val="0"/>
                    <w:suppressLineNumbers w:val="0"/>
                    <w:adjustRightInd w:val="0"/>
                    <w:snapToGrid w:val="0"/>
                    <w:spacing w:before="0" w:beforeAutospacing="0" w:after="0" w:afterAutospacing="0"/>
                    <w:ind w:left="0" w:right="0"/>
                    <w:jc w:val="center"/>
                    <w:rPr>
                      <w:rFonts w:hint="default"/>
                      <w:color w:val="000000" w:themeColor="text1"/>
                      <w14:textFill>
                        <w14:solidFill>
                          <w14:schemeClr w14:val="tx1"/>
                        </w14:solidFill>
                      </w14:textFill>
                    </w:rPr>
                  </w:pPr>
                </w:p>
              </w:tc>
              <w:tc>
                <w:tcPr>
                  <w:tcW w:w="652" w:type="pct"/>
                  <w:vMerge w:val="continue"/>
                  <w:shd w:val="clear" w:color="auto" w:fill="auto"/>
                  <w:vAlign w:val="center"/>
                </w:tcPr>
                <w:p w14:paraId="71ED2F69">
                  <w:pPr>
                    <w:keepNext w:val="0"/>
                    <w:keepLines w:val="0"/>
                    <w:suppressLineNumbers w:val="0"/>
                    <w:adjustRightInd w:val="0"/>
                    <w:snapToGrid w:val="0"/>
                    <w:spacing w:before="0" w:beforeAutospacing="0" w:after="0" w:afterAutospacing="0"/>
                    <w:ind w:left="0" w:right="0"/>
                    <w:jc w:val="center"/>
                    <w:rPr>
                      <w:rFonts w:hint="default"/>
                      <w:color w:val="000000" w:themeColor="text1"/>
                      <w14:textFill>
                        <w14:solidFill>
                          <w14:schemeClr w14:val="tx1"/>
                        </w14:solidFill>
                      </w14:textFill>
                    </w:rPr>
                  </w:pPr>
                </w:p>
              </w:tc>
              <w:tc>
                <w:tcPr>
                  <w:tcW w:w="750" w:type="pct"/>
                  <w:vAlign w:val="center"/>
                </w:tcPr>
                <w:p w14:paraId="3CADFF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有效喷涂面积m</w:t>
                  </w:r>
                  <w:r>
                    <w:rPr>
                      <w:rFonts w:hint="eastAsia" w:cs="Times New Roman"/>
                      <w:b/>
                      <w:bCs/>
                      <w:color w:val="000000" w:themeColor="text1"/>
                      <w:sz w:val="21"/>
                      <w:szCs w:val="21"/>
                      <w:vertAlign w:val="superscript"/>
                      <w:lang w:val="en-US" w:eastAsia="zh-CN"/>
                      <w14:textFill>
                        <w14:solidFill>
                          <w14:schemeClr w14:val="tx1"/>
                        </w14:solidFill>
                      </w14:textFill>
                    </w:rPr>
                    <w:t>2</w:t>
                  </w:r>
                  <w:r>
                    <w:rPr>
                      <w:rFonts w:hint="eastAsia" w:cs="Times New Roman"/>
                      <w:b/>
                      <w:bCs/>
                      <w:color w:val="000000" w:themeColor="text1"/>
                      <w:sz w:val="21"/>
                      <w:szCs w:val="21"/>
                      <w:vertAlign w:val="baseline"/>
                      <w:lang w:val="en-US" w:eastAsia="zh-CN"/>
                      <w14:textFill>
                        <w14:solidFill>
                          <w14:schemeClr w14:val="tx1"/>
                        </w14:solidFill>
                      </w14:textFill>
                    </w:rPr>
                    <w:t>/件</w:t>
                  </w:r>
                </w:p>
              </w:tc>
              <w:tc>
                <w:tcPr>
                  <w:tcW w:w="519" w:type="pct"/>
                  <w:vAlign w:val="center"/>
                </w:tcPr>
                <w:p w14:paraId="1DB2B9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喷涂层数</w:t>
                  </w:r>
                </w:p>
              </w:tc>
              <w:tc>
                <w:tcPr>
                  <w:tcW w:w="679" w:type="pct"/>
                  <w:vAlign w:val="center"/>
                </w:tcPr>
                <w:p w14:paraId="7B972558">
                  <w:pPr>
                    <w:keepNext w:val="0"/>
                    <w:keepLines w:val="0"/>
                    <w:suppressLineNumbers w:val="0"/>
                    <w:adjustRightInd w:val="0"/>
                    <w:snapToGrid w:val="0"/>
                    <w:spacing w:before="0" w:beforeAutospacing="0" w:after="0" w:afterAutospacing="0"/>
                    <w:ind w:left="0" w:right="0"/>
                    <w:jc w:val="center"/>
                    <w:rPr>
                      <w:rFonts w:hint="eastAsia"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漆膜厚度</w:t>
                  </w:r>
                </w:p>
                <w:p w14:paraId="272C384F">
                  <w:pPr>
                    <w:keepNext w:val="0"/>
                    <w:keepLines w:val="0"/>
                    <w:suppressLineNumbers w:val="0"/>
                    <w:adjustRightInd w:val="0"/>
                    <w:snapToGrid w:val="0"/>
                    <w:spacing w:before="0" w:beforeAutospacing="0" w:after="0" w:afterAutospacing="0"/>
                    <w:ind w:left="0" w:right="0"/>
                    <w:jc w:val="center"/>
                    <w:rPr>
                      <w:rFonts w:hint="default" w:ascii="宋体" w:hAnsi="宋体" w:eastAsia="宋体" w:cs="宋体"/>
                      <w:b/>
                      <w:bCs/>
                      <w:color w:val="000000" w:themeColor="text1"/>
                      <w:sz w:val="21"/>
                      <w:szCs w:val="21"/>
                      <w:lang w:val="en-US" w:eastAsia="zh-CN"/>
                      <w14:textFill>
                        <w14:solidFill>
                          <w14:schemeClr w14:val="tx1"/>
                        </w14:solidFill>
                      </w14:textFill>
                    </w:rPr>
                  </w:pPr>
                  <w:r>
                    <w:rPr>
                      <w:rFonts w:hint="eastAsia" w:ascii="宋体" w:hAnsi="宋体" w:eastAsia="宋体" w:cs="宋体"/>
                      <w:b/>
                      <w:bCs/>
                      <w:color w:val="000000" w:themeColor="text1"/>
                      <w:sz w:val="21"/>
                      <w:szCs w:val="21"/>
                      <w:lang w:val="en-US" w:eastAsia="zh-CN"/>
                      <w14:textFill>
                        <w14:solidFill>
                          <w14:schemeClr w14:val="tx1"/>
                        </w14:solidFill>
                      </w14:textFill>
                    </w:rPr>
                    <w:t>μm</w:t>
                  </w:r>
                </w:p>
              </w:tc>
              <w:tc>
                <w:tcPr>
                  <w:tcW w:w="716" w:type="pct"/>
                  <w:vAlign w:val="center"/>
                </w:tcPr>
                <w:p w14:paraId="268EC0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底漆喷涂面积m</w:t>
                  </w:r>
                  <w:r>
                    <w:rPr>
                      <w:rFonts w:hint="eastAsia" w:cs="Times New Roman"/>
                      <w:b/>
                      <w:bCs/>
                      <w:color w:val="000000" w:themeColor="text1"/>
                      <w:sz w:val="21"/>
                      <w:szCs w:val="21"/>
                      <w:vertAlign w:val="superscript"/>
                      <w:lang w:val="en-US" w:eastAsia="zh-CN"/>
                      <w14:textFill>
                        <w14:solidFill>
                          <w14:schemeClr w14:val="tx1"/>
                        </w14:solidFill>
                      </w14:textFill>
                    </w:rPr>
                    <w:t>2</w:t>
                  </w:r>
                </w:p>
              </w:tc>
              <w:tc>
                <w:tcPr>
                  <w:tcW w:w="680" w:type="pct"/>
                  <w:vAlign w:val="center"/>
                </w:tcPr>
                <w:p w14:paraId="032061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面漆喷涂面积m</w:t>
                  </w:r>
                  <w:r>
                    <w:rPr>
                      <w:rFonts w:hint="eastAsia" w:cs="Times New Roman"/>
                      <w:b/>
                      <w:bCs/>
                      <w:color w:val="000000" w:themeColor="text1"/>
                      <w:sz w:val="21"/>
                      <w:szCs w:val="21"/>
                      <w:vertAlign w:val="superscript"/>
                      <w:lang w:val="en-US" w:eastAsia="zh-CN"/>
                      <w14:textFill>
                        <w14:solidFill>
                          <w14:schemeClr w14:val="tx1"/>
                        </w14:solidFill>
                      </w14:textFill>
                    </w:rPr>
                    <w:t>2</w:t>
                  </w:r>
                </w:p>
              </w:tc>
            </w:tr>
            <w:tr w14:paraId="175C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shd w:val="clear" w:color="auto" w:fill="auto"/>
                  <w:vAlign w:val="center"/>
                </w:tcPr>
                <w:p w14:paraId="27ECF8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尾盖</w:t>
                  </w:r>
                </w:p>
              </w:tc>
              <w:tc>
                <w:tcPr>
                  <w:tcW w:w="595" w:type="pct"/>
                  <w:shd w:val="clear" w:color="auto" w:fill="auto"/>
                  <w:vAlign w:val="center"/>
                </w:tcPr>
                <w:p w14:paraId="3B6241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652" w:type="pct"/>
                  <w:shd w:val="clear" w:color="auto" w:fill="auto"/>
                  <w:vAlign w:val="center"/>
                </w:tcPr>
                <w:p w14:paraId="1F98A9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150</w:t>
                  </w:r>
                </w:p>
              </w:tc>
              <w:tc>
                <w:tcPr>
                  <w:tcW w:w="750" w:type="pct"/>
                  <w:vAlign w:val="center"/>
                </w:tcPr>
                <w:p w14:paraId="0E217A0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olor w:val="000000" w:themeColor="text1"/>
                      <w:lang w:val="en-US" w:eastAsia="zh-CN"/>
                      <w14:textFill>
                        <w14:solidFill>
                          <w14:schemeClr w14:val="tx1"/>
                        </w14:solidFill>
                      </w14:textFill>
                    </w:rPr>
                    <w:t>底漆0.016</w:t>
                  </w:r>
                  <w:r>
                    <w:rPr>
                      <w:rFonts w:hint="eastAsia"/>
                      <w:color w:val="000000" w:themeColor="text1"/>
                      <w:lang w:val="en-US" w:eastAsia="zh-CN"/>
                      <w14:textFill>
                        <w14:solidFill>
                          <w14:schemeClr w14:val="tx1"/>
                        </w14:solidFill>
                      </w14:textFill>
                    </w:rPr>
                    <w:br w:type="textWrapping"/>
                  </w:r>
                  <w:r>
                    <w:rPr>
                      <w:rFonts w:hint="eastAsia"/>
                      <w:color w:val="000000" w:themeColor="text1"/>
                      <w:lang w:val="en-US" w:eastAsia="zh-CN"/>
                      <w14:textFill>
                        <w14:solidFill>
                          <w14:schemeClr w14:val="tx1"/>
                        </w14:solidFill>
                      </w14:textFill>
                    </w:rPr>
                    <w:t>面漆0.016</w:t>
                  </w:r>
                </w:p>
              </w:tc>
              <w:tc>
                <w:tcPr>
                  <w:tcW w:w="519" w:type="pct"/>
                  <w:vAlign w:val="center"/>
                </w:tcPr>
                <w:p w14:paraId="0F512D4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w:t>
                  </w:r>
                </w:p>
              </w:tc>
              <w:tc>
                <w:tcPr>
                  <w:tcW w:w="679" w:type="pct"/>
                  <w:vAlign w:val="center"/>
                </w:tcPr>
                <w:p w14:paraId="44D486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底漆15</w:t>
                  </w:r>
                  <w:r>
                    <w:rPr>
                      <w:rFonts w:hint="eastAsia"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eastAsia" w:cs="Times New Roman"/>
                      <w:i w:val="0"/>
                      <w:iCs w:val="0"/>
                      <w:color w:val="000000" w:themeColor="text1"/>
                      <w:kern w:val="0"/>
                      <w:sz w:val="21"/>
                      <w:szCs w:val="21"/>
                      <w:u w:val="none"/>
                      <w:lang w:val="en-US" w:eastAsia="zh-CN" w:bidi="ar"/>
                      <w14:textFill>
                        <w14:solidFill>
                          <w14:schemeClr w14:val="tx1"/>
                        </w14:solidFill>
                      </w14:textFill>
                    </w:rPr>
                    <w:t>面漆10</w:t>
                  </w:r>
                </w:p>
              </w:tc>
              <w:tc>
                <w:tcPr>
                  <w:tcW w:w="716" w:type="pct"/>
                  <w:shd w:val="clear" w:color="auto" w:fill="auto"/>
                  <w:vAlign w:val="center"/>
                </w:tcPr>
                <w:p w14:paraId="30B5799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24000</w:t>
                  </w:r>
                </w:p>
              </w:tc>
              <w:tc>
                <w:tcPr>
                  <w:tcW w:w="680" w:type="pct"/>
                  <w:vAlign w:val="center"/>
                </w:tcPr>
                <w:p w14:paraId="08C8A3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24000</w:t>
                  </w:r>
                </w:p>
              </w:tc>
            </w:tr>
            <w:tr w14:paraId="4F89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406" w:type="pct"/>
                  <w:vAlign w:val="center"/>
                </w:tcPr>
                <w:p w14:paraId="0E704E3C">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灯壳</w:t>
                  </w:r>
                </w:p>
              </w:tc>
              <w:tc>
                <w:tcPr>
                  <w:tcW w:w="595" w:type="pct"/>
                  <w:shd w:val="clear" w:color="auto" w:fill="auto"/>
                  <w:vAlign w:val="center"/>
                </w:tcPr>
                <w:p w14:paraId="1CEBE7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652" w:type="pct"/>
                  <w:shd w:val="clear" w:color="auto" w:fill="auto"/>
                  <w:vAlign w:val="center"/>
                </w:tcPr>
                <w:p w14:paraId="2FF13A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200</w:t>
                  </w:r>
                </w:p>
              </w:tc>
              <w:tc>
                <w:tcPr>
                  <w:tcW w:w="750" w:type="pct"/>
                  <w:vAlign w:val="center"/>
                </w:tcPr>
                <w:p w14:paraId="09C079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底漆0.12</w:t>
                  </w:r>
                  <w:r>
                    <w:rPr>
                      <w:rFonts w:hint="eastAsia"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eastAsia" w:cs="Times New Roman"/>
                      <w:i w:val="0"/>
                      <w:iCs w:val="0"/>
                      <w:color w:val="000000" w:themeColor="text1"/>
                      <w:kern w:val="0"/>
                      <w:sz w:val="21"/>
                      <w:szCs w:val="21"/>
                      <w:u w:val="none"/>
                      <w:lang w:val="en-US" w:eastAsia="zh-CN" w:bidi="ar"/>
                      <w14:textFill>
                        <w14:solidFill>
                          <w14:schemeClr w14:val="tx1"/>
                        </w14:solidFill>
                      </w14:textFill>
                    </w:rPr>
                    <w:t>面漆0.12</w:t>
                  </w:r>
                </w:p>
              </w:tc>
              <w:tc>
                <w:tcPr>
                  <w:tcW w:w="519" w:type="pct"/>
                  <w:vAlign w:val="center"/>
                </w:tcPr>
                <w:p w14:paraId="12745D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w:t>
                  </w:r>
                </w:p>
              </w:tc>
              <w:tc>
                <w:tcPr>
                  <w:tcW w:w="679" w:type="pct"/>
                  <w:vAlign w:val="center"/>
                </w:tcPr>
                <w:p w14:paraId="590CC8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底漆15</w:t>
                  </w:r>
                  <w:r>
                    <w:rPr>
                      <w:rFonts w:hint="eastAsia"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eastAsia" w:cs="Times New Roman"/>
                      <w:i w:val="0"/>
                      <w:iCs w:val="0"/>
                      <w:color w:val="000000" w:themeColor="text1"/>
                      <w:kern w:val="0"/>
                      <w:sz w:val="21"/>
                      <w:szCs w:val="21"/>
                      <w:u w:val="none"/>
                      <w:lang w:val="en-US" w:eastAsia="zh-CN" w:bidi="ar"/>
                      <w14:textFill>
                        <w14:solidFill>
                          <w14:schemeClr w14:val="tx1"/>
                        </w14:solidFill>
                      </w14:textFill>
                    </w:rPr>
                    <w:t>面漆10</w:t>
                  </w:r>
                </w:p>
              </w:tc>
              <w:tc>
                <w:tcPr>
                  <w:tcW w:w="716" w:type="pct"/>
                  <w:shd w:val="clear" w:color="auto" w:fill="auto"/>
                  <w:vAlign w:val="center"/>
                </w:tcPr>
                <w:p w14:paraId="428F77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240000</w:t>
                  </w:r>
                </w:p>
              </w:tc>
              <w:tc>
                <w:tcPr>
                  <w:tcW w:w="680" w:type="pct"/>
                  <w:vAlign w:val="center"/>
                </w:tcPr>
                <w:p w14:paraId="246CC0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240000</w:t>
                  </w:r>
                </w:p>
              </w:tc>
            </w:tr>
            <w:tr w14:paraId="629BE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2" w:type="pct"/>
                  <w:gridSpan w:val="2"/>
                  <w:tcBorders>
                    <w:bottom w:val="single" w:color="auto" w:sz="4" w:space="0"/>
                  </w:tcBorders>
                  <w:vAlign w:val="center"/>
                </w:tcPr>
                <w:p w14:paraId="2CCC3316">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合计</w:t>
                  </w:r>
                </w:p>
              </w:tc>
              <w:tc>
                <w:tcPr>
                  <w:tcW w:w="652" w:type="pct"/>
                  <w:tcBorders>
                    <w:bottom w:val="single" w:color="auto" w:sz="4" w:space="0"/>
                  </w:tcBorders>
                  <w:vAlign w:val="center"/>
                </w:tcPr>
                <w:p w14:paraId="798A40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350</w:t>
                  </w:r>
                </w:p>
              </w:tc>
              <w:tc>
                <w:tcPr>
                  <w:tcW w:w="750" w:type="pct"/>
                  <w:tcBorders>
                    <w:bottom w:val="single" w:color="auto" w:sz="4" w:space="0"/>
                  </w:tcBorders>
                  <w:shd w:val="clear" w:color="auto" w:fill="auto"/>
                  <w:vAlign w:val="center"/>
                </w:tcPr>
                <w:p w14:paraId="254EF6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519" w:type="pct"/>
                  <w:tcBorders>
                    <w:bottom w:val="single" w:color="auto" w:sz="4" w:space="0"/>
                  </w:tcBorders>
                  <w:vAlign w:val="center"/>
                </w:tcPr>
                <w:p w14:paraId="15C74A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679" w:type="pct"/>
                  <w:tcBorders>
                    <w:bottom w:val="single" w:color="auto" w:sz="4" w:space="0"/>
                  </w:tcBorders>
                  <w:shd w:val="clear" w:color="auto" w:fill="auto"/>
                  <w:vAlign w:val="center"/>
                </w:tcPr>
                <w:p w14:paraId="0960BF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716" w:type="pct"/>
                  <w:tcBorders>
                    <w:bottom w:val="single" w:color="auto" w:sz="4" w:space="0"/>
                  </w:tcBorders>
                  <w:shd w:val="clear" w:color="auto" w:fill="auto"/>
                  <w:vAlign w:val="center"/>
                </w:tcPr>
                <w:p w14:paraId="58D079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264000</w:t>
                  </w:r>
                </w:p>
              </w:tc>
              <w:tc>
                <w:tcPr>
                  <w:tcW w:w="680" w:type="pct"/>
                  <w:tcBorders>
                    <w:bottom w:val="single" w:color="auto" w:sz="4" w:space="0"/>
                  </w:tcBorders>
                  <w:shd w:val="clear" w:color="auto" w:fill="auto"/>
                  <w:vAlign w:val="center"/>
                </w:tcPr>
                <w:p w14:paraId="3935F6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264000</w:t>
                  </w:r>
                </w:p>
              </w:tc>
            </w:tr>
            <w:tr w14:paraId="2538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03" w:type="pct"/>
                  <w:gridSpan w:val="6"/>
                  <w:tcBorders>
                    <w:bottom w:val="single" w:color="auto" w:sz="4" w:space="0"/>
                  </w:tcBorders>
                  <w:vAlign w:val="center"/>
                </w:tcPr>
                <w:p w14:paraId="5CAC9BF1">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合计</w:t>
                  </w:r>
                </w:p>
              </w:tc>
              <w:tc>
                <w:tcPr>
                  <w:tcW w:w="1396" w:type="pct"/>
                  <w:gridSpan w:val="2"/>
                  <w:tcBorders>
                    <w:bottom w:val="single" w:color="auto" w:sz="4" w:space="0"/>
                  </w:tcBorders>
                  <w:shd w:val="clear" w:color="auto" w:fill="auto"/>
                  <w:vAlign w:val="center"/>
                </w:tcPr>
                <w:p w14:paraId="5AE6A84F">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528000</w:t>
                  </w:r>
                </w:p>
              </w:tc>
            </w:tr>
            <w:tr w14:paraId="72E5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4" w:type="pct"/>
                  <w:gridSpan w:val="4"/>
                  <w:tcBorders>
                    <w:top w:val="single" w:color="auto" w:sz="4" w:space="0"/>
                    <w:left w:val="nil"/>
                    <w:bottom w:val="nil"/>
                    <w:right w:val="nil"/>
                  </w:tcBorders>
                  <w:shd w:val="clear" w:color="auto" w:fill="auto"/>
                  <w:vAlign w:val="center"/>
                </w:tcPr>
                <w:p w14:paraId="316069B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drawing>
                      <wp:inline distT="0" distB="0" distL="114300" distR="114300">
                        <wp:extent cx="1286510" cy="1114425"/>
                        <wp:effectExtent l="0" t="0" r="8890" b="9525"/>
                        <wp:docPr id="4" name="图片 4" descr="4d7270143670cce2d73a65e60d943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d7270143670cce2d73a65e60d943f6"/>
                                <pic:cNvPicPr>
                                  <a:picLocks noChangeAspect="1"/>
                                </pic:cNvPicPr>
                              </pic:nvPicPr>
                              <pic:blipFill>
                                <a:blip r:embed="rId15"/>
                                <a:srcRect l="22533" t="18599" r="18017" b="12833"/>
                                <a:stretch>
                                  <a:fillRect/>
                                </a:stretch>
                              </pic:blipFill>
                              <pic:spPr>
                                <a:xfrm>
                                  <a:off x="0" y="0"/>
                                  <a:ext cx="1286510" cy="1114425"/>
                                </a:xfrm>
                                <a:prstGeom prst="rect">
                                  <a:avLst/>
                                </a:prstGeom>
                              </pic:spPr>
                            </pic:pic>
                          </a:graphicData>
                        </a:graphic>
                      </wp:inline>
                    </w:drawing>
                  </w:r>
                </w:p>
              </w:tc>
              <w:tc>
                <w:tcPr>
                  <w:tcW w:w="2595" w:type="pct"/>
                  <w:gridSpan w:val="4"/>
                  <w:tcBorders>
                    <w:top w:val="single" w:color="auto" w:sz="4" w:space="0"/>
                    <w:left w:val="nil"/>
                    <w:bottom w:val="nil"/>
                    <w:right w:val="nil"/>
                  </w:tcBorders>
                  <w:shd w:val="clear" w:color="auto" w:fill="auto"/>
                  <w:vAlign w:val="center"/>
                </w:tcPr>
                <w:p w14:paraId="737F3F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drawing>
                      <wp:inline distT="0" distB="0" distL="114300" distR="114300">
                        <wp:extent cx="1186180" cy="889635"/>
                        <wp:effectExtent l="0" t="0" r="13970" b="5715"/>
                        <wp:docPr id="1" name="图片 1" descr="611c012f4b26b3e4f1226e5e4cca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11c012f4b26b3e4f1226e5e4cca7a7"/>
                                <pic:cNvPicPr>
                                  <a:picLocks noChangeAspect="1"/>
                                </pic:cNvPicPr>
                              </pic:nvPicPr>
                              <pic:blipFill>
                                <a:blip r:embed="rId16"/>
                                <a:stretch>
                                  <a:fillRect/>
                                </a:stretch>
                              </pic:blipFill>
                              <pic:spPr>
                                <a:xfrm>
                                  <a:off x="0" y="0"/>
                                  <a:ext cx="1186180" cy="889635"/>
                                </a:xfrm>
                                <a:prstGeom prst="rect">
                                  <a:avLst/>
                                </a:prstGeom>
                              </pic:spPr>
                            </pic:pic>
                          </a:graphicData>
                        </a:graphic>
                      </wp:inline>
                    </w:drawing>
                  </w:r>
                </w:p>
              </w:tc>
            </w:tr>
            <w:tr w14:paraId="118C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4" w:type="pct"/>
                  <w:gridSpan w:val="4"/>
                  <w:tcBorders>
                    <w:top w:val="nil"/>
                    <w:left w:val="nil"/>
                    <w:bottom w:val="nil"/>
                    <w:right w:val="nil"/>
                  </w:tcBorders>
                  <w:shd w:val="clear" w:color="auto" w:fill="auto"/>
                  <w:vAlign w:val="center"/>
                </w:tcPr>
                <w:p w14:paraId="5DBBEF8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尾盖</w:t>
                  </w:r>
                </w:p>
              </w:tc>
              <w:tc>
                <w:tcPr>
                  <w:tcW w:w="2595" w:type="pct"/>
                  <w:gridSpan w:val="4"/>
                  <w:tcBorders>
                    <w:top w:val="nil"/>
                    <w:left w:val="nil"/>
                    <w:bottom w:val="nil"/>
                    <w:right w:val="nil"/>
                  </w:tcBorders>
                  <w:shd w:val="clear" w:color="auto" w:fill="auto"/>
                  <w:vAlign w:val="center"/>
                </w:tcPr>
                <w:p w14:paraId="3C34D6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灯壳</w:t>
                  </w:r>
                </w:p>
              </w:tc>
            </w:tr>
            <w:tr w14:paraId="3B75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8"/>
                  <w:tcBorders>
                    <w:top w:val="nil"/>
                    <w:left w:val="nil"/>
                    <w:bottom w:val="nil"/>
                    <w:right w:val="nil"/>
                  </w:tcBorders>
                  <w:vAlign w:val="center"/>
                </w:tcPr>
                <w:p w14:paraId="11185354">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注：</w:t>
                  </w:r>
                  <w:r>
                    <w:rPr>
                      <w:rFonts w:hint="eastAsia" w:cs="Times New Roman"/>
                      <w:color w:val="000000" w:themeColor="text1"/>
                      <w:sz w:val="21"/>
                      <w:szCs w:val="21"/>
                      <w:lang w:val="en-US" w:eastAsia="zh-CN"/>
                      <w14:textFill>
                        <w14:solidFill>
                          <w14:schemeClr w14:val="tx1"/>
                        </w14:solidFill>
                      </w14:textFill>
                    </w:rPr>
                    <w:t>据业主提供资料，喷涂时使用遮蔽物，将不需要喷涂的部位遮蔽，尾盖只需喷前侧单</w:t>
                  </w:r>
                  <w:r>
                    <w:rPr>
                      <w:rFonts w:hint="default" w:ascii="Times New Roman" w:hAnsi="Times New Roman" w:cs="Times New Roman"/>
                      <w:color w:val="000000" w:themeColor="text1"/>
                      <w:sz w:val="21"/>
                      <w:szCs w:val="21"/>
                      <w:lang w:val="en-US" w:eastAsia="zh-CN"/>
                      <w14:textFill>
                        <w14:solidFill>
                          <w14:schemeClr w14:val="tx1"/>
                        </w14:solidFill>
                      </w14:textFill>
                    </w:rPr>
                    <w:t>面，灯壳需喷前后两侧</w:t>
                  </w:r>
                  <w:r>
                    <w:rPr>
                      <w:rFonts w:hint="eastAsia" w:cs="Times New Roman"/>
                      <w:color w:val="000000" w:themeColor="text1"/>
                      <w:sz w:val="21"/>
                      <w:szCs w:val="21"/>
                      <w:lang w:val="en-US" w:eastAsia="zh-CN"/>
                      <w14:textFill>
                        <w14:solidFill>
                          <w14:schemeClr w14:val="tx1"/>
                        </w14:solidFill>
                      </w14:textFill>
                    </w:rPr>
                    <w:t>，灯壳前后两侧形状相同。</w:t>
                  </w:r>
                </w:p>
                <w:p w14:paraId="2CAFDD66">
                  <w:pPr>
                    <w:pStyle w:val="2"/>
                    <w:rPr>
                      <w:rFonts w:hint="eastAsia" w:ascii="Times New Roman" w:hAnsi="Times New Roman" w:cs="Times New Roman"/>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尾盖喷涂面积计算：尾盖可近似为</w:t>
                  </w:r>
                  <w:r>
                    <w:rPr>
                      <w:rFonts w:hint="eastAsia" w:asci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个大矩形，2个小矩形，</w:t>
                  </w:r>
                  <w:r>
                    <w:rPr>
                      <w:rFonts w:hint="eastAsia" w:ascii="Times New Roman" w:cs="Times New Roman"/>
                      <w:color w:val="000000" w:themeColor="text1"/>
                      <w:sz w:val="21"/>
                      <w:szCs w:val="21"/>
                      <w:lang w:val="en-US" w:eastAsia="zh-CN"/>
                      <w14:textFill>
                        <w14:solidFill>
                          <w14:schemeClr w14:val="tx1"/>
                        </w14:solidFill>
                      </w14:textFill>
                    </w:rPr>
                    <w:t>1个三角形，</w:t>
                  </w:r>
                  <w:r>
                    <w:rPr>
                      <w:rFonts w:hint="default" w:ascii="Times New Roman" w:hAnsi="Times New Roman" w:cs="Times New Roman"/>
                      <w:color w:val="000000" w:themeColor="text1"/>
                      <w:sz w:val="21"/>
                      <w:szCs w:val="21"/>
                      <w:lang w:val="en-US" w:eastAsia="zh-CN"/>
                      <w14:textFill>
                        <w14:solidFill>
                          <w14:schemeClr w14:val="tx1"/>
                        </w14:solidFill>
                      </w14:textFill>
                    </w:rPr>
                    <w:t>异</w:t>
                  </w:r>
                  <w:r>
                    <w:rPr>
                      <w:rFonts w:hint="eastAsia" w:ascii="Times New Roman" w:cs="Times New Roman"/>
                      <w:color w:val="000000" w:themeColor="text1"/>
                      <w:sz w:val="21"/>
                      <w:szCs w:val="21"/>
                      <w:lang w:val="en-US" w:eastAsia="zh-CN"/>
                      <w14:textFill>
                        <w14:solidFill>
                          <w14:schemeClr w14:val="tx1"/>
                        </w14:solidFill>
                      </w14:textFill>
                    </w:rPr>
                    <w:t>形</w:t>
                  </w:r>
                  <w:r>
                    <w:rPr>
                      <w:rFonts w:hint="default" w:ascii="Times New Roman" w:hAnsi="Times New Roman" w:cs="Times New Roman"/>
                      <w:color w:val="000000" w:themeColor="text1"/>
                      <w:sz w:val="21"/>
                      <w:szCs w:val="21"/>
                      <w:lang w:val="en-US" w:eastAsia="zh-CN"/>
                      <w14:textFill>
                        <w14:solidFill>
                          <w14:schemeClr w14:val="tx1"/>
                        </w14:solidFill>
                      </w14:textFill>
                    </w:rPr>
                    <w:t>系数取1.1</w:t>
                  </w:r>
                  <w:r>
                    <w:rPr>
                      <w:rFonts w:hint="eastAsia" w:ascii="Times New Roman" w:cs="Times New Roman"/>
                      <w:color w:val="000000" w:themeColor="text1"/>
                      <w:sz w:val="21"/>
                      <w:szCs w:val="21"/>
                      <w:lang w:val="en-US" w:eastAsia="zh-CN"/>
                      <w14:textFill>
                        <w14:solidFill>
                          <w14:schemeClr w14:val="tx1"/>
                        </w14:solidFill>
                      </w14:textFill>
                    </w:rPr>
                    <w:t>，则其单个单层喷涂面积为</w:t>
                  </w:r>
                  <w:r>
                    <w:rPr>
                      <w:rFonts w:hint="eastAsia"/>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0.1*0.1</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0.1*0.01*2</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0.1*0.05</w:t>
                  </w:r>
                  <w:r>
                    <w:rPr>
                      <w:rFonts w:hint="eastAsia" w:ascii="Times New Roman" w:cs="Times New Roman"/>
                      <w:color w:val="000000" w:themeColor="text1"/>
                      <w:sz w:val="21"/>
                      <w:szCs w:val="21"/>
                      <w:lang w:val="en-US" w:eastAsia="zh-CN"/>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）m×1.</w:t>
                  </w: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0.016</w:t>
                  </w:r>
                  <w:r>
                    <w:rPr>
                      <w:rFonts w:ascii="Times New Roman" w:hAnsi="Times New Roman" w:cs="Times New Roman"/>
                      <w:color w:val="000000" w:themeColor="text1"/>
                      <w:kern w:val="0"/>
                      <w:sz w:val="21"/>
                      <w:szCs w:val="21"/>
                      <w:lang w:bidi="ar"/>
                      <w14:textFill>
                        <w14:solidFill>
                          <w14:schemeClr w14:val="tx1"/>
                        </w14:solidFill>
                      </w14:textFill>
                    </w:rPr>
                    <w:t>m</w:t>
                  </w:r>
                  <w:r>
                    <w:rPr>
                      <w:rFonts w:ascii="Times New Roman" w:hAnsi="Times New Roman" w:cs="Times New Roman"/>
                      <w:color w:val="000000" w:themeColor="text1"/>
                      <w:kern w:val="0"/>
                      <w:sz w:val="21"/>
                      <w:szCs w:val="21"/>
                      <w:vertAlign w:val="superscript"/>
                      <w:lang w:bidi="ar"/>
                      <w14:textFill>
                        <w14:solidFill>
                          <w14:schemeClr w14:val="tx1"/>
                        </w14:solidFill>
                      </w14:textFill>
                    </w:rPr>
                    <w:t>2</w:t>
                  </w:r>
                  <w:r>
                    <w:rPr>
                      <w:rFonts w:hint="eastAsia" w:ascii="Times New Roman" w:hAnsi="Times New Roman" w:cs="Times New Roman"/>
                      <w:color w:val="000000" w:themeColor="text1"/>
                      <w:kern w:val="0"/>
                      <w:sz w:val="21"/>
                      <w:szCs w:val="21"/>
                      <w:vertAlign w:val="baseline"/>
                      <w:lang w:val="en-US" w:eastAsia="zh-CN" w:bidi="ar"/>
                      <w14:textFill>
                        <w14:solidFill>
                          <w14:schemeClr w14:val="tx1"/>
                        </w14:solidFill>
                      </w14:textFill>
                    </w:rPr>
                    <w:t>。</w:t>
                  </w:r>
                </w:p>
                <w:p w14:paraId="1971704D">
                  <w:pPr>
                    <w:pStyle w:val="4"/>
                    <w:ind w:left="0" w:leftChars="0" w:firstLine="0" w:firstLineChars="0"/>
                    <w:rPr>
                      <w:rFonts w:hint="eastAsia"/>
                      <w:color w:val="000000" w:themeColor="text1"/>
                      <w:lang w:val="en-US" w:eastAsia="zh-CN"/>
                      <w14:textFill>
                        <w14:solidFill>
                          <w14:schemeClr w14:val="tx1"/>
                        </w14:solidFill>
                      </w14:textFill>
                    </w:rPr>
                  </w:pPr>
                  <w:r>
                    <w:rPr>
                      <w:rFonts w:hint="eastAsia" w:ascii="Times New Roman" w:hAnsi="Times New Roman" w:cs="Times New Roman"/>
                      <w:color w:val="000000" w:themeColor="text1"/>
                      <w:kern w:val="0"/>
                      <w:sz w:val="21"/>
                      <w:szCs w:val="21"/>
                      <w:vertAlign w:val="baseline"/>
                      <w:lang w:val="en-US" w:eastAsia="zh-CN" w:bidi="ar"/>
                      <w14:textFill>
                        <w14:solidFill>
                          <w14:schemeClr w14:val="tx1"/>
                        </w14:solidFill>
                      </w14:textFill>
                    </w:rPr>
                    <w:t>灯壳喷涂面积计算：灯壳单面可近似为1个大三角形，2个小三角形，异性系数取1.2，则其单个</w:t>
                  </w:r>
                  <w:r>
                    <w:rPr>
                      <w:rFonts w:hint="eastAsia" w:cs="Times New Roman"/>
                      <w:color w:val="000000" w:themeColor="text1"/>
                      <w:kern w:val="0"/>
                      <w:sz w:val="21"/>
                      <w:szCs w:val="21"/>
                      <w:vertAlign w:val="baseline"/>
                      <w:lang w:val="en-US" w:eastAsia="zh-CN" w:bidi="ar"/>
                      <w14:textFill>
                        <w14:solidFill>
                          <w14:schemeClr w14:val="tx1"/>
                        </w14:solidFill>
                      </w14:textFill>
                    </w:rPr>
                    <w:t>产品双层</w:t>
                  </w:r>
                  <w:r>
                    <w:rPr>
                      <w:rFonts w:hint="eastAsia" w:ascii="Times New Roman" w:hAnsi="Times New Roman" w:cs="Times New Roman"/>
                      <w:color w:val="000000" w:themeColor="text1"/>
                      <w:kern w:val="0"/>
                      <w:sz w:val="21"/>
                      <w:szCs w:val="21"/>
                      <w:vertAlign w:val="baseline"/>
                      <w:lang w:val="en-US" w:eastAsia="zh-CN" w:bidi="ar"/>
                      <w14:textFill>
                        <w14:solidFill>
                          <w14:schemeClr w14:val="tx1"/>
                        </w14:solidFill>
                      </w14:textFill>
                    </w:rPr>
                    <w:t>喷涂面积为</w:t>
                  </w:r>
                  <w:r>
                    <w:rPr>
                      <w:rFonts w:hint="eastAsia"/>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0.45*0.17/2</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0.07*0.17/2*2</w:t>
                  </w:r>
                  <w:r>
                    <w:rPr>
                      <w:rFonts w:ascii="Times New Roman" w:hAnsi="Times New Roman" w:cs="Times New Roman"/>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kern w:val="0"/>
                      <w:sz w:val="21"/>
                      <w:szCs w:val="21"/>
                      <w:lang w:val="en-US" w:eastAsia="zh-CN" w:bidi="ar"/>
                      <w14:textFill>
                        <w14:solidFill>
                          <w14:schemeClr w14:val="tx1"/>
                        </w14:solidFill>
                      </w14:textFill>
                    </w:rPr>
                    <w:t>0.12</w:t>
                  </w:r>
                  <w:r>
                    <w:rPr>
                      <w:rFonts w:ascii="Times New Roman" w:hAnsi="Times New Roman" w:cs="Times New Roman"/>
                      <w:color w:val="000000" w:themeColor="text1"/>
                      <w:kern w:val="0"/>
                      <w:sz w:val="21"/>
                      <w:szCs w:val="21"/>
                      <w:lang w:bidi="ar"/>
                      <w14:textFill>
                        <w14:solidFill>
                          <w14:schemeClr w14:val="tx1"/>
                        </w14:solidFill>
                      </w14:textFill>
                    </w:rPr>
                    <w:t>m</w:t>
                  </w:r>
                  <w:r>
                    <w:rPr>
                      <w:rFonts w:ascii="Times New Roman" w:hAnsi="Times New Roman" w:cs="Times New Roman"/>
                      <w:color w:val="000000" w:themeColor="text1"/>
                      <w:kern w:val="0"/>
                      <w:sz w:val="21"/>
                      <w:szCs w:val="21"/>
                      <w:vertAlign w:val="superscript"/>
                      <w:lang w:bidi="ar"/>
                      <w14:textFill>
                        <w14:solidFill>
                          <w14:schemeClr w14:val="tx1"/>
                        </w14:solidFill>
                      </w14:textFill>
                    </w:rPr>
                    <w:t>2</w:t>
                  </w:r>
                  <w:r>
                    <w:rPr>
                      <w:rFonts w:hint="eastAsia" w:ascii="Times New Roman" w:hAnsi="Times New Roman" w:cs="Times New Roman"/>
                      <w:color w:val="000000" w:themeColor="text1"/>
                      <w:kern w:val="0"/>
                      <w:sz w:val="21"/>
                      <w:szCs w:val="21"/>
                      <w:vertAlign w:val="baseline"/>
                      <w:lang w:val="en-US" w:eastAsia="zh-CN" w:bidi="ar"/>
                      <w14:textFill>
                        <w14:solidFill>
                          <w14:schemeClr w14:val="tx1"/>
                        </w14:solidFill>
                      </w14:textFill>
                    </w:rPr>
                    <w:t>。</w:t>
                  </w:r>
                </w:p>
              </w:tc>
            </w:tr>
          </w:tbl>
          <w:p w14:paraId="4EAD0412">
            <w:pPr>
              <w:keepNext w:val="0"/>
              <w:keepLines w:val="0"/>
              <w:suppressLineNumbers w:val="0"/>
              <w:adjustRightInd w:val="0"/>
              <w:snapToGrid w:val="0"/>
              <w:spacing w:before="0" w:beforeLines="50" w:beforeAutospacing="0" w:after="0" w:afterAutospacing="0" w:line="360" w:lineRule="auto"/>
              <w:ind w:left="0" w:right="0"/>
              <w:jc w:val="center"/>
              <w:rPr>
                <w:rFonts w:hint="default" w:eastAsia="宋体"/>
                <w:b/>
                <w:bCs/>
                <w:color w:val="000000" w:themeColor="text1"/>
                <w:sz w:val="24"/>
                <w:szCs w:val="24"/>
                <w:lang w:val="en-US" w:eastAsia="zh-CN"/>
                <w14:textFill>
                  <w14:solidFill>
                    <w14:schemeClr w14:val="tx1"/>
                  </w14:solidFill>
                </w14:textFill>
              </w:rPr>
            </w:pPr>
            <w:r>
              <w:rPr>
                <w:rFonts w:hint="eastAsia"/>
                <w:b/>
                <w:bCs/>
                <w:color w:val="000000" w:themeColor="text1"/>
                <w:lang w:eastAsia="zh-CN"/>
                <w14:textFill>
                  <w14:solidFill>
                    <w14:schemeClr w14:val="tx1"/>
                  </w14:solidFill>
                </w14:textFill>
              </w:rPr>
              <w:t>附图</w:t>
            </w:r>
            <w:r>
              <w:rPr>
                <w:rFonts w:hint="eastAsia"/>
                <w:b/>
                <w:bCs/>
                <w:color w:val="000000" w:themeColor="text1"/>
                <w:lang w:val="en-US" w:eastAsia="zh-CN"/>
                <w14:textFill>
                  <w14:solidFill>
                    <w14:schemeClr w14:val="tx1"/>
                  </w14:solidFill>
                </w14:textFill>
              </w:rPr>
              <w:t>2-1 产品照片</w:t>
            </w:r>
          </w:p>
          <w:p w14:paraId="2D380A33">
            <w:pPr>
              <w:keepNext w:val="0"/>
              <w:keepLines w:val="0"/>
              <w:suppressLineNumbers w:val="0"/>
              <w:adjustRightInd w:val="0"/>
              <w:snapToGrid w:val="0"/>
              <w:spacing w:before="0" w:beforeLines="50" w:beforeAutospacing="0" w:after="0" w:afterAutospacing="0" w:line="360" w:lineRule="auto"/>
              <w:ind w:left="0" w:right="0"/>
              <w:rPr>
                <w:rFonts w:hint="default"/>
                <w:b/>
                <w:color w:val="000000" w:themeColor="text1"/>
                <w:sz w:val="24"/>
                <w:szCs w:val="24"/>
                <w14:textFill>
                  <w14:solidFill>
                    <w14:schemeClr w14:val="tx1"/>
                  </w14:solidFill>
                </w14:textFill>
              </w:rPr>
            </w:pPr>
            <w:r>
              <w:rPr>
                <w:rFonts w:hint="eastAsia"/>
                <w:b/>
                <w:color w:val="000000" w:themeColor="text1"/>
                <w:sz w:val="24"/>
                <w:szCs w:val="24"/>
                <w:lang w:val="en-US" w:eastAsia="zh-CN"/>
                <w14:textFill>
                  <w14:solidFill>
                    <w14:schemeClr w14:val="tx1"/>
                  </w14:solidFill>
                </w14:textFill>
              </w:rPr>
              <w:t>5</w:t>
            </w:r>
            <w:r>
              <w:rPr>
                <w:rFonts w:hint="default"/>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项目主要生产设备</w:t>
            </w:r>
          </w:p>
          <w:p w14:paraId="07AC131B">
            <w:pPr>
              <w:keepNext w:val="0"/>
              <w:keepLines w:val="0"/>
              <w:suppressLineNumbers w:val="0"/>
              <w:adjustRightInd w:val="0"/>
              <w:snapToGrid w:val="0"/>
              <w:spacing w:before="0" w:beforeAutospacing="0" w:after="0" w:afterAutospacing="0" w:line="360" w:lineRule="auto"/>
              <w:ind w:left="0" w:right="0" w:firstLine="480" w:firstLineChars="200"/>
              <w:rPr>
                <w:rFonts w:hint="default"/>
                <w:bCs/>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本项目生产过程中使用到生产设备均不属于《产业结构调整指导目录》（20</w:t>
            </w:r>
            <w:r>
              <w:rPr>
                <w:rFonts w:hint="eastAsia"/>
                <w:color w:val="000000" w:themeColor="text1"/>
                <w:sz w:val="24"/>
                <w:szCs w:val="24"/>
                <w14:textFill>
                  <w14:solidFill>
                    <w14:schemeClr w14:val="tx1"/>
                  </w14:solidFill>
                </w14:textFill>
              </w:rPr>
              <w:t>24</w:t>
            </w:r>
            <w:r>
              <w:rPr>
                <w:rFonts w:hint="default"/>
                <w:color w:val="000000" w:themeColor="text1"/>
                <w:sz w:val="24"/>
                <w:szCs w:val="24"/>
                <w14:textFill>
                  <w14:solidFill>
                    <w14:schemeClr w14:val="tx1"/>
                  </w14:solidFill>
                </w14:textFill>
              </w:rPr>
              <w:t>年本）及国家明令淘汰用能设备、产品目录中的淘汰落后生产工艺装备。</w:t>
            </w:r>
            <w:r>
              <w:rPr>
                <w:rFonts w:hint="eastAsia"/>
                <w:color w:val="000000" w:themeColor="text1"/>
                <w:sz w:val="24"/>
                <w:szCs w:val="24"/>
                <w14:textFill>
                  <w14:solidFill>
                    <w14:schemeClr w14:val="tx1"/>
                  </w14:solidFill>
                </w14:textFill>
              </w:rPr>
              <w:t>本</w:t>
            </w:r>
            <w:r>
              <w:rPr>
                <w:rFonts w:hint="default"/>
                <w:bCs/>
                <w:color w:val="000000" w:themeColor="text1"/>
                <w:sz w:val="24"/>
                <w:szCs w:val="24"/>
                <w14:textFill>
                  <w14:solidFill>
                    <w14:schemeClr w14:val="tx1"/>
                  </w14:solidFill>
                </w14:textFill>
              </w:rPr>
              <w:t>项目主要生产设备见表2-</w:t>
            </w:r>
            <w:r>
              <w:rPr>
                <w:rFonts w:hint="eastAsia"/>
                <w:bCs/>
                <w:color w:val="000000" w:themeColor="text1"/>
                <w:sz w:val="24"/>
                <w:szCs w:val="24"/>
                <w:lang w:val="en-US" w:eastAsia="zh-CN"/>
                <w14:textFill>
                  <w14:solidFill>
                    <w14:schemeClr w14:val="tx1"/>
                  </w14:solidFill>
                </w14:textFill>
              </w:rPr>
              <w:t>4</w:t>
            </w:r>
            <w:r>
              <w:rPr>
                <w:rFonts w:hint="default"/>
                <w:bCs/>
                <w:color w:val="000000" w:themeColor="text1"/>
                <w:sz w:val="24"/>
                <w:szCs w:val="24"/>
                <w14:textFill>
                  <w14:solidFill>
                    <w14:schemeClr w14:val="tx1"/>
                  </w14:solidFill>
                </w14:textFill>
              </w:rPr>
              <w:t>。</w:t>
            </w:r>
          </w:p>
          <w:p w14:paraId="2148101B">
            <w:pPr>
              <w:adjustRightInd w:val="0"/>
              <w:snapToGrid w:val="0"/>
              <w:spacing w:line="460" w:lineRule="exact"/>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w:t>
            </w:r>
            <w:r>
              <w:rPr>
                <w:rFonts w:hint="eastAsia"/>
                <w:b/>
                <w:bCs/>
                <w:color w:val="000000" w:themeColor="text1"/>
                <w:sz w:val="24"/>
                <w:highlight w:val="none"/>
                <w:lang w:val="en-US" w:eastAsia="zh-CN"/>
                <w14:textFill>
                  <w14:solidFill>
                    <w14:schemeClr w14:val="tx1"/>
                  </w14:solidFill>
                </w14:textFill>
              </w:rPr>
              <w:t>2-4</w:t>
            </w:r>
            <w:r>
              <w:rPr>
                <w:b/>
                <w:bCs/>
                <w:color w:val="000000" w:themeColor="text1"/>
                <w:sz w:val="24"/>
                <w:highlight w:val="none"/>
                <w14:textFill>
                  <w14:solidFill>
                    <w14:schemeClr w14:val="tx1"/>
                  </w14:solidFill>
                </w14:textFill>
              </w:rPr>
              <w:t xml:space="preserve"> 本项目主要生产设备一览表</w:t>
            </w:r>
          </w:p>
          <w:tbl>
            <w:tblPr>
              <w:tblStyle w:val="21"/>
              <w:tblW w:w="8316" w:type="dxa"/>
              <w:jc w:val="center"/>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492"/>
              <w:gridCol w:w="556"/>
              <w:gridCol w:w="2221"/>
              <w:gridCol w:w="1250"/>
              <w:gridCol w:w="1174"/>
              <w:gridCol w:w="2623"/>
            </w:tblGrid>
            <w:tr w14:paraId="00A55875">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2" w:type="dxa"/>
                  <w:shd w:val="clear" w:color="auto" w:fill="FFFFFF"/>
                  <w:noWrap/>
                  <w:tcMar>
                    <w:left w:w="28" w:type="dxa"/>
                    <w:right w:w="28" w:type="dxa"/>
                  </w:tcMar>
                  <w:vAlign w:val="center"/>
                </w:tcPr>
                <w:p w14:paraId="4F8FC7FA">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序号</w:t>
                  </w:r>
                </w:p>
              </w:tc>
              <w:tc>
                <w:tcPr>
                  <w:tcW w:w="2777" w:type="dxa"/>
                  <w:gridSpan w:val="2"/>
                  <w:shd w:val="clear" w:color="auto" w:fill="FFFFFF"/>
                  <w:noWrap/>
                  <w:tcMar>
                    <w:left w:w="28" w:type="dxa"/>
                    <w:right w:w="28" w:type="dxa"/>
                  </w:tcMar>
                  <w:vAlign w:val="center"/>
                </w:tcPr>
                <w:p w14:paraId="08F92337">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设备名称</w:t>
                  </w:r>
                </w:p>
              </w:tc>
              <w:tc>
                <w:tcPr>
                  <w:tcW w:w="1250" w:type="dxa"/>
                  <w:shd w:val="clear" w:color="auto" w:fill="FFFFFF"/>
                  <w:noWrap/>
                  <w:tcMar>
                    <w:left w:w="28" w:type="dxa"/>
                    <w:right w:w="28" w:type="dxa"/>
                  </w:tcMar>
                  <w:vAlign w:val="center"/>
                </w:tcPr>
                <w:p w14:paraId="17FA15CE">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规格</w:t>
                  </w:r>
                </w:p>
              </w:tc>
              <w:tc>
                <w:tcPr>
                  <w:tcW w:w="1174" w:type="dxa"/>
                  <w:shd w:val="clear" w:color="auto" w:fill="FFFFFF"/>
                  <w:noWrap/>
                  <w:tcMar>
                    <w:left w:w="28" w:type="dxa"/>
                    <w:right w:w="28" w:type="dxa"/>
                  </w:tcMar>
                  <w:vAlign w:val="center"/>
                </w:tcPr>
                <w:p w14:paraId="16DBB706">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数量（台</w:t>
                  </w:r>
                  <w:r>
                    <w:rPr>
                      <w:rFonts w:hint="eastAsia"/>
                      <w:color w:val="000000" w:themeColor="text1"/>
                      <w:szCs w:val="21"/>
                      <w:highlight w:val="none"/>
                      <w:lang w:val="en-US" w:eastAsia="zh-CN"/>
                      <w14:textFill>
                        <w14:solidFill>
                          <w14:schemeClr w14:val="tx1"/>
                        </w14:solidFill>
                      </w14:textFill>
                    </w:rPr>
                    <w:t>/个</w:t>
                  </w:r>
                  <w:r>
                    <w:rPr>
                      <w:color w:val="000000" w:themeColor="text1"/>
                      <w:szCs w:val="21"/>
                      <w:highlight w:val="none"/>
                      <w14:textFill>
                        <w14:solidFill>
                          <w14:schemeClr w14:val="tx1"/>
                        </w14:solidFill>
                      </w14:textFill>
                    </w:rPr>
                    <w:t>）</w:t>
                  </w:r>
                </w:p>
              </w:tc>
              <w:tc>
                <w:tcPr>
                  <w:tcW w:w="2623" w:type="dxa"/>
                  <w:shd w:val="clear" w:color="auto" w:fill="FFFFFF"/>
                  <w:noWrap/>
                  <w:tcMar>
                    <w:left w:w="28" w:type="dxa"/>
                    <w:right w:w="28" w:type="dxa"/>
                  </w:tcMar>
                  <w:vAlign w:val="center"/>
                </w:tcPr>
                <w:p w14:paraId="43BDCD5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备注</w:t>
                  </w:r>
                </w:p>
              </w:tc>
            </w:tr>
            <w:tr w14:paraId="6D71CC34">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2" w:type="dxa"/>
                  <w:vMerge w:val="restart"/>
                  <w:shd w:val="clear" w:color="auto" w:fill="FFFFFF"/>
                  <w:noWrap/>
                  <w:tcMar>
                    <w:left w:w="28" w:type="dxa"/>
                    <w:right w:w="28" w:type="dxa"/>
                  </w:tcMar>
                  <w:vAlign w:val="center"/>
                </w:tcPr>
                <w:p w14:paraId="1F33176B">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1#生产线</w:t>
                  </w:r>
                </w:p>
              </w:tc>
              <w:tc>
                <w:tcPr>
                  <w:tcW w:w="556" w:type="dxa"/>
                  <w:shd w:val="clear" w:color="auto" w:fill="FFFFFF"/>
                  <w:noWrap/>
                  <w:tcMar>
                    <w:left w:w="28" w:type="dxa"/>
                    <w:right w:w="28" w:type="dxa"/>
                  </w:tcMar>
                  <w:vAlign w:val="center"/>
                </w:tcPr>
                <w:p w14:paraId="3CF42F4D">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除尘</w:t>
                  </w:r>
                </w:p>
              </w:tc>
              <w:tc>
                <w:tcPr>
                  <w:tcW w:w="2221" w:type="dxa"/>
                  <w:shd w:val="clear" w:color="auto" w:fill="FFFFFF"/>
                  <w:noWrap/>
                  <w:tcMar>
                    <w:left w:w="28" w:type="dxa"/>
                    <w:right w:w="28" w:type="dxa"/>
                  </w:tcMar>
                  <w:vAlign w:val="center"/>
                </w:tcPr>
                <w:p w14:paraId="2BCED68E">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手动除尘柜</w:t>
                  </w:r>
                </w:p>
              </w:tc>
              <w:tc>
                <w:tcPr>
                  <w:tcW w:w="1250" w:type="dxa"/>
                  <w:shd w:val="clear" w:color="auto" w:fill="FFFFFF"/>
                  <w:noWrap/>
                  <w:tcMar>
                    <w:left w:w="28" w:type="dxa"/>
                    <w:right w:w="28" w:type="dxa"/>
                  </w:tcMar>
                  <w:vAlign w:val="center"/>
                </w:tcPr>
                <w:p w14:paraId="64C5B375">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m</w:t>
                  </w:r>
                </w:p>
              </w:tc>
              <w:tc>
                <w:tcPr>
                  <w:tcW w:w="1174" w:type="dxa"/>
                  <w:shd w:val="clear" w:color="auto" w:fill="FFFFFF"/>
                  <w:noWrap/>
                  <w:tcMar>
                    <w:left w:w="28" w:type="dxa"/>
                    <w:right w:w="28" w:type="dxa"/>
                  </w:tcMar>
                  <w:vAlign w:val="center"/>
                </w:tcPr>
                <w:p w14:paraId="063854D0">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2623" w:type="dxa"/>
                  <w:shd w:val="clear" w:color="auto" w:fill="FFFFFF"/>
                  <w:noWrap/>
                  <w:tcMar>
                    <w:left w:w="28" w:type="dxa"/>
                    <w:right w:w="28" w:type="dxa"/>
                  </w:tcMar>
                  <w:vAlign w:val="center"/>
                </w:tcPr>
                <w:p w14:paraId="5B1DC34C">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静电除尘，</w:t>
                  </w:r>
                  <w:r>
                    <w:rPr>
                      <w:rFonts w:hint="eastAsia"/>
                      <w:color w:val="000000" w:themeColor="text1"/>
                      <w:szCs w:val="21"/>
                      <w:highlight w:val="none"/>
                      <w14:textFill>
                        <w14:solidFill>
                          <w14:schemeClr w14:val="tx1"/>
                        </w14:solidFill>
                      </w14:textFill>
                    </w:rPr>
                    <w:t>除尘柜上方设置过滤棉</w:t>
                  </w:r>
                </w:p>
              </w:tc>
            </w:tr>
            <w:tr w14:paraId="71C984AA">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2" w:type="dxa"/>
                  <w:vMerge w:val="continue"/>
                  <w:shd w:val="clear" w:color="auto" w:fill="FFFFFF"/>
                  <w:noWrap/>
                  <w:tcMar>
                    <w:left w:w="28" w:type="dxa"/>
                    <w:right w:w="28" w:type="dxa"/>
                  </w:tcMar>
                  <w:vAlign w:val="center"/>
                </w:tcPr>
                <w:p w14:paraId="455C4AE5">
                  <w:pPr>
                    <w:jc w:val="center"/>
                    <w:rPr>
                      <w:rFonts w:hint="eastAsia" w:eastAsia="宋体"/>
                      <w:color w:val="000000" w:themeColor="text1"/>
                      <w:szCs w:val="21"/>
                      <w:highlight w:val="none"/>
                      <w:lang w:val="en-US" w:eastAsia="zh-CN"/>
                      <w14:textFill>
                        <w14:solidFill>
                          <w14:schemeClr w14:val="tx1"/>
                        </w14:solidFill>
                      </w14:textFill>
                    </w:rPr>
                  </w:pPr>
                </w:p>
              </w:tc>
              <w:tc>
                <w:tcPr>
                  <w:tcW w:w="556" w:type="dxa"/>
                  <w:vMerge w:val="restart"/>
                  <w:shd w:val="clear" w:color="auto" w:fill="FFFFFF"/>
                  <w:noWrap/>
                  <w:tcMar>
                    <w:left w:w="28" w:type="dxa"/>
                    <w:right w:w="28" w:type="dxa"/>
                  </w:tcMar>
                  <w:vAlign w:val="center"/>
                </w:tcPr>
                <w:p w14:paraId="6103E8B4">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喷涂</w:t>
                  </w:r>
                </w:p>
              </w:tc>
              <w:tc>
                <w:tcPr>
                  <w:tcW w:w="2221" w:type="dxa"/>
                  <w:shd w:val="clear" w:color="auto" w:fill="FFFFFF"/>
                  <w:noWrap/>
                  <w:tcMar>
                    <w:left w:w="28" w:type="dxa"/>
                    <w:right w:w="28" w:type="dxa"/>
                  </w:tcMar>
                  <w:vAlign w:val="center"/>
                </w:tcPr>
                <w:p w14:paraId="3A0C3F68">
                  <w:pPr>
                    <w:tabs>
                      <w:tab w:val="left" w:pos="409"/>
                      <w:tab w:val="center" w:pos="683"/>
                    </w:tabs>
                    <w:jc w:val="center"/>
                    <w:rPr>
                      <w:rFonts w:hint="eastAsia" w:eastAsia="宋体"/>
                      <w:color w:val="000000" w:themeColor="text1"/>
                      <w:szCs w:val="21"/>
                      <w:highlight w:val="none"/>
                      <w:lang w:eastAsia="zh-CN"/>
                      <w14:textFill>
                        <w14:solidFill>
                          <w14:schemeClr w14:val="tx1"/>
                        </w14:solidFill>
                      </w14:textFill>
                    </w:rPr>
                  </w:pPr>
                  <w:r>
                    <w:rPr>
                      <w:color w:val="000000" w:themeColor="text1"/>
                      <w:szCs w:val="21"/>
                      <w:highlight w:val="none"/>
                      <w14:textFill>
                        <w14:solidFill>
                          <w14:schemeClr w14:val="tx1"/>
                        </w14:solidFill>
                      </w14:textFill>
                    </w:rPr>
                    <w:t>喷漆</w:t>
                  </w:r>
                  <w:r>
                    <w:rPr>
                      <w:rFonts w:hint="eastAsia"/>
                      <w:color w:val="000000" w:themeColor="text1"/>
                      <w:szCs w:val="21"/>
                      <w:highlight w:val="none"/>
                      <w:lang w:val="en-US" w:eastAsia="zh-CN"/>
                      <w14:textFill>
                        <w14:solidFill>
                          <w14:schemeClr w14:val="tx1"/>
                        </w14:solidFill>
                      </w14:textFill>
                    </w:rPr>
                    <w:t>工位</w:t>
                  </w:r>
                </w:p>
              </w:tc>
              <w:tc>
                <w:tcPr>
                  <w:tcW w:w="1250" w:type="dxa"/>
                  <w:shd w:val="clear" w:color="auto" w:fill="FFFFFF"/>
                  <w:noWrap/>
                  <w:tcMar>
                    <w:left w:w="28" w:type="dxa"/>
                    <w:right w:w="28" w:type="dxa"/>
                  </w:tcMar>
                  <w:vAlign w:val="center"/>
                </w:tcPr>
                <w:p w14:paraId="7A5FF563">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2.5</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2.5</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m</w:t>
                  </w:r>
                </w:p>
              </w:tc>
              <w:tc>
                <w:tcPr>
                  <w:tcW w:w="1174" w:type="dxa"/>
                  <w:shd w:val="clear" w:color="auto" w:fill="FFFFFF"/>
                  <w:noWrap/>
                  <w:tcMar>
                    <w:left w:w="28" w:type="dxa"/>
                    <w:right w:w="28" w:type="dxa"/>
                  </w:tcMar>
                  <w:vAlign w:val="center"/>
                </w:tcPr>
                <w:p w14:paraId="34A5E6DA">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p>
              </w:tc>
              <w:tc>
                <w:tcPr>
                  <w:tcW w:w="2623" w:type="dxa"/>
                  <w:shd w:val="clear" w:color="auto" w:fill="FFFFFF"/>
                  <w:noWrap/>
                  <w:tcMar>
                    <w:left w:w="28" w:type="dxa"/>
                    <w:right w:w="28" w:type="dxa"/>
                  </w:tcMar>
                  <w:vAlign w:val="center"/>
                </w:tcPr>
                <w:p w14:paraId="2A993A22">
                  <w:pPr>
                    <w:jc w:val="center"/>
                    <w:rPr>
                      <w:rFonts w:hint="default" w:eastAsia="宋体"/>
                      <w:color w:val="000000" w:themeColor="text1"/>
                      <w:szCs w:val="21"/>
                      <w:highlight w:val="none"/>
                      <w:lang w:val="en-US" w:eastAsia="zh-CN"/>
                      <w14:textFill>
                        <w14:solidFill>
                          <w14:schemeClr w14:val="tx1"/>
                        </w14:solidFill>
                      </w14:textFill>
                    </w:rPr>
                  </w:pPr>
                  <w:r>
                    <w:rPr>
                      <w:color w:val="000000" w:themeColor="text1"/>
                      <w:szCs w:val="21"/>
                      <w:highlight w:val="none"/>
                      <w14:textFill>
                        <w14:solidFill>
                          <w14:schemeClr w14:val="tx1"/>
                        </w14:solidFill>
                      </w14:textFill>
                    </w:rPr>
                    <w:t>喷料最大喷出量为</w:t>
                  </w:r>
                  <w:r>
                    <w:rPr>
                      <w:rFonts w:hint="eastAsia"/>
                      <w:color w:val="000000" w:themeColor="text1"/>
                      <w:szCs w:val="21"/>
                      <w:highlight w:val="none"/>
                      <w:lang w:val="en-US" w:eastAsia="zh-CN"/>
                      <w14:textFill>
                        <w14:solidFill>
                          <w14:schemeClr w14:val="tx1"/>
                        </w14:solidFill>
                      </w14:textFill>
                    </w:rPr>
                    <w:t>140</w:t>
                  </w:r>
                  <w:r>
                    <w:rPr>
                      <w:color w:val="000000" w:themeColor="text1"/>
                      <w:szCs w:val="21"/>
                      <w:highlight w:val="none"/>
                      <w14:textFill>
                        <w14:solidFill>
                          <w14:schemeClr w14:val="tx1"/>
                        </w14:solidFill>
                      </w14:textFill>
                    </w:rPr>
                    <w:t>ml/min</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2用1备</w:t>
                  </w:r>
                </w:p>
              </w:tc>
            </w:tr>
            <w:tr w14:paraId="2BE5CB08">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2" w:type="dxa"/>
                  <w:vMerge w:val="continue"/>
                  <w:shd w:val="clear" w:color="auto" w:fill="FFFFFF"/>
                  <w:noWrap/>
                  <w:tcMar>
                    <w:left w:w="28" w:type="dxa"/>
                    <w:right w:w="28" w:type="dxa"/>
                  </w:tcMar>
                  <w:vAlign w:val="center"/>
                </w:tcPr>
                <w:p w14:paraId="217DACE1">
                  <w:pPr>
                    <w:jc w:val="center"/>
                    <w:rPr>
                      <w:rFonts w:hint="eastAsia" w:eastAsia="宋体"/>
                      <w:color w:val="000000" w:themeColor="text1"/>
                      <w:szCs w:val="21"/>
                      <w:highlight w:val="none"/>
                      <w:lang w:val="en-US" w:eastAsia="zh-CN"/>
                      <w14:textFill>
                        <w14:solidFill>
                          <w14:schemeClr w14:val="tx1"/>
                        </w14:solidFill>
                      </w14:textFill>
                    </w:rPr>
                  </w:pPr>
                </w:p>
              </w:tc>
              <w:tc>
                <w:tcPr>
                  <w:tcW w:w="556" w:type="dxa"/>
                  <w:vMerge w:val="continue"/>
                  <w:shd w:val="clear" w:color="auto" w:fill="FFFFFF"/>
                  <w:noWrap/>
                  <w:tcMar>
                    <w:left w:w="28" w:type="dxa"/>
                    <w:right w:w="28" w:type="dxa"/>
                  </w:tcMar>
                  <w:vAlign w:val="center"/>
                </w:tcPr>
                <w:p w14:paraId="2779A7EC">
                  <w:pPr>
                    <w:jc w:val="center"/>
                    <w:rPr>
                      <w:color w:val="000000" w:themeColor="text1"/>
                      <w:szCs w:val="21"/>
                      <w:highlight w:val="none"/>
                      <w14:textFill>
                        <w14:solidFill>
                          <w14:schemeClr w14:val="tx1"/>
                        </w14:solidFill>
                      </w14:textFill>
                    </w:rPr>
                  </w:pPr>
                </w:p>
              </w:tc>
              <w:tc>
                <w:tcPr>
                  <w:tcW w:w="2221" w:type="dxa"/>
                  <w:shd w:val="clear" w:color="auto" w:fill="FFFFFF"/>
                  <w:noWrap/>
                  <w:tcMar>
                    <w:left w:w="28" w:type="dxa"/>
                    <w:right w:w="28" w:type="dxa"/>
                  </w:tcMar>
                  <w:vAlign w:val="center"/>
                </w:tcPr>
                <w:p w14:paraId="7EE410A9">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喷枪</w:t>
                  </w:r>
                </w:p>
              </w:tc>
              <w:tc>
                <w:tcPr>
                  <w:tcW w:w="1250" w:type="dxa"/>
                  <w:shd w:val="clear" w:color="auto" w:fill="FFFFFF"/>
                  <w:noWrap/>
                  <w:tcMar>
                    <w:left w:w="28" w:type="dxa"/>
                    <w:right w:w="28" w:type="dxa"/>
                  </w:tcMar>
                  <w:vAlign w:val="center"/>
                </w:tcPr>
                <w:p w14:paraId="1C49BE67">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c>
                <w:tcPr>
                  <w:tcW w:w="1174" w:type="dxa"/>
                  <w:shd w:val="clear" w:color="auto" w:fill="FFFFFF"/>
                  <w:noWrap/>
                  <w:tcMar>
                    <w:left w:w="28" w:type="dxa"/>
                    <w:right w:w="28" w:type="dxa"/>
                  </w:tcMar>
                  <w:vAlign w:val="center"/>
                </w:tcPr>
                <w:p w14:paraId="0578ACF4">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p>
              </w:tc>
              <w:tc>
                <w:tcPr>
                  <w:tcW w:w="2623" w:type="dxa"/>
                  <w:shd w:val="clear" w:color="auto" w:fill="FFFFFF"/>
                  <w:noWrap/>
                  <w:tcMar>
                    <w:left w:w="28" w:type="dxa"/>
                    <w:right w:w="28" w:type="dxa"/>
                  </w:tcMar>
                  <w:vAlign w:val="center"/>
                </w:tcPr>
                <w:p w14:paraId="49D1037E">
                  <w:pPr>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2用1备</w:t>
                  </w:r>
                </w:p>
              </w:tc>
            </w:tr>
            <w:tr w14:paraId="3FE2608C">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20" w:hRule="atLeast"/>
                <w:jc w:val="center"/>
              </w:trPr>
              <w:tc>
                <w:tcPr>
                  <w:tcW w:w="492" w:type="dxa"/>
                  <w:vMerge w:val="continue"/>
                  <w:shd w:val="clear" w:color="auto" w:fill="FFFFFF"/>
                  <w:noWrap/>
                  <w:tcMar>
                    <w:left w:w="28" w:type="dxa"/>
                    <w:right w:w="28" w:type="dxa"/>
                  </w:tcMar>
                  <w:vAlign w:val="center"/>
                </w:tcPr>
                <w:p w14:paraId="200C7961">
                  <w:pPr>
                    <w:jc w:val="center"/>
                    <w:rPr>
                      <w:rFonts w:hint="eastAsia" w:eastAsia="宋体"/>
                      <w:color w:val="000000" w:themeColor="text1"/>
                      <w:szCs w:val="21"/>
                      <w:highlight w:val="none"/>
                      <w:lang w:val="en-US" w:eastAsia="zh-CN"/>
                      <w14:textFill>
                        <w14:solidFill>
                          <w14:schemeClr w14:val="tx1"/>
                        </w14:solidFill>
                      </w14:textFill>
                    </w:rPr>
                  </w:pPr>
                </w:p>
              </w:tc>
              <w:tc>
                <w:tcPr>
                  <w:tcW w:w="556" w:type="dxa"/>
                  <w:vMerge w:val="continue"/>
                  <w:shd w:val="clear" w:color="auto" w:fill="FFFFFF"/>
                  <w:noWrap/>
                  <w:tcMar>
                    <w:left w:w="28" w:type="dxa"/>
                    <w:right w:w="28" w:type="dxa"/>
                  </w:tcMar>
                  <w:vAlign w:val="center"/>
                </w:tcPr>
                <w:p w14:paraId="56634278">
                  <w:pPr>
                    <w:jc w:val="center"/>
                    <w:rPr>
                      <w:color w:val="000000" w:themeColor="text1"/>
                      <w:szCs w:val="21"/>
                      <w:highlight w:val="none"/>
                      <w14:textFill>
                        <w14:solidFill>
                          <w14:schemeClr w14:val="tx1"/>
                        </w14:solidFill>
                      </w14:textFill>
                    </w:rPr>
                  </w:pPr>
                </w:p>
              </w:tc>
              <w:tc>
                <w:tcPr>
                  <w:tcW w:w="2221" w:type="dxa"/>
                  <w:shd w:val="clear" w:color="auto" w:fill="FFFFFF"/>
                  <w:noWrap/>
                  <w:tcMar>
                    <w:left w:w="28" w:type="dxa"/>
                    <w:right w:w="28" w:type="dxa"/>
                  </w:tcMar>
                  <w:vAlign w:val="center"/>
                </w:tcPr>
                <w:p w14:paraId="2FC1C243">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气动升降自动供漆系统</w:t>
                  </w:r>
                </w:p>
              </w:tc>
              <w:tc>
                <w:tcPr>
                  <w:tcW w:w="1250" w:type="dxa"/>
                  <w:shd w:val="clear" w:color="auto" w:fill="FFFFFF"/>
                  <w:noWrap/>
                  <w:tcMar>
                    <w:left w:w="28" w:type="dxa"/>
                    <w:right w:w="28" w:type="dxa"/>
                  </w:tcMar>
                  <w:vAlign w:val="center"/>
                </w:tcPr>
                <w:p w14:paraId="179E5D51">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SC50×400</w:t>
                  </w:r>
                </w:p>
              </w:tc>
              <w:tc>
                <w:tcPr>
                  <w:tcW w:w="1174" w:type="dxa"/>
                  <w:shd w:val="clear" w:color="auto" w:fill="FFFFFF"/>
                  <w:noWrap/>
                  <w:tcMar>
                    <w:left w:w="28" w:type="dxa"/>
                    <w:right w:w="28" w:type="dxa"/>
                  </w:tcMar>
                  <w:vAlign w:val="center"/>
                </w:tcPr>
                <w:p w14:paraId="65E7F53E">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p>
              </w:tc>
              <w:tc>
                <w:tcPr>
                  <w:tcW w:w="2623" w:type="dxa"/>
                  <w:shd w:val="clear" w:color="auto" w:fill="FFFFFF"/>
                  <w:noWrap/>
                  <w:tcMar>
                    <w:left w:w="28" w:type="dxa"/>
                    <w:right w:w="28" w:type="dxa"/>
                  </w:tcMar>
                  <w:vAlign w:val="center"/>
                </w:tcPr>
                <w:p w14:paraId="7832F6CC">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r>
            <w:tr w14:paraId="1E48A58D">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492" w:type="dxa"/>
                  <w:vMerge w:val="continue"/>
                  <w:shd w:val="clear" w:color="auto" w:fill="FFFFFF"/>
                  <w:noWrap/>
                  <w:tcMar>
                    <w:left w:w="28" w:type="dxa"/>
                    <w:right w:w="28" w:type="dxa"/>
                  </w:tcMar>
                  <w:vAlign w:val="center"/>
                </w:tcPr>
                <w:p w14:paraId="127E0E39">
                  <w:pPr>
                    <w:jc w:val="center"/>
                    <w:rPr>
                      <w:rFonts w:hint="eastAsia" w:eastAsia="宋体"/>
                      <w:color w:val="000000" w:themeColor="text1"/>
                      <w:szCs w:val="21"/>
                      <w:highlight w:val="none"/>
                      <w:lang w:val="en-US" w:eastAsia="zh-CN"/>
                      <w14:textFill>
                        <w14:solidFill>
                          <w14:schemeClr w14:val="tx1"/>
                        </w14:solidFill>
                      </w14:textFill>
                    </w:rPr>
                  </w:pPr>
                </w:p>
              </w:tc>
              <w:tc>
                <w:tcPr>
                  <w:tcW w:w="556" w:type="dxa"/>
                  <w:vMerge w:val="restart"/>
                  <w:shd w:val="clear" w:color="auto" w:fill="FFFFFF"/>
                  <w:noWrap/>
                  <w:tcMar>
                    <w:left w:w="28" w:type="dxa"/>
                    <w:right w:w="28" w:type="dxa"/>
                  </w:tcMar>
                  <w:vAlign w:val="center"/>
                </w:tcPr>
                <w:p w14:paraId="17941211">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流平固化</w:t>
                  </w:r>
                </w:p>
              </w:tc>
              <w:tc>
                <w:tcPr>
                  <w:tcW w:w="2221" w:type="dxa"/>
                  <w:shd w:val="clear" w:color="auto" w:fill="FFFFFF"/>
                  <w:noWrap/>
                  <w:tcMar>
                    <w:left w:w="28" w:type="dxa"/>
                    <w:right w:w="28" w:type="dxa"/>
                  </w:tcMar>
                  <w:vAlign w:val="center"/>
                </w:tcPr>
                <w:p w14:paraId="3590F284">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不锈钢传送带</w:t>
                  </w:r>
                </w:p>
              </w:tc>
              <w:tc>
                <w:tcPr>
                  <w:tcW w:w="1250" w:type="dxa"/>
                  <w:shd w:val="clear" w:color="auto" w:fill="FFFFFF"/>
                  <w:noWrap/>
                  <w:tcMar>
                    <w:left w:w="28" w:type="dxa"/>
                    <w:right w:w="28" w:type="dxa"/>
                  </w:tcMar>
                  <w:vAlign w:val="center"/>
                </w:tcPr>
                <w:p w14:paraId="2ED5934B">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30</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1</w:t>
                  </w:r>
                  <w:r>
                    <w:rPr>
                      <w:color w:val="000000" w:themeColor="text1"/>
                      <w:szCs w:val="21"/>
                      <w:highlight w:val="none"/>
                      <w14:textFill>
                        <w14:solidFill>
                          <w14:schemeClr w14:val="tx1"/>
                        </w14:solidFill>
                      </w14:textFill>
                    </w:rPr>
                    <w:t>m</w:t>
                  </w:r>
                </w:p>
              </w:tc>
              <w:tc>
                <w:tcPr>
                  <w:tcW w:w="1174" w:type="dxa"/>
                  <w:shd w:val="clear" w:color="auto" w:fill="FFFFFF"/>
                  <w:noWrap/>
                  <w:tcMar>
                    <w:left w:w="28" w:type="dxa"/>
                    <w:right w:w="28" w:type="dxa"/>
                  </w:tcMar>
                  <w:vAlign w:val="center"/>
                </w:tcPr>
                <w:p w14:paraId="19307CE1">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2623" w:type="dxa"/>
                  <w:shd w:val="clear" w:color="auto" w:fill="FFFFFF"/>
                  <w:noWrap/>
                  <w:tcMar>
                    <w:left w:w="28" w:type="dxa"/>
                    <w:right w:w="28" w:type="dxa"/>
                  </w:tcMar>
                  <w:vAlign w:val="center"/>
                </w:tcPr>
                <w:p w14:paraId="5846618E">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工件输送</w:t>
                  </w:r>
                </w:p>
              </w:tc>
            </w:tr>
            <w:tr w14:paraId="03AD17FA">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492" w:type="dxa"/>
                  <w:vMerge w:val="continue"/>
                  <w:shd w:val="clear" w:color="auto" w:fill="FFFFFF"/>
                  <w:noWrap/>
                  <w:tcMar>
                    <w:left w:w="28" w:type="dxa"/>
                    <w:right w:w="28" w:type="dxa"/>
                  </w:tcMar>
                  <w:vAlign w:val="center"/>
                </w:tcPr>
                <w:p w14:paraId="0CBF4093">
                  <w:pPr>
                    <w:jc w:val="center"/>
                    <w:rPr>
                      <w:color w:val="000000" w:themeColor="text1"/>
                      <w14:textFill>
                        <w14:solidFill>
                          <w14:schemeClr w14:val="tx1"/>
                        </w14:solidFill>
                      </w14:textFill>
                    </w:rPr>
                  </w:pPr>
                </w:p>
              </w:tc>
              <w:tc>
                <w:tcPr>
                  <w:tcW w:w="556" w:type="dxa"/>
                  <w:vMerge w:val="continue"/>
                  <w:shd w:val="clear" w:color="auto" w:fill="FFFFFF"/>
                  <w:noWrap/>
                  <w:tcMar>
                    <w:left w:w="28" w:type="dxa"/>
                    <w:right w:w="28" w:type="dxa"/>
                  </w:tcMar>
                  <w:vAlign w:val="center"/>
                </w:tcPr>
                <w:p w14:paraId="1B72012D">
                  <w:pPr>
                    <w:jc w:val="center"/>
                    <w:rPr>
                      <w:color w:val="000000" w:themeColor="text1"/>
                      <w14:textFill>
                        <w14:solidFill>
                          <w14:schemeClr w14:val="tx1"/>
                        </w14:solidFill>
                      </w14:textFill>
                    </w:rPr>
                  </w:pPr>
                </w:p>
              </w:tc>
              <w:tc>
                <w:tcPr>
                  <w:tcW w:w="2221" w:type="dxa"/>
                  <w:shd w:val="clear" w:color="auto" w:fill="FFFFFF"/>
                  <w:noWrap/>
                  <w:tcMar>
                    <w:left w:w="28" w:type="dxa"/>
                    <w:right w:w="28" w:type="dxa"/>
                  </w:tcMar>
                  <w:vAlign w:val="center"/>
                </w:tcPr>
                <w:p w14:paraId="126296E3">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流平固化室</w:t>
                  </w:r>
                </w:p>
              </w:tc>
              <w:tc>
                <w:tcPr>
                  <w:tcW w:w="1250" w:type="dxa"/>
                  <w:shd w:val="clear" w:color="auto" w:fill="FFFFFF"/>
                  <w:noWrap/>
                  <w:tcMar>
                    <w:left w:w="28" w:type="dxa"/>
                    <w:right w:w="28" w:type="dxa"/>
                  </w:tcMar>
                  <w:vAlign w:val="center"/>
                </w:tcPr>
                <w:p w14:paraId="0AC87372">
                  <w:pPr>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6.5</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m</w:t>
                  </w:r>
                </w:p>
              </w:tc>
              <w:tc>
                <w:tcPr>
                  <w:tcW w:w="1174" w:type="dxa"/>
                  <w:shd w:val="clear" w:color="auto" w:fill="FFFFFF"/>
                  <w:noWrap/>
                  <w:tcMar>
                    <w:left w:w="28" w:type="dxa"/>
                    <w:right w:w="28" w:type="dxa"/>
                  </w:tcMar>
                  <w:vAlign w:val="center"/>
                </w:tcPr>
                <w:p w14:paraId="343D7D0C">
                  <w:pPr>
                    <w:jc w:val="center"/>
                    <w:rPr>
                      <w:rFonts w:hint="eastAsia"/>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2623" w:type="dxa"/>
                  <w:shd w:val="clear" w:color="auto" w:fill="FFFFFF"/>
                  <w:noWrap/>
                  <w:tcMar>
                    <w:left w:w="28" w:type="dxa"/>
                    <w:right w:w="28" w:type="dxa"/>
                  </w:tcMar>
                  <w:vAlign w:val="center"/>
                </w:tcPr>
                <w:p w14:paraId="282E4EBF">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流平固化、上件至烘架</w:t>
                  </w:r>
                </w:p>
              </w:tc>
            </w:tr>
            <w:tr w14:paraId="06AD19E3">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492" w:type="dxa"/>
                  <w:vMerge w:val="continue"/>
                  <w:shd w:val="clear" w:color="auto" w:fill="FFFFFF"/>
                  <w:noWrap/>
                  <w:tcMar>
                    <w:left w:w="28" w:type="dxa"/>
                    <w:right w:w="28" w:type="dxa"/>
                  </w:tcMar>
                  <w:vAlign w:val="center"/>
                </w:tcPr>
                <w:p w14:paraId="395EB238">
                  <w:pPr>
                    <w:jc w:val="center"/>
                    <w:rPr>
                      <w:rFonts w:hint="eastAsia" w:eastAsia="宋体"/>
                      <w:color w:val="000000" w:themeColor="text1"/>
                      <w:szCs w:val="21"/>
                      <w:highlight w:val="none"/>
                      <w:lang w:val="en-US" w:eastAsia="zh-CN"/>
                      <w14:textFill>
                        <w14:solidFill>
                          <w14:schemeClr w14:val="tx1"/>
                        </w14:solidFill>
                      </w14:textFill>
                    </w:rPr>
                  </w:pPr>
                </w:p>
              </w:tc>
              <w:tc>
                <w:tcPr>
                  <w:tcW w:w="556" w:type="dxa"/>
                  <w:vMerge w:val="restart"/>
                  <w:shd w:val="clear" w:color="auto" w:fill="FFFFFF"/>
                  <w:noWrap/>
                  <w:tcMar>
                    <w:left w:w="28" w:type="dxa"/>
                    <w:right w:w="28" w:type="dxa"/>
                  </w:tcMar>
                  <w:vAlign w:val="center"/>
                </w:tcPr>
                <w:p w14:paraId="3FA099A8">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烘干</w:t>
                  </w:r>
                </w:p>
              </w:tc>
              <w:tc>
                <w:tcPr>
                  <w:tcW w:w="2221" w:type="dxa"/>
                  <w:shd w:val="clear" w:color="auto" w:fill="FFFFFF"/>
                  <w:noWrap/>
                  <w:tcMar>
                    <w:left w:w="28" w:type="dxa"/>
                    <w:right w:w="28" w:type="dxa"/>
                  </w:tcMar>
                  <w:vAlign w:val="center"/>
                </w:tcPr>
                <w:p w14:paraId="7F5DEB4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烘箱</w:t>
                  </w:r>
                </w:p>
              </w:tc>
              <w:tc>
                <w:tcPr>
                  <w:tcW w:w="1250" w:type="dxa"/>
                  <w:shd w:val="clear" w:color="auto" w:fill="FFFFFF"/>
                  <w:noWrap/>
                  <w:tcMar>
                    <w:left w:w="28" w:type="dxa"/>
                    <w:right w:w="28" w:type="dxa"/>
                  </w:tcMar>
                  <w:vAlign w:val="center"/>
                </w:tcPr>
                <w:p w14:paraId="3F38BB9D">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4.2</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2.4</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m</w:t>
                  </w:r>
                </w:p>
              </w:tc>
              <w:tc>
                <w:tcPr>
                  <w:tcW w:w="1174" w:type="dxa"/>
                  <w:shd w:val="clear" w:color="auto" w:fill="FFFFFF"/>
                  <w:noWrap/>
                  <w:tcMar>
                    <w:left w:w="28" w:type="dxa"/>
                    <w:right w:w="28" w:type="dxa"/>
                  </w:tcMar>
                  <w:vAlign w:val="center"/>
                </w:tcPr>
                <w:p w14:paraId="47AA4180">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p>
              </w:tc>
              <w:tc>
                <w:tcPr>
                  <w:tcW w:w="2623" w:type="dxa"/>
                  <w:vMerge w:val="restart"/>
                  <w:shd w:val="clear" w:color="auto" w:fill="FFFFFF"/>
                  <w:noWrap/>
                  <w:tcMar>
                    <w:left w:w="28" w:type="dxa"/>
                    <w:right w:w="28" w:type="dxa"/>
                  </w:tcMar>
                  <w:vAlign w:val="center"/>
                </w:tcPr>
                <w:p w14:paraId="54268761">
                  <w:pPr>
                    <w:jc w:val="both"/>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天然气</w:t>
                  </w:r>
                  <w:r>
                    <w:rPr>
                      <w:color w:val="000000" w:themeColor="text1"/>
                      <w:szCs w:val="21"/>
                      <w:highlight w:val="none"/>
                      <w14:textFill>
                        <w14:solidFill>
                          <w14:schemeClr w14:val="tx1"/>
                        </w14:solidFill>
                      </w14:textFill>
                    </w:rPr>
                    <w:t>加热，热风循环式烤炉，烘烤温度约</w:t>
                  </w:r>
                  <w:r>
                    <w:rPr>
                      <w:rFonts w:hint="eastAsia"/>
                      <w:color w:val="000000" w:themeColor="text1"/>
                      <w:szCs w:val="21"/>
                      <w:highlight w:val="none"/>
                      <w:lang w:val="en-US" w:eastAsia="zh-CN"/>
                      <w14:textFill>
                        <w14:solidFill>
                          <w14:schemeClr w14:val="tx1"/>
                        </w14:solidFill>
                      </w14:textFill>
                    </w:rPr>
                    <w:t>7</w:t>
                  </w:r>
                  <w:r>
                    <w:rPr>
                      <w:color w:val="000000" w:themeColor="text1"/>
                      <w:szCs w:val="21"/>
                      <w:highlight w:val="none"/>
                      <w14:textFill>
                        <w14:solidFill>
                          <w14:schemeClr w14:val="tx1"/>
                        </w14:solidFill>
                      </w14:textFill>
                    </w:rPr>
                    <w:t>0℃</w:t>
                  </w:r>
                </w:p>
              </w:tc>
            </w:tr>
            <w:tr w14:paraId="263545F9">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307" w:hRule="atLeast"/>
                <w:jc w:val="center"/>
              </w:trPr>
              <w:tc>
                <w:tcPr>
                  <w:tcW w:w="492" w:type="dxa"/>
                  <w:vMerge w:val="continue"/>
                  <w:shd w:val="clear" w:color="auto" w:fill="FFFFFF"/>
                  <w:noWrap/>
                  <w:tcMar>
                    <w:left w:w="28" w:type="dxa"/>
                    <w:right w:w="28" w:type="dxa"/>
                  </w:tcMar>
                  <w:vAlign w:val="center"/>
                </w:tcPr>
                <w:p w14:paraId="17AF9289">
                  <w:pPr>
                    <w:jc w:val="center"/>
                    <w:rPr>
                      <w:rFonts w:hint="eastAsia" w:eastAsia="宋体"/>
                      <w:color w:val="000000" w:themeColor="text1"/>
                      <w:szCs w:val="21"/>
                      <w:highlight w:val="none"/>
                      <w:lang w:val="en-US" w:eastAsia="zh-CN"/>
                      <w14:textFill>
                        <w14:solidFill>
                          <w14:schemeClr w14:val="tx1"/>
                        </w14:solidFill>
                      </w14:textFill>
                    </w:rPr>
                  </w:pPr>
                </w:p>
              </w:tc>
              <w:tc>
                <w:tcPr>
                  <w:tcW w:w="556" w:type="dxa"/>
                  <w:vMerge w:val="continue"/>
                  <w:shd w:val="clear" w:color="auto" w:fill="FFFFFF"/>
                  <w:noWrap/>
                  <w:tcMar>
                    <w:left w:w="28" w:type="dxa"/>
                    <w:right w:w="28" w:type="dxa"/>
                  </w:tcMar>
                  <w:vAlign w:val="center"/>
                </w:tcPr>
                <w:p w14:paraId="42AFC332">
                  <w:pPr>
                    <w:jc w:val="center"/>
                    <w:rPr>
                      <w:rFonts w:hint="eastAsia"/>
                      <w:color w:val="000000" w:themeColor="text1"/>
                      <w:szCs w:val="21"/>
                      <w:highlight w:val="none"/>
                      <w:lang w:val="en-US" w:eastAsia="zh-CN"/>
                      <w14:textFill>
                        <w14:solidFill>
                          <w14:schemeClr w14:val="tx1"/>
                        </w14:solidFill>
                      </w14:textFill>
                    </w:rPr>
                  </w:pPr>
                </w:p>
              </w:tc>
              <w:tc>
                <w:tcPr>
                  <w:tcW w:w="2221" w:type="dxa"/>
                  <w:shd w:val="clear" w:color="auto" w:fill="FFFFFF"/>
                  <w:noWrap/>
                  <w:tcMar>
                    <w:left w:w="28" w:type="dxa"/>
                    <w:right w:w="28" w:type="dxa"/>
                  </w:tcMar>
                  <w:vAlign w:val="center"/>
                </w:tcPr>
                <w:p w14:paraId="3390D7FB">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热风炉</w:t>
                  </w:r>
                </w:p>
              </w:tc>
              <w:tc>
                <w:tcPr>
                  <w:tcW w:w="1250" w:type="dxa"/>
                  <w:shd w:val="clear" w:color="auto" w:fill="FFFFFF"/>
                  <w:noWrap/>
                  <w:tcMar>
                    <w:left w:w="28" w:type="dxa"/>
                    <w:right w:w="28" w:type="dxa"/>
                  </w:tcMar>
                  <w:vAlign w:val="center"/>
                </w:tcPr>
                <w:p w14:paraId="65A7722B">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1174" w:type="dxa"/>
                  <w:shd w:val="clear" w:color="auto" w:fill="FFFFFF"/>
                  <w:noWrap/>
                  <w:tcMar>
                    <w:left w:w="28" w:type="dxa"/>
                    <w:right w:w="28" w:type="dxa"/>
                  </w:tcMar>
                  <w:vAlign w:val="center"/>
                </w:tcPr>
                <w:p w14:paraId="5C0887FB">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2623" w:type="dxa"/>
                  <w:vMerge w:val="continue"/>
                  <w:shd w:val="clear" w:color="auto" w:fill="FFFFFF"/>
                  <w:noWrap/>
                  <w:tcMar>
                    <w:left w:w="28" w:type="dxa"/>
                    <w:right w:w="28" w:type="dxa"/>
                  </w:tcMar>
                  <w:vAlign w:val="center"/>
                </w:tcPr>
                <w:p w14:paraId="665D21E0">
                  <w:pPr>
                    <w:jc w:val="both"/>
                    <w:rPr>
                      <w:rFonts w:hint="eastAsia"/>
                      <w:color w:val="000000" w:themeColor="text1"/>
                      <w:szCs w:val="21"/>
                      <w:highlight w:val="none"/>
                      <w:lang w:val="en-US" w:eastAsia="zh-CN"/>
                      <w14:textFill>
                        <w14:solidFill>
                          <w14:schemeClr w14:val="tx1"/>
                        </w14:solidFill>
                      </w14:textFill>
                    </w:rPr>
                  </w:pPr>
                </w:p>
              </w:tc>
            </w:tr>
            <w:tr w14:paraId="5DE3D5D6">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492" w:type="dxa"/>
                  <w:vMerge w:val="continue"/>
                  <w:shd w:val="clear" w:color="auto" w:fill="FFFFFF"/>
                  <w:noWrap/>
                  <w:tcMar>
                    <w:left w:w="28" w:type="dxa"/>
                    <w:right w:w="28" w:type="dxa"/>
                  </w:tcMar>
                  <w:vAlign w:val="center"/>
                </w:tcPr>
                <w:p w14:paraId="1F48ADB1">
                  <w:pPr>
                    <w:jc w:val="center"/>
                    <w:rPr>
                      <w:rFonts w:hint="eastAsia" w:eastAsia="宋体"/>
                      <w:color w:val="000000" w:themeColor="text1"/>
                      <w:szCs w:val="21"/>
                      <w:highlight w:val="none"/>
                      <w:lang w:val="en-US" w:eastAsia="zh-CN"/>
                      <w14:textFill>
                        <w14:solidFill>
                          <w14:schemeClr w14:val="tx1"/>
                        </w14:solidFill>
                      </w14:textFill>
                    </w:rPr>
                  </w:pPr>
                </w:p>
              </w:tc>
              <w:tc>
                <w:tcPr>
                  <w:tcW w:w="556" w:type="dxa"/>
                  <w:shd w:val="clear" w:color="auto" w:fill="FFFFFF"/>
                  <w:noWrap/>
                  <w:tcMar>
                    <w:left w:w="28" w:type="dxa"/>
                    <w:right w:w="28" w:type="dxa"/>
                  </w:tcMar>
                  <w:vAlign w:val="center"/>
                </w:tcPr>
                <w:p w14:paraId="0FF7022B">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抛光</w:t>
                  </w:r>
                </w:p>
              </w:tc>
              <w:tc>
                <w:tcPr>
                  <w:tcW w:w="2221" w:type="dxa"/>
                  <w:shd w:val="clear" w:color="auto" w:fill="FFFFFF"/>
                  <w:noWrap/>
                  <w:tcMar>
                    <w:left w:w="28" w:type="dxa"/>
                    <w:right w:w="28" w:type="dxa"/>
                  </w:tcMar>
                  <w:vAlign w:val="center"/>
                </w:tcPr>
                <w:p w14:paraId="7135454F">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小型手动抛光机</w:t>
                  </w:r>
                </w:p>
              </w:tc>
              <w:tc>
                <w:tcPr>
                  <w:tcW w:w="1250" w:type="dxa"/>
                  <w:shd w:val="clear" w:color="auto" w:fill="FFFFFF"/>
                  <w:noWrap/>
                  <w:tcMar>
                    <w:left w:w="28" w:type="dxa"/>
                    <w:right w:w="28" w:type="dxa"/>
                  </w:tcMar>
                  <w:vAlign w:val="center"/>
                </w:tcPr>
                <w:p w14:paraId="06D8E3E3">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1174" w:type="dxa"/>
                  <w:shd w:val="clear" w:color="auto" w:fill="FFFFFF"/>
                  <w:noWrap/>
                  <w:tcMar>
                    <w:left w:w="28" w:type="dxa"/>
                    <w:right w:w="28" w:type="dxa"/>
                  </w:tcMar>
                  <w:vAlign w:val="center"/>
                </w:tcPr>
                <w:p w14:paraId="40A22908">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p>
              </w:tc>
              <w:tc>
                <w:tcPr>
                  <w:tcW w:w="2623" w:type="dxa"/>
                  <w:shd w:val="clear" w:color="auto" w:fill="FFFFFF"/>
                  <w:noWrap/>
                  <w:tcMar>
                    <w:left w:w="28" w:type="dxa"/>
                    <w:right w:w="28" w:type="dxa"/>
                  </w:tcMar>
                  <w:vAlign w:val="center"/>
                </w:tcPr>
                <w:p w14:paraId="4EC24DBD">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14:paraId="43D82D2A">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68" w:hRule="atLeast"/>
                <w:jc w:val="center"/>
              </w:trPr>
              <w:tc>
                <w:tcPr>
                  <w:tcW w:w="492" w:type="dxa"/>
                  <w:vMerge w:val="restart"/>
                  <w:shd w:val="clear" w:color="auto" w:fill="FFFFFF"/>
                  <w:noWrap/>
                  <w:tcMar>
                    <w:left w:w="28" w:type="dxa"/>
                    <w:right w:w="28" w:type="dxa"/>
                  </w:tcMar>
                  <w:vAlign w:val="center"/>
                </w:tcPr>
                <w:p w14:paraId="661A4AB1">
                  <w:pPr>
                    <w:jc w:val="center"/>
                    <w:rPr>
                      <w:color w:val="000000" w:themeColor="text1"/>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2#生产线</w:t>
                  </w:r>
                </w:p>
              </w:tc>
              <w:tc>
                <w:tcPr>
                  <w:tcW w:w="556" w:type="dxa"/>
                  <w:shd w:val="clear" w:color="auto" w:fill="FFFFFF"/>
                  <w:noWrap/>
                  <w:tcMar>
                    <w:left w:w="28" w:type="dxa"/>
                    <w:right w:w="28" w:type="dxa"/>
                  </w:tcMar>
                  <w:vAlign w:val="center"/>
                </w:tcPr>
                <w:p w14:paraId="2107C7C8">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除尘</w:t>
                  </w:r>
                </w:p>
              </w:tc>
              <w:tc>
                <w:tcPr>
                  <w:tcW w:w="2221" w:type="dxa"/>
                  <w:shd w:val="clear" w:color="auto" w:fill="FFFFFF"/>
                  <w:noWrap/>
                  <w:tcMar>
                    <w:left w:w="28" w:type="dxa"/>
                    <w:right w:w="28" w:type="dxa"/>
                  </w:tcMar>
                  <w:vAlign w:val="center"/>
                </w:tcPr>
                <w:p w14:paraId="00D65D7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手动除尘柜</w:t>
                  </w:r>
                </w:p>
              </w:tc>
              <w:tc>
                <w:tcPr>
                  <w:tcW w:w="1250" w:type="dxa"/>
                  <w:shd w:val="clear" w:color="auto" w:fill="FFFFFF"/>
                  <w:noWrap/>
                  <w:tcMar>
                    <w:left w:w="28" w:type="dxa"/>
                    <w:right w:w="28" w:type="dxa"/>
                  </w:tcMar>
                  <w:vAlign w:val="center"/>
                </w:tcPr>
                <w:p w14:paraId="0517E48E">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m</w:t>
                  </w:r>
                </w:p>
              </w:tc>
              <w:tc>
                <w:tcPr>
                  <w:tcW w:w="1174" w:type="dxa"/>
                  <w:shd w:val="clear" w:color="auto" w:fill="FFFFFF"/>
                  <w:noWrap/>
                  <w:tcMar>
                    <w:left w:w="28" w:type="dxa"/>
                    <w:right w:w="28" w:type="dxa"/>
                  </w:tcMar>
                  <w:vAlign w:val="center"/>
                </w:tcPr>
                <w:p w14:paraId="3AC241F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2623" w:type="dxa"/>
                  <w:shd w:val="clear" w:color="auto" w:fill="FFFFFF"/>
                  <w:noWrap/>
                  <w:tcMar>
                    <w:left w:w="28" w:type="dxa"/>
                    <w:right w:w="28" w:type="dxa"/>
                  </w:tcMar>
                  <w:vAlign w:val="center"/>
                </w:tcPr>
                <w:p w14:paraId="780C6EB3">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静电除尘，除尘柜上方设置过滤棉</w:t>
                  </w:r>
                </w:p>
              </w:tc>
            </w:tr>
            <w:tr w14:paraId="49A82D4A">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68" w:hRule="atLeast"/>
                <w:jc w:val="center"/>
              </w:trPr>
              <w:tc>
                <w:tcPr>
                  <w:tcW w:w="492" w:type="dxa"/>
                  <w:vMerge w:val="continue"/>
                  <w:shd w:val="clear" w:color="auto" w:fill="FFFFFF"/>
                  <w:noWrap/>
                  <w:tcMar>
                    <w:left w:w="28" w:type="dxa"/>
                    <w:right w:w="28" w:type="dxa"/>
                  </w:tcMar>
                  <w:vAlign w:val="center"/>
                </w:tcPr>
                <w:p w14:paraId="3C95A205">
                  <w:pPr>
                    <w:jc w:val="center"/>
                    <w:rPr>
                      <w:color w:val="000000" w:themeColor="text1"/>
                      <w14:textFill>
                        <w14:solidFill>
                          <w14:schemeClr w14:val="tx1"/>
                        </w14:solidFill>
                      </w14:textFill>
                    </w:rPr>
                  </w:pPr>
                </w:p>
              </w:tc>
              <w:tc>
                <w:tcPr>
                  <w:tcW w:w="556" w:type="dxa"/>
                  <w:vMerge w:val="restart"/>
                  <w:shd w:val="clear" w:color="auto" w:fill="FFFFFF"/>
                  <w:noWrap/>
                  <w:tcMar>
                    <w:left w:w="28" w:type="dxa"/>
                    <w:right w:w="28" w:type="dxa"/>
                  </w:tcMar>
                  <w:vAlign w:val="center"/>
                </w:tcPr>
                <w:p w14:paraId="2BD7F03A">
                  <w:pPr>
                    <w:jc w:val="center"/>
                    <w:rPr>
                      <w:color w:val="000000" w:themeColor="text1"/>
                      <w14:textFill>
                        <w14:solidFill>
                          <w14:schemeClr w14:val="tx1"/>
                        </w14:solidFill>
                      </w14:textFill>
                    </w:rPr>
                  </w:pPr>
                  <w:r>
                    <w:rPr>
                      <w:color w:val="000000" w:themeColor="text1"/>
                      <w:szCs w:val="21"/>
                      <w:highlight w:val="none"/>
                      <w14:textFill>
                        <w14:solidFill>
                          <w14:schemeClr w14:val="tx1"/>
                        </w14:solidFill>
                      </w14:textFill>
                    </w:rPr>
                    <w:t>喷涂</w:t>
                  </w:r>
                </w:p>
              </w:tc>
              <w:tc>
                <w:tcPr>
                  <w:tcW w:w="2221" w:type="dxa"/>
                  <w:shd w:val="clear" w:color="auto" w:fill="FFFFFF"/>
                  <w:noWrap/>
                  <w:tcMar>
                    <w:left w:w="28" w:type="dxa"/>
                    <w:right w:w="28" w:type="dxa"/>
                  </w:tcMar>
                  <w:vAlign w:val="center"/>
                </w:tcPr>
                <w:p w14:paraId="297534ED">
                  <w:pPr>
                    <w:tabs>
                      <w:tab w:val="left" w:pos="409"/>
                      <w:tab w:val="center" w:pos="683"/>
                    </w:tabs>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喷漆</w:t>
                  </w:r>
                  <w:r>
                    <w:rPr>
                      <w:rFonts w:hint="eastAsia"/>
                      <w:color w:val="000000" w:themeColor="text1"/>
                      <w:szCs w:val="21"/>
                      <w:highlight w:val="none"/>
                      <w:lang w:val="en-US" w:eastAsia="zh-CN"/>
                      <w14:textFill>
                        <w14:solidFill>
                          <w14:schemeClr w14:val="tx1"/>
                        </w14:solidFill>
                      </w14:textFill>
                    </w:rPr>
                    <w:t>工位</w:t>
                  </w:r>
                </w:p>
              </w:tc>
              <w:tc>
                <w:tcPr>
                  <w:tcW w:w="1250" w:type="dxa"/>
                  <w:shd w:val="clear" w:color="auto" w:fill="FFFFFF"/>
                  <w:noWrap/>
                  <w:tcMar>
                    <w:left w:w="28" w:type="dxa"/>
                    <w:right w:w="28" w:type="dxa"/>
                  </w:tcMar>
                  <w:vAlign w:val="center"/>
                </w:tcPr>
                <w:p w14:paraId="679AC22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2.5</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2.5</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m</w:t>
                  </w:r>
                </w:p>
              </w:tc>
              <w:tc>
                <w:tcPr>
                  <w:tcW w:w="1174" w:type="dxa"/>
                  <w:shd w:val="clear" w:color="auto" w:fill="FFFFFF"/>
                  <w:noWrap/>
                  <w:tcMar>
                    <w:left w:w="28" w:type="dxa"/>
                    <w:right w:w="28" w:type="dxa"/>
                  </w:tcMar>
                  <w:vAlign w:val="center"/>
                </w:tcPr>
                <w:p w14:paraId="75303FD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p>
              </w:tc>
              <w:tc>
                <w:tcPr>
                  <w:tcW w:w="2623" w:type="dxa"/>
                  <w:shd w:val="clear" w:color="auto" w:fill="FFFFFF"/>
                  <w:noWrap/>
                  <w:tcMar>
                    <w:left w:w="28" w:type="dxa"/>
                    <w:right w:w="28" w:type="dxa"/>
                  </w:tcMar>
                  <w:vAlign w:val="center"/>
                </w:tcPr>
                <w:p w14:paraId="172EEB42">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2用1备</w:t>
                  </w:r>
                </w:p>
              </w:tc>
            </w:tr>
            <w:tr w14:paraId="220CADAD">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68" w:hRule="atLeast"/>
                <w:jc w:val="center"/>
              </w:trPr>
              <w:tc>
                <w:tcPr>
                  <w:tcW w:w="492" w:type="dxa"/>
                  <w:vMerge w:val="continue"/>
                  <w:shd w:val="clear" w:color="auto" w:fill="FFFFFF"/>
                  <w:noWrap/>
                  <w:tcMar>
                    <w:left w:w="28" w:type="dxa"/>
                    <w:right w:w="28" w:type="dxa"/>
                  </w:tcMar>
                  <w:vAlign w:val="center"/>
                </w:tcPr>
                <w:p w14:paraId="21D74EE7">
                  <w:pPr>
                    <w:jc w:val="center"/>
                    <w:rPr>
                      <w:rFonts w:hint="eastAsia"/>
                      <w:color w:val="000000" w:themeColor="text1"/>
                      <w:szCs w:val="21"/>
                      <w:highlight w:val="none"/>
                      <w:lang w:val="en-US" w:eastAsia="zh-CN"/>
                      <w14:textFill>
                        <w14:solidFill>
                          <w14:schemeClr w14:val="tx1"/>
                        </w14:solidFill>
                      </w14:textFill>
                    </w:rPr>
                  </w:pPr>
                </w:p>
              </w:tc>
              <w:tc>
                <w:tcPr>
                  <w:tcW w:w="556" w:type="dxa"/>
                  <w:vMerge w:val="continue"/>
                  <w:shd w:val="clear" w:color="auto" w:fill="FFFFFF"/>
                  <w:noWrap/>
                  <w:tcMar>
                    <w:left w:w="28" w:type="dxa"/>
                    <w:right w:w="28" w:type="dxa"/>
                  </w:tcMar>
                  <w:vAlign w:val="center"/>
                </w:tcPr>
                <w:p w14:paraId="669FC95B">
                  <w:pPr>
                    <w:jc w:val="center"/>
                    <w:rPr>
                      <w:rFonts w:hint="eastAsia"/>
                      <w:color w:val="000000" w:themeColor="text1"/>
                      <w:szCs w:val="21"/>
                      <w:highlight w:val="none"/>
                      <w:lang w:val="en-US" w:eastAsia="zh-CN"/>
                      <w14:textFill>
                        <w14:solidFill>
                          <w14:schemeClr w14:val="tx1"/>
                        </w14:solidFill>
                      </w14:textFill>
                    </w:rPr>
                  </w:pPr>
                </w:p>
              </w:tc>
              <w:tc>
                <w:tcPr>
                  <w:tcW w:w="2221" w:type="dxa"/>
                  <w:shd w:val="clear" w:color="auto" w:fill="FFFFFF"/>
                  <w:noWrap/>
                  <w:tcMar>
                    <w:left w:w="28" w:type="dxa"/>
                    <w:right w:w="28" w:type="dxa"/>
                  </w:tcMar>
                  <w:vAlign w:val="center"/>
                </w:tcPr>
                <w:p w14:paraId="2636BF1B">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喷枪</w:t>
                  </w:r>
                </w:p>
              </w:tc>
              <w:tc>
                <w:tcPr>
                  <w:tcW w:w="1250" w:type="dxa"/>
                  <w:shd w:val="clear" w:color="auto" w:fill="FFFFFF"/>
                  <w:noWrap/>
                  <w:tcMar>
                    <w:left w:w="28" w:type="dxa"/>
                    <w:right w:w="28" w:type="dxa"/>
                  </w:tcMar>
                  <w:vAlign w:val="center"/>
                </w:tcPr>
                <w:p w14:paraId="46A5436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w:t>
                  </w:r>
                </w:p>
              </w:tc>
              <w:tc>
                <w:tcPr>
                  <w:tcW w:w="1174" w:type="dxa"/>
                  <w:shd w:val="clear" w:color="auto" w:fill="FFFFFF"/>
                  <w:noWrap/>
                  <w:tcMar>
                    <w:left w:w="28" w:type="dxa"/>
                    <w:right w:w="28" w:type="dxa"/>
                  </w:tcMar>
                  <w:vAlign w:val="center"/>
                </w:tcPr>
                <w:p w14:paraId="1CF08A3C">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p>
              </w:tc>
              <w:tc>
                <w:tcPr>
                  <w:tcW w:w="2623" w:type="dxa"/>
                  <w:shd w:val="clear" w:color="auto" w:fill="FFFFFF"/>
                  <w:noWrap/>
                  <w:tcMar>
                    <w:left w:w="28" w:type="dxa"/>
                    <w:right w:w="28" w:type="dxa"/>
                  </w:tcMar>
                  <w:vAlign w:val="center"/>
                </w:tcPr>
                <w:p w14:paraId="26FE58C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喷料最大喷出量为</w:t>
                  </w:r>
                  <w:r>
                    <w:rPr>
                      <w:rFonts w:hint="eastAsia"/>
                      <w:color w:val="000000" w:themeColor="text1"/>
                      <w:szCs w:val="21"/>
                      <w:highlight w:val="none"/>
                      <w:lang w:val="en-US" w:eastAsia="zh-CN"/>
                      <w14:textFill>
                        <w14:solidFill>
                          <w14:schemeClr w14:val="tx1"/>
                        </w14:solidFill>
                      </w14:textFill>
                    </w:rPr>
                    <w:t>140</w:t>
                  </w:r>
                  <w:r>
                    <w:rPr>
                      <w:color w:val="000000" w:themeColor="text1"/>
                      <w:szCs w:val="21"/>
                      <w:highlight w:val="none"/>
                      <w14:textFill>
                        <w14:solidFill>
                          <w14:schemeClr w14:val="tx1"/>
                        </w14:solidFill>
                      </w14:textFill>
                    </w:rPr>
                    <w:t>ml/min</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2用1备</w:t>
                  </w:r>
                </w:p>
              </w:tc>
            </w:tr>
            <w:tr w14:paraId="0C9D4557">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68" w:hRule="atLeast"/>
                <w:jc w:val="center"/>
              </w:trPr>
              <w:tc>
                <w:tcPr>
                  <w:tcW w:w="492" w:type="dxa"/>
                  <w:vMerge w:val="continue"/>
                  <w:shd w:val="clear" w:color="auto" w:fill="FFFFFF"/>
                  <w:noWrap/>
                  <w:tcMar>
                    <w:left w:w="28" w:type="dxa"/>
                    <w:right w:w="28" w:type="dxa"/>
                  </w:tcMar>
                  <w:vAlign w:val="center"/>
                </w:tcPr>
                <w:p w14:paraId="7D6855D0">
                  <w:pPr>
                    <w:jc w:val="center"/>
                    <w:rPr>
                      <w:rFonts w:hint="eastAsia"/>
                      <w:color w:val="000000" w:themeColor="text1"/>
                      <w:szCs w:val="21"/>
                      <w:highlight w:val="none"/>
                      <w:lang w:val="en-US" w:eastAsia="zh-CN"/>
                      <w14:textFill>
                        <w14:solidFill>
                          <w14:schemeClr w14:val="tx1"/>
                        </w14:solidFill>
                      </w14:textFill>
                    </w:rPr>
                  </w:pPr>
                </w:p>
              </w:tc>
              <w:tc>
                <w:tcPr>
                  <w:tcW w:w="556" w:type="dxa"/>
                  <w:vMerge w:val="continue"/>
                  <w:shd w:val="clear" w:color="auto" w:fill="FFFFFF"/>
                  <w:noWrap/>
                  <w:tcMar>
                    <w:left w:w="28" w:type="dxa"/>
                    <w:right w:w="28" w:type="dxa"/>
                  </w:tcMar>
                  <w:vAlign w:val="center"/>
                </w:tcPr>
                <w:p w14:paraId="2AF9A896">
                  <w:pPr>
                    <w:jc w:val="center"/>
                    <w:rPr>
                      <w:rFonts w:hint="eastAsia"/>
                      <w:color w:val="000000" w:themeColor="text1"/>
                      <w:szCs w:val="21"/>
                      <w:highlight w:val="none"/>
                      <w:lang w:val="en-US" w:eastAsia="zh-CN"/>
                      <w14:textFill>
                        <w14:solidFill>
                          <w14:schemeClr w14:val="tx1"/>
                        </w14:solidFill>
                      </w14:textFill>
                    </w:rPr>
                  </w:pPr>
                </w:p>
              </w:tc>
              <w:tc>
                <w:tcPr>
                  <w:tcW w:w="2221" w:type="dxa"/>
                  <w:shd w:val="clear" w:color="auto" w:fill="FFFFFF"/>
                  <w:noWrap/>
                  <w:tcMar>
                    <w:left w:w="28" w:type="dxa"/>
                    <w:right w:w="28" w:type="dxa"/>
                  </w:tcMar>
                  <w:vAlign w:val="center"/>
                </w:tcPr>
                <w:p w14:paraId="575E09E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气动升降自动供漆系统</w:t>
                  </w:r>
                </w:p>
              </w:tc>
              <w:tc>
                <w:tcPr>
                  <w:tcW w:w="1250" w:type="dxa"/>
                  <w:shd w:val="clear" w:color="auto" w:fill="FFFFFF"/>
                  <w:noWrap/>
                  <w:tcMar>
                    <w:left w:w="28" w:type="dxa"/>
                    <w:right w:w="28" w:type="dxa"/>
                  </w:tcMar>
                  <w:vAlign w:val="center"/>
                </w:tcPr>
                <w:p w14:paraId="002C659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SC50×400</w:t>
                  </w:r>
                </w:p>
              </w:tc>
              <w:tc>
                <w:tcPr>
                  <w:tcW w:w="1174" w:type="dxa"/>
                  <w:shd w:val="clear" w:color="auto" w:fill="FFFFFF"/>
                  <w:noWrap/>
                  <w:tcMar>
                    <w:left w:w="28" w:type="dxa"/>
                    <w:right w:w="28" w:type="dxa"/>
                  </w:tcMar>
                  <w:vAlign w:val="center"/>
                </w:tcPr>
                <w:p w14:paraId="7A441CFB">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p>
              </w:tc>
              <w:tc>
                <w:tcPr>
                  <w:tcW w:w="2623" w:type="dxa"/>
                  <w:shd w:val="clear" w:color="auto" w:fill="FFFFFF"/>
                  <w:noWrap/>
                  <w:tcMar>
                    <w:left w:w="28" w:type="dxa"/>
                    <w:right w:w="28" w:type="dxa"/>
                  </w:tcMar>
                  <w:vAlign w:val="center"/>
                </w:tcPr>
                <w:p w14:paraId="58399A6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w:t>
                  </w:r>
                </w:p>
              </w:tc>
            </w:tr>
            <w:tr w14:paraId="14A43F6A">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68" w:hRule="atLeast"/>
                <w:jc w:val="center"/>
              </w:trPr>
              <w:tc>
                <w:tcPr>
                  <w:tcW w:w="492" w:type="dxa"/>
                  <w:vMerge w:val="continue"/>
                  <w:shd w:val="clear" w:color="auto" w:fill="FFFFFF"/>
                  <w:noWrap/>
                  <w:tcMar>
                    <w:left w:w="28" w:type="dxa"/>
                    <w:right w:w="28" w:type="dxa"/>
                  </w:tcMar>
                  <w:vAlign w:val="center"/>
                </w:tcPr>
                <w:p w14:paraId="1804E007">
                  <w:pPr>
                    <w:jc w:val="center"/>
                    <w:rPr>
                      <w:rFonts w:hint="eastAsia"/>
                      <w:color w:val="000000" w:themeColor="text1"/>
                      <w:szCs w:val="21"/>
                      <w:highlight w:val="none"/>
                      <w:lang w:val="en-US" w:eastAsia="zh-CN"/>
                      <w14:textFill>
                        <w14:solidFill>
                          <w14:schemeClr w14:val="tx1"/>
                        </w14:solidFill>
                      </w14:textFill>
                    </w:rPr>
                  </w:pPr>
                </w:p>
              </w:tc>
              <w:tc>
                <w:tcPr>
                  <w:tcW w:w="556" w:type="dxa"/>
                  <w:vMerge w:val="restart"/>
                  <w:shd w:val="clear" w:color="auto" w:fill="FFFFFF"/>
                  <w:noWrap/>
                  <w:tcMar>
                    <w:left w:w="28" w:type="dxa"/>
                    <w:right w:w="28" w:type="dxa"/>
                  </w:tcMar>
                  <w:vAlign w:val="center"/>
                </w:tcPr>
                <w:p w14:paraId="79DEC039">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Cs w:val="21"/>
                      <w:highlight w:val="none"/>
                      <w14:textFill>
                        <w14:solidFill>
                          <w14:schemeClr w14:val="tx1"/>
                        </w14:solidFill>
                      </w14:textFill>
                    </w:rPr>
                    <w:t>流平固化</w:t>
                  </w:r>
                </w:p>
                <w:p w14:paraId="000CF718">
                  <w:pPr>
                    <w:jc w:val="center"/>
                    <w:rPr>
                      <w:rFonts w:hint="eastAsia"/>
                      <w:color w:val="000000" w:themeColor="text1"/>
                      <w:szCs w:val="21"/>
                      <w:highlight w:val="none"/>
                      <w:lang w:val="en-US" w:eastAsia="zh-CN"/>
                      <w14:textFill>
                        <w14:solidFill>
                          <w14:schemeClr w14:val="tx1"/>
                        </w14:solidFill>
                      </w14:textFill>
                    </w:rPr>
                  </w:pPr>
                </w:p>
              </w:tc>
              <w:tc>
                <w:tcPr>
                  <w:tcW w:w="2221" w:type="dxa"/>
                  <w:shd w:val="clear" w:color="auto" w:fill="FFFFFF"/>
                  <w:noWrap/>
                  <w:tcMar>
                    <w:left w:w="28" w:type="dxa"/>
                    <w:right w:w="28" w:type="dxa"/>
                  </w:tcMar>
                  <w:vAlign w:val="center"/>
                </w:tcPr>
                <w:p w14:paraId="61AD9187">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不锈钢传送带</w:t>
                  </w:r>
                </w:p>
              </w:tc>
              <w:tc>
                <w:tcPr>
                  <w:tcW w:w="1250" w:type="dxa"/>
                  <w:shd w:val="clear" w:color="auto" w:fill="FFFFFF"/>
                  <w:noWrap/>
                  <w:tcMar>
                    <w:left w:w="28" w:type="dxa"/>
                    <w:right w:w="28" w:type="dxa"/>
                  </w:tcMar>
                  <w:vAlign w:val="center"/>
                </w:tcPr>
                <w:p w14:paraId="3714564F">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30</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1</w:t>
                  </w:r>
                  <w:r>
                    <w:rPr>
                      <w:color w:val="000000" w:themeColor="text1"/>
                      <w:szCs w:val="21"/>
                      <w:highlight w:val="none"/>
                      <w14:textFill>
                        <w14:solidFill>
                          <w14:schemeClr w14:val="tx1"/>
                        </w14:solidFill>
                      </w14:textFill>
                    </w:rPr>
                    <w:t>m</w:t>
                  </w:r>
                </w:p>
              </w:tc>
              <w:tc>
                <w:tcPr>
                  <w:tcW w:w="1174" w:type="dxa"/>
                  <w:shd w:val="clear" w:color="auto" w:fill="FFFFFF"/>
                  <w:noWrap/>
                  <w:tcMar>
                    <w:left w:w="28" w:type="dxa"/>
                    <w:right w:w="28" w:type="dxa"/>
                  </w:tcMar>
                  <w:vAlign w:val="center"/>
                </w:tcPr>
                <w:p w14:paraId="176A66F7">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2623" w:type="dxa"/>
                  <w:shd w:val="clear" w:color="auto" w:fill="FFFFFF"/>
                  <w:noWrap/>
                  <w:tcMar>
                    <w:left w:w="28" w:type="dxa"/>
                    <w:right w:w="28" w:type="dxa"/>
                  </w:tcMar>
                  <w:vAlign w:val="center"/>
                </w:tcPr>
                <w:p w14:paraId="01A18E6E">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工件输送</w:t>
                  </w:r>
                </w:p>
              </w:tc>
            </w:tr>
            <w:tr w14:paraId="5DD4E2F6">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jc w:val="center"/>
              </w:trPr>
              <w:tc>
                <w:tcPr>
                  <w:tcW w:w="492" w:type="dxa"/>
                  <w:vMerge w:val="continue"/>
                  <w:shd w:val="clear" w:color="auto" w:fill="FFFFFF"/>
                  <w:noWrap/>
                  <w:tcMar>
                    <w:left w:w="28" w:type="dxa"/>
                    <w:right w:w="28" w:type="dxa"/>
                  </w:tcMar>
                  <w:vAlign w:val="center"/>
                </w:tcPr>
                <w:p w14:paraId="07A59CBD">
                  <w:pPr>
                    <w:jc w:val="center"/>
                    <w:rPr>
                      <w:rFonts w:hint="eastAsia"/>
                      <w:color w:val="000000" w:themeColor="text1"/>
                      <w:szCs w:val="21"/>
                      <w:highlight w:val="none"/>
                      <w:lang w:val="en-US" w:eastAsia="zh-CN"/>
                      <w14:textFill>
                        <w14:solidFill>
                          <w14:schemeClr w14:val="tx1"/>
                        </w14:solidFill>
                      </w14:textFill>
                    </w:rPr>
                  </w:pPr>
                </w:p>
              </w:tc>
              <w:tc>
                <w:tcPr>
                  <w:tcW w:w="556" w:type="dxa"/>
                  <w:vMerge w:val="continue"/>
                  <w:shd w:val="clear" w:color="auto" w:fill="FFFFFF"/>
                  <w:noWrap/>
                  <w:tcMar>
                    <w:left w:w="28" w:type="dxa"/>
                    <w:right w:w="28" w:type="dxa"/>
                  </w:tcMar>
                  <w:vAlign w:val="center"/>
                </w:tcPr>
                <w:p w14:paraId="738AE2C2">
                  <w:pPr>
                    <w:jc w:val="center"/>
                    <w:rPr>
                      <w:rFonts w:hint="eastAsia"/>
                      <w:color w:val="000000" w:themeColor="text1"/>
                      <w:szCs w:val="21"/>
                      <w:highlight w:val="none"/>
                      <w:lang w:val="en-US" w:eastAsia="zh-CN"/>
                      <w14:textFill>
                        <w14:solidFill>
                          <w14:schemeClr w14:val="tx1"/>
                        </w14:solidFill>
                      </w14:textFill>
                    </w:rPr>
                  </w:pPr>
                </w:p>
              </w:tc>
              <w:tc>
                <w:tcPr>
                  <w:tcW w:w="2221" w:type="dxa"/>
                  <w:shd w:val="clear" w:color="auto" w:fill="FFFFFF"/>
                  <w:noWrap/>
                  <w:tcMar>
                    <w:left w:w="28" w:type="dxa"/>
                    <w:right w:w="28" w:type="dxa"/>
                  </w:tcMar>
                  <w:vAlign w:val="center"/>
                </w:tcPr>
                <w:p w14:paraId="39A38E1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流平固化室</w:t>
                  </w:r>
                </w:p>
              </w:tc>
              <w:tc>
                <w:tcPr>
                  <w:tcW w:w="1250" w:type="dxa"/>
                  <w:shd w:val="clear" w:color="auto" w:fill="FFFFFF"/>
                  <w:noWrap/>
                  <w:tcMar>
                    <w:left w:w="28" w:type="dxa"/>
                    <w:right w:w="28" w:type="dxa"/>
                  </w:tcMar>
                  <w:vAlign w:val="center"/>
                </w:tcPr>
                <w:p w14:paraId="21F13D6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10</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6.5</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m</w:t>
                  </w:r>
                </w:p>
              </w:tc>
              <w:tc>
                <w:tcPr>
                  <w:tcW w:w="1174" w:type="dxa"/>
                  <w:shd w:val="clear" w:color="auto" w:fill="FFFFFF"/>
                  <w:noWrap/>
                  <w:tcMar>
                    <w:left w:w="28" w:type="dxa"/>
                    <w:right w:w="28" w:type="dxa"/>
                  </w:tcMar>
                  <w:vAlign w:val="center"/>
                </w:tcPr>
                <w:p w14:paraId="0B4ABA4C">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2623" w:type="dxa"/>
                  <w:shd w:val="clear" w:color="auto" w:fill="FFFFFF"/>
                  <w:noWrap/>
                  <w:tcMar>
                    <w:left w:w="28" w:type="dxa"/>
                    <w:right w:w="28" w:type="dxa"/>
                  </w:tcMar>
                  <w:vAlign w:val="center"/>
                </w:tcPr>
                <w:p w14:paraId="569B5AAC">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流平固化、上件至烘架</w:t>
                  </w:r>
                </w:p>
              </w:tc>
            </w:tr>
            <w:tr w14:paraId="461BAD5F">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 w:hRule="atLeast"/>
                <w:jc w:val="center"/>
              </w:trPr>
              <w:tc>
                <w:tcPr>
                  <w:tcW w:w="492" w:type="dxa"/>
                  <w:vMerge w:val="continue"/>
                  <w:shd w:val="clear" w:color="auto" w:fill="FFFFFF"/>
                  <w:noWrap/>
                  <w:tcMar>
                    <w:left w:w="28" w:type="dxa"/>
                    <w:right w:w="28" w:type="dxa"/>
                  </w:tcMar>
                  <w:vAlign w:val="center"/>
                </w:tcPr>
                <w:p w14:paraId="02D16027">
                  <w:pPr>
                    <w:jc w:val="center"/>
                    <w:rPr>
                      <w:rFonts w:hint="eastAsia"/>
                      <w:color w:val="000000" w:themeColor="text1"/>
                      <w:szCs w:val="21"/>
                      <w:highlight w:val="none"/>
                      <w:lang w:val="en-US" w:eastAsia="zh-CN"/>
                      <w14:textFill>
                        <w14:solidFill>
                          <w14:schemeClr w14:val="tx1"/>
                        </w14:solidFill>
                      </w14:textFill>
                    </w:rPr>
                  </w:pPr>
                </w:p>
              </w:tc>
              <w:tc>
                <w:tcPr>
                  <w:tcW w:w="556" w:type="dxa"/>
                  <w:vMerge w:val="restart"/>
                  <w:shd w:val="clear" w:color="auto" w:fill="FFFFFF"/>
                  <w:noWrap/>
                  <w:tcMar>
                    <w:left w:w="28" w:type="dxa"/>
                    <w:right w:w="28" w:type="dxa"/>
                  </w:tcMar>
                  <w:vAlign w:val="center"/>
                </w:tcPr>
                <w:p w14:paraId="35D32A47">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烘干</w:t>
                  </w:r>
                </w:p>
              </w:tc>
              <w:tc>
                <w:tcPr>
                  <w:tcW w:w="2221" w:type="dxa"/>
                  <w:shd w:val="clear" w:color="auto" w:fill="FFFFFF"/>
                  <w:noWrap/>
                  <w:tcMar>
                    <w:left w:w="28" w:type="dxa"/>
                    <w:right w:w="28" w:type="dxa"/>
                  </w:tcMar>
                  <w:vAlign w:val="center"/>
                </w:tcPr>
                <w:p w14:paraId="7ABEEAE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烘箱</w:t>
                  </w:r>
                </w:p>
              </w:tc>
              <w:tc>
                <w:tcPr>
                  <w:tcW w:w="1250" w:type="dxa"/>
                  <w:shd w:val="clear" w:color="auto" w:fill="FFFFFF"/>
                  <w:noWrap/>
                  <w:tcMar>
                    <w:left w:w="28" w:type="dxa"/>
                    <w:right w:w="28" w:type="dxa"/>
                  </w:tcMar>
                  <w:vAlign w:val="center"/>
                </w:tcPr>
                <w:p w14:paraId="54CCA4C2">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4.2</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2.4</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w:t>
                  </w:r>
                  <w:r>
                    <w:rPr>
                      <w:color w:val="000000" w:themeColor="text1"/>
                      <w:szCs w:val="21"/>
                      <w:highlight w:val="none"/>
                      <w14:textFill>
                        <w14:solidFill>
                          <w14:schemeClr w14:val="tx1"/>
                        </w14:solidFill>
                      </w14:textFill>
                    </w:rPr>
                    <w:t>m</w:t>
                  </w:r>
                </w:p>
              </w:tc>
              <w:tc>
                <w:tcPr>
                  <w:tcW w:w="1174" w:type="dxa"/>
                  <w:shd w:val="clear" w:color="auto" w:fill="FFFFFF"/>
                  <w:noWrap/>
                  <w:tcMar>
                    <w:left w:w="28" w:type="dxa"/>
                    <w:right w:w="28" w:type="dxa"/>
                  </w:tcMar>
                  <w:vAlign w:val="center"/>
                </w:tcPr>
                <w:p w14:paraId="08CE48B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w:t>
                  </w:r>
                </w:p>
              </w:tc>
              <w:tc>
                <w:tcPr>
                  <w:tcW w:w="2623" w:type="dxa"/>
                  <w:vMerge w:val="restart"/>
                  <w:shd w:val="clear" w:color="auto" w:fill="FFFFFF"/>
                  <w:noWrap/>
                  <w:tcMar>
                    <w:left w:w="28" w:type="dxa"/>
                    <w:right w:w="28" w:type="dxa"/>
                  </w:tcMar>
                  <w:vAlign w:val="center"/>
                </w:tcPr>
                <w:p w14:paraId="23B41428">
                  <w:pPr>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天然气</w:t>
                  </w:r>
                  <w:r>
                    <w:rPr>
                      <w:color w:val="000000" w:themeColor="text1"/>
                      <w:szCs w:val="21"/>
                      <w:highlight w:val="none"/>
                      <w14:textFill>
                        <w14:solidFill>
                          <w14:schemeClr w14:val="tx1"/>
                        </w14:solidFill>
                      </w14:textFill>
                    </w:rPr>
                    <w:t>加热，热风循环式烤炉，烘烤温度约</w:t>
                  </w:r>
                  <w:r>
                    <w:rPr>
                      <w:rFonts w:hint="eastAsia"/>
                      <w:color w:val="000000" w:themeColor="text1"/>
                      <w:szCs w:val="21"/>
                      <w:highlight w:val="none"/>
                      <w:lang w:val="en-US" w:eastAsia="zh-CN"/>
                      <w14:textFill>
                        <w14:solidFill>
                          <w14:schemeClr w14:val="tx1"/>
                        </w14:solidFill>
                      </w14:textFill>
                    </w:rPr>
                    <w:t>7</w:t>
                  </w:r>
                  <w:r>
                    <w:rPr>
                      <w:color w:val="000000" w:themeColor="text1"/>
                      <w:szCs w:val="21"/>
                      <w:highlight w:val="none"/>
                      <w14:textFill>
                        <w14:solidFill>
                          <w14:schemeClr w14:val="tx1"/>
                        </w14:solidFill>
                      </w14:textFill>
                    </w:rPr>
                    <w:t>0℃</w:t>
                  </w:r>
                </w:p>
              </w:tc>
            </w:tr>
            <w:tr w14:paraId="0149AD77">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492" w:type="dxa"/>
                  <w:vMerge w:val="continue"/>
                  <w:shd w:val="clear" w:color="auto" w:fill="FFFFFF"/>
                  <w:noWrap/>
                  <w:tcMar>
                    <w:left w:w="28" w:type="dxa"/>
                    <w:right w:w="28" w:type="dxa"/>
                  </w:tcMar>
                  <w:vAlign w:val="center"/>
                </w:tcPr>
                <w:p w14:paraId="19B72EED">
                  <w:pPr>
                    <w:jc w:val="center"/>
                    <w:rPr>
                      <w:rFonts w:hint="eastAsia"/>
                      <w:color w:val="000000" w:themeColor="text1"/>
                      <w:szCs w:val="21"/>
                      <w:highlight w:val="none"/>
                      <w:lang w:val="en-US" w:eastAsia="zh-CN"/>
                      <w14:textFill>
                        <w14:solidFill>
                          <w14:schemeClr w14:val="tx1"/>
                        </w14:solidFill>
                      </w14:textFill>
                    </w:rPr>
                  </w:pPr>
                </w:p>
              </w:tc>
              <w:tc>
                <w:tcPr>
                  <w:tcW w:w="556" w:type="dxa"/>
                  <w:vMerge w:val="continue"/>
                  <w:shd w:val="clear" w:color="auto" w:fill="FFFFFF"/>
                  <w:noWrap/>
                  <w:tcMar>
                    <w:left w:w="28" w:type="dxa"/>
                    <w:right w:w="28" w:type="dxa"/>
                  </w:tcMar>
                  <w:vAlign w:val="center"/>
                </w:tcPr>
                <w:p w14:paraId="6E06A9E9">
                  <w:pPr>
                    <w:jc w:val="center"/>
                    <w:rPr>
                      <w:rFonts w:hint="default"/>
                      <w:color w:val="000000" w:themeColor="text1"/>
                      <w:szCs w:val="21"/>
                      <w:highlight w:val="none"/>
                      <w:lang w:val="en-US" w:eastAsia="zh-CN"/>
                      <w14:textFill>
                        <w14:solidFill>
                          <w14:schemeClr w14:val="tx1"/>
                        </w14:solidFill>
                      </w14:textFill>
                    </w:rPr>
                  </w:pPr>
                </w:p>
              </w:tc>
              <w:tc>
                <w:tcPr>
                  <w:tcW w:w="2221" w:type="dxa"/>
                  <w:shd w:val="clear" w:color="auto" w:fill="FFFFFF"/>
                  <w:noWrap/>
                  <w:tcMar>
                    <w:left w:w="28" w:type="dxa"/>
                    <w:right w:w="28" w:type="dxa"/>
                  </w:tcMar>
                  <w:vAlign w:val="center"/>
                </w:tcPr>
                <w:p w14:paraId="7B04533B">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热风炉</w:t>
                  </w:r>
                </w:p>
              </w:tc>
              <w:tc>
                <w:tcPr>
                  <w:tcW w:w="1250" w:type="dxa"/>
                  <w:shd w:val="clear" w:color="auto" w:fill="FFFFFF"/>
                  <w:noWrap/>
                  <w:tcMar>
                    <w:left w:w="28" w:type="dxa"/>
                    <w:right w:w="28" w:type="dxa"/>
                  </w:tcMar>
                  <w:vAlign w:val="center"/>
                </w:tcPr>
                <w:p w14:paraId="3E3A881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1174" w:type="dxa"/>
                  <w:shd w:val="clear" w:color="auto" w:fill="FFFFFF"/>
                  <w:noWrap/>
                  <w:tcMar>
                    <w:left w:w="28" w:type="dxa"/>
                    <w:right w:w="28" w:type="dxa"/>
                  </w:tcMar>
                  <w:vAlign w:val="center"/>
                </w:tcPr>
                <w:p w14:paraId="1C3E3CE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2623" w:type="dxa"/>
                  <w:vMerge w:val="continue"/>
                  <w:shd w:val="clear" w:color="auto" w:fill="FFFFFF"/>
                  <w:noWrap/>
                  <w:tcMar>
                    <w:left w:w="28" w:type="dxa"/>
                    <w:right w:w="28" w:type="dxa"/>
                  </w:tcMar>
                  <w:vAlign w:val="center"/>
                </w:tcPr>
                <w:p w14:paraId="257AA13C">
                  <w:pPr>
                    <w:jc w:val="both"/>
                    <w:rPr>
                      <w:rFonts w:hint="eastAsia"/>
                      <w:color w:val="000000" w:themeColor="text1"/>
                      <w:szCs w:val="21"/>
                      <w:highlight w:val="none"/>
                      <w:lang w:val="en-US" w:eastAsia="zh-CN"/>
                      <w14:textFill>
                        <w14:solidFill>
                          <w14:schemeClr w14:val="tx1"/>
                        </w14:solidFill>
                      </w14:textFill>
                    </w:rPr>
                  </w:pPr>
                </w:p>
              </w:tc>
            </w:tr>
            <w:tr w14:paraId="1C8D6C37">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68" w:hRule="atLeast"/>
                <w:jc w:val="center"/>
              </w:trPr>
              <w:tc>
                <w:tcPr>
                  <w:tcW w:w="492" w:type="dxa"/>
                  <w:vMerge w:val="continue"/>
                  <w:shd w:val="clear" w:color="auto" w:fill="FFFFFF"/>
                  <w:noWrap/>
                  <w:tcMar>
                    <w:left w:w="28" w:type="dxa"/>
                    <w:right w:w="28" w:type="dxa"/>
                  </w:tcMar>
                  <w:vAlign w:val="center"/>
                </w:tcPr>
                <w:p w14:paraId="5B75D087">
                  <w:pPr>
                    <w:jc w:val="center"/>
                    <w:rPr>
                      <w:rFonts w:hint="eastAsia"/>
                      <w:color w:val="000000" w:themeColor="text1"/>
                      <w:szCs w:val="21"/>
                      <w:highlight w:val="none"/>
                      <w:lang w:val="en-US" w:eastAsia="zh-CN"/>
                      <w14:textFill>
                        <w14:solidFill>
                          <w14:schemeClr w14:val="tx1"/>
                        </w14:solidFill>
                      </w14:textFill>
                    </w:rPr>
                  </w:pPr>
                </w:p>
              </w:tc>
              <w:tc>
                <w:tcPr>
                  <w:tcW w:w="556" w:type="dxa"/>
                  <w:shd w:val="clear" w:color="auto" w:fill="FFFFFF"/>
                  <w:noWrap/>
                  <w:tcMar>
                    <w:left w:w="28" w:type="dxa"/>
                    <w:right w:w="28" w:type="dxa"/>
                  </w:tcMar>
                  <w:vAlign w:val="center"/>
                </w:tcPr>
                <w:p w14:paraId="3A533FF6">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抛光</w:t>
                  </w:r>
                </w:p>
              </w:tc>
              <w:tc>
                <w:tcPr>
                  <w:tcW w:w="2221" w:type="dxa"/>
                  <w:shd w:val="clear" w:color="auto" w:fill="FFFFFF"/>
                  <w:noWrap/>
                  <w:tcMar>
                    <w:left w:w="28" w:type="dxa"/>
                    <w:right w:w="28" w:type="dxa"/>
                  </w:tcMar>
                  <w:vAlign w:val="center"/>
                </w:tcPr>
                <w:p w14:paraId="33F2577A">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小型手动抛光机</w:t>
                  </w:r>
                </w:p>
              </w:tc>
              <w:tc>
                <w:tcPr>
                  <w:tcW w:w="1250" w:type="dxa"/>
                  <w:shd w:val="clear" w:color="auto" w:fill="FFFFFF"/>
                  <w:noWrap/>
                  <w:tcMar>
                    <w:left w:w="28" w:type="dxa"/>
                    <w:right w:w="28" w:type="dxa"/>
                  </w:tcMar>
                  <w:vAlign w:val="center"/>
                </w:tcPr>
                <w:p w14:paraId="0D80A4AC">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1174" w:type="dxa"/>
                  <w:shd w:val="clear" w:color="auto" w:fill="FFFFFF"/>
                  <w:noWrap/>
                  <w:tcMar>
                    <w:left w:w="28" w:type="dxa"/>
                    <w:right w:w="28" w:type="dxa"/>
                  </w:tcMar>
                  <w:vAlign w:val="center"/>
                </w:tcPr>
                <w:p w14:paraId="53547DEA">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p>
              </w:tc>
              <w:tc>
                <w:tcPr>
                  <w:tcW w:w="2623" w:type="dxa"/>
                  <w:shd w:val="clear" w:color="auto" w:fill="FFFFFF"/>
                  <w:noWrap/>
                  <w:tcMar>
                    <w:left w:w="28" w:type="dxa"/>
                    <w:right w:w="28" w:type="dxa"/>
                  </w:tcMar>
                  <w:vAlign w:val="center"/>
                </w:tcPr>
                <w:p w14:paraId="73A72C18">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14:paraId="6D1DD33F">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20" w:hRule="atLeast"/>
                <w:jc w:val="center"/>
              </w:trPr>
              <w:tc>
                <w:tcPr>
                  <w:tcW w:w="1048" w:type="dxa"/>
                  <w:gridSpan w:val="2"/>
                  <w:vMerge w:val="restart"/>
                  <w:shd w:val="clear" w:color="auto" w:fill="FFFFFF"/>
                  <w:noWrap/>
                  <w:tcMar>
                    <w:left w:w="28" w:type="dxa"/>
                    <w:right w:w="28" w:type="dxa"/>
                  </w:tcMar>
                  <w:vAlign w:val="center"/>
                </w:tcPr>
                <w:p w14:paraId="79596074">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辅助设备</w:t>
                  </w:r>
                </w:p>
              </w:tc>
              <w:tc>
                <w:tcPr>
                  <w:tcW w:w="2221" w:type="dxa"/>
                  <w:shd w:val="clear" w:color="auto" w:fill="FFFFFF"/>
                  <w:noWrap/>
                  <w:tcMar>
                    <w:left w:w="28" w:type="dxa"/>
                    <w:right w:w="28" w:type="dxa"/>
                  </w:tcMar>
                  <w:vAlign w:val="center"/>
                </w:tcPr>
                <w:p w14:paraId="7CC96B6C">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水帘湿式漆雾净化</w:t>
                  </w:r>
                  <w:r>
                    <w:rPr>
                      <w:color w:val="000000" w:themeColor="text1"/>
                      <w:szCs w:val="21"/>
                      <w:highlight w:val="none"/>
                      <w14:textFill>
                        <w14:solidFill>
                          <w14:schemeClr w14:val="tx1"/>
                        </w14:solidFill>
                      </w14:textFill>
                    </w:rPr>
                    <w:t>循环水池</w:t>
                  </w:r>
                </w:p>
              </w:tc>
              <w:tc>
                <w:tcPr>
                  <w:tcW w:w="1250" w:type="dxa"/>
                  <w:shd w:val="clear" w:color="auto" w:fill="FFFFFF"/>
                  <w:noWrap/>
                  <w:tcMar>
                    <w:left w:w="28" w:type="dxa"/>
                    <w:right w:w="28" w:type="dxa"/>
                  </w:tcMar>
                  <w:vAlign w:val="center"/>
                </w:tcPr>
                <w:p w14:paraId="5021847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2.5</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2.5</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0.5</w:t>
                  </w:r>
                  <w:r>
                    <w:rPr>
                      <w:color w:val="000000" w:themeColor="text1"/>
                      <w:szCs w:val="21"/>
                      <w:highlight w:val="none"/>
                      <w14:textFill>
                        <w14:solidFill>
                          <w14:schemeClr w14:val="tx1"/>
                        </w14:solidFill>
                      </w14:textFill>
                    </w:rPr>
                    <w:t>m</w:t>
                  </w:r>
                </w:p>
              </w:tc>
              <w:tc>
                <w:tcPr>
                  <w:tcW w:w="1174" w:type="dxa"/>
                  <w:shd w:val="clear" w:color="auto" w:fill="FFFFFF"/>
                  <w:noWrap/>
                  <w:tcMar>
                    <w:left w:w="28" w:type="dxa"/>
                    <w:right w:w="28" w:type="dxa"/>
                  </w:tcMar>
                  <w:vAlign w:val="center"/>
                </w:tcPr>
                <w:p w14:paraId="14CC2B0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4</w:t>
                  </w:r>
                </w:p>
              </w:tc>
              <w:tc>
                <w:tcPr>
                  <w:tcW w:w="2623" w:type="dxa"/>
                  <w:shd w:val="clear" w:color="auto" w:fill="FFFFFF"/>
                  <w:noWrap/>
                  <w:tcMar>
                    <w:left w:w="28" w:type="dxa"/>
                    <w:right w:w="28" w:type="dxa"/>
                  </w:tcMar>
                  <w:vAlign w:val="center"/>
                </w:tcPr>
                <w:p w14:paraId="0B2F95B4">
                  <w:pPr>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位于喷漆工位，一个工位对应一个循环水池，</w:t>
                  </w:r>
                  <w:r>
                    <w:rPr>
                      <w:color w:val="000000" w:themeColor="text1"/>
                      <w:szCs w:val="21"/>
                      <w:highlight w:val="none"/>
                      <w14:textFill>
                        <w14:solidFill>
                          <w14:schemeClr w14:val="tx1"/>
                        </w14:solidFill>
                      </w14:textFill>
                    </w:rPr>
                    <w:t>有效容积为</w:t>
                  </w:r>
                  <w:r>
                    <w:rPr>
                      <w:rFonts w:hint="eastAsia"/>
                      <w:color w:val="000000" w:themeColor="text1"/>
                      <w:szCs w:val="21"/>
                      <w:highlight w:val="none"/>
                      <w:lang w:val="en-US" w:eastAsia="zh-CN"/>
                      <w14:textFill>
                        <w14:solidFill>
                          <w14:schemeClr w14:val="tx1"/>
                        </w14:solidFill>
                      </w14:textFill>
                    </w:rPr>
                    <w:t>2.5</w:t>
                  </w:r>
                  <w:r>
                    <w:rPr>
                      <w:color w:val="000000" w:themeColor="text1"/>
                      <w:szCs w:val="21"/>
                      <w:highlight w:val="none"/>
                      <w14:textFill>
                        <w14:solidFill>
                          <w14:schemeClr w14:val="tx1"/>
                        </w14:solidFill>
                      </w14:textFill>
                    </w:rPr>
                    <w:t>m×2.</w:t>
                  </w:r>
                  <w:r>
                    <w:rPr>
                      <w:rFonts w:hint="eastAsia"/>
                      <w:color w:val="000000" w:themeColor="text1"/>
                      <w:szCs w:val="21"/>
                      <w:highlight w:val="none"/>
                      <w:lang w:val="en-US" w:eastAsia="zh-CN"/>
                      <w14:textFill>
                        <w14:solidFill>
                          <w14:schemeClr w14:val="tx1"/>
                        </w14:solidFill>
                      </w14:textFill>
                    </w:rPr>
                    <w:t>5</w:t>
                  </w:r>
                  <w:r>
                    <w:rPr>
                      <w:color w:val="000000" w:themeColor="text1"/>
                      <w:szCs w:val="21"/>
                      <w:highlight w:val="none"/>
                      <w14:textFill>
                        <w14:solidFill>
                          <w14:schemeClr w14:val="tx1"/>
                        </w14:solidFill>
                      </w14:textFill>
                    </w:rPr>
                    <w:t>m×0.</w:t>
                  </w:r>
                  <w:r>
                    <w:rPr>
                      <w:rFonts w:hint="eastAsia"/>
                      <w:color w:val="000000" w:themeColor="text1"/>
                      <w:szCs w:val="21"/>
                      <w:highlight w:val="none"/>
                      <w:lang w:val="en-US" w:eastAsia="zh-CN"/>
                      <w14:textFill>
                        <w14:solidFill>
                          <w14:schemeClr w14:val="tx1"/>
                        </w14:solidFill>
                      </w14:textFill>
                    </w:rPr>
                    <w:t>4</w:t>
                  </w:r>
                  <w:r>
                    <w:rPr>
                      <w:color w:val="000000" w:themeColor="text1"/>
                      <w:szCs w:val="21"/>
                      <w:highlight w:val="none"/>
                      <w14:textFill>
                        <w14:solidFill>
                          <w14:schemeClr w14:val="tx1"/>
                        </w14:solidFill>
                      </w14:textFill>
                    </w:rPr>
                    <w:t>m=</w:t>
                  </w:r>
                  <w:r>
                    <w:rPr>
                      <w:rFonts w:hint="eastAsia"/>
                      <w:color w:val="000000" w:themeColor="text1"/>
                      <w:szCs w:val="21"/>
                      <w:highlight w:val="none"/>
                      <w:lang w:val="en-US" w:eastAsia="zh-CN"/>
                      <w14:textFill>
                        <w14:solidFill>
                          <w14:schemeClr w14:val="tx1"/>
                        </w14:solidFill>
                      </w14:textFill>
                    </w:rPr>
                    <w:t>2.5</w:t>
                  </w:r>
                  <w:r>
                    <w:rPr>
                      <w:color w:val="000000" w:themeColor="text1"/>
                      <w:szCs w:val="21"/>
                      <w:highlight w:val="none"/>
                      <w14:textFill>
                        <w14:solidFill>
                          <w14:schemeClr w14:val="tx1"/>
                        </w14:solidFill>
                      </w14:textFill>
                    </w:rPr>
                    <w:t>m</w:t>
                  </w:r>
                  <w:r>
                    <w:rPr>
                      <w:color w:val="000000" w:themeColor="text1"/>
                      <w:szCs w:val="21"/>
                      <w:highlight w:val="none"/>
                      <w:vertAlign w:val="superscript"/>
                      <w14:textFill>
                        <w14:solidFill>
                          <w14:schemeClr w14:val="tx1"/>
                        </w14:solidFill>
                      </w14:textFill>
                    </w:rPr>
                    <w:t>3</w:t>
                  </w:r>
                </w:p>
              </w:tc>
            </w:tr>
            <w:tr w14:paraId="2B6FB8D5">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048" w:type="dxa"/>
                  <w:gridSpan w:val="2"/>
                  <w:vMerge w:val="continue"/>
                  <w:shd w:val="clear" w:color="auto" w:fill="FFFFFF"/>
                  <w:noWrap/>
                  <w:tcMar>
                    <w:left w:w="28" w:type="dxa"/>
                    <w:right w:w="28" w:type="dxa"/>
                  </w:tcMar>
                  <w:vAlign w:val="center"/>
                </w:tcPr>
                <w:p w14:paraId="2E5E42D7">
                  <w:pPr>
                    <w:jc w:val="center"/>
                    <w:rPr>
                      <w:color w:val="000000" w:themeColor="text1"/>
                      <w:szCs w:val="21"/>
                      <w:highlight w:val="none"/>
                      <w14:textFill>
                        <w14:solidFill>
                          <w14:schemeClr w14:val="tx1"/>
                        </w14:solidFill>
                      </w14:textFill>
                    </w:rPr>
                  </w:pPr>
                </w:p>
              </w:tc>
              <w:tc>
                <w:tcPr>
                  <w:tcW w:w="2221" w:type="dxa"/>
                  <w:shd w:val="clear" w:color="auto" w:fill="FFFFFF"/>
                  <w:noWrap/>
                  <w:tcMar>
                    <w:left w:w="28" w:type="dxa"/>
                    <w:right w:w="28" w:type="dxa"/>
                  </w:tcMar>
                  <w:vAlign w:val="center"/>
                </w:tcPr>
                <w:p w14:paraId="7BB21774">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二级活性炭装置</w:t>
                  </w:r>
                </w:p>
              </w:tc>
              <w:tc>
                <w:tcPr>
                  <w:tcW w:w="1250" w:type="dxa"/>
                  <w:shd w:val="clear" w:color="auto" w:fill="FFFFFF"/>
                  <w:noWrap/>
                  <w:tcMar>
                    <w:left w:w="28" w:type="dxa"/>
                    <w:right w:w="28" w:type="dxa"/>
                  </w:tcMar>
                  <w:vAlign w:val="center"/>
                </w:tcPr>
                <w:p w14:paraId="24C2ACF4">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1174" w:type="dxa"/>
                  <w:shd w:val="clear" w:color="auto" w:fill="FFFFFF"/>
                  <w:noWrap/>
                  <w:tcMar>
                    <w:left w:w="28" w:type="dxa"/>
                    <w:right w:w="28" w:type="dxa"/>
                  </w:tcMar>
                  <w:vAlign w:val="center"/>
                </w:tcPr>
                <w:p w14:paraId="5F36779A">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2623" w:type="dxa"/>
                  <w:shd w:val="clear" w:color="auto" w:fill="FFFFFF"/>
                  <w:noWrap/>
                  <w:tcMar>
                    <w:left w:w="28" w:type="dxa"/>
                    <w:right w:w="28" w:type="dxa"/>
                  </w:tcMar>
                  <w:vAlign w:val="center"/>
                </w:tcPr>
                <w:p w14:paraId="62763A6B">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喷涂废气处理</w:t>
                  </w:r>
                </w:p>
              </w:tc>
            </w:tr>
            <w:tr w14:paraId="371282CD">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20" w:hRule="atLeast"/>
                <w:jc w:val="center"/>
              </w:trPr>
              <w:tc>
                <w:tcPr>
                  <w:tcW w:w="1048" w:type="dxa"/>
                  <w:gridSpan w:val="2"/>
                  <w:vMerge w:val="continue"/>
                  <w:shd w:val="clear" w:color="auto" w:fill="FFFFFF"/>
                  <w:noWrap/>
                  <w:tcMar>
                    <w:left w:w="28" w:type="dxa"/>
                    <w:right w:w="28" w:type="dxa"/>
                  </w:tcMar>
                  <w:vAlign w:val="center"/>
                </w:tcPr>
                <w:p w14:paraId="26DC2006">
                  <w:pPr>
                    <w:jc w:val="center"/>
                    <w:rPr>
                      <w:color w:val="000000" w:themeColor="text1"/>
                      <w:szCs w:val="21"/>
                      <w:highlight w:val="none"/>
                      <w14:textFill>
                        <w14:solidFill>
                          <w14:schemeClr w14:val="tx1"/>
                        </w14:solidFill>
                      </w14:textFill>
                    </w:rPr>
                  </w:pPr>
                </w:p>
              </w:tc>
              <w:tc>
                <w:tcPr>
                  <w:tcW w:w="2221" w:type="dxa"/>
                  <w:shd w:val="clear" w:color="auto" w:fill="FFFFFF"/>
                  <w:noWrap/>
                  <w:tcMar>
                    <w:left w:w="28" w:type="dxa"/>
                    <w:right w:w="28" w:type="dxa"/>
                  </w:tcMar>
                  <w:vAlign w:val="center"/>
                </w:tcPr>
                <w:p w14:paraId="24FE346D">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一体化生产废水处理站</w:t>
                  </w:r>
                </w:p>
              </w:tc>
              <w:tc>
                <w:tcPr>
                  <w:tcW w:w="1250" w:type="dxa"/>
                  <w:shd w:val="clear" w:color="auto" w:fill="FFFFFF"/>
                  <w:noWrap/>
                  <w:tcMar>
                    <w:left w:w="28" w:type="dxa"/>
                    <w:right w:w="28" w:type="dxa"/>
                  </w:tcMar>
                  <w:vAlign w:val="center"/>
                </w:tcPr>
                <w:p w14:paraId="6DEAB21C">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处理能力12m</w:t>
                  </w:r>
                  <w:r>
                    <w:rPr>
                      <w:rFonts w:hint="eastAsia"/>
                      <w:color w:val="000000" w:themeColor="text1"/>
                      <w:szCs w:val="21"/>
                      <w:highlight w:val="none"/>
                      <w:vertAlign w:val="superscript"/>
                      <w:lang w:val="en-US" w:eastAsia="zh-CN"/>
                      <w14:textFill>
                        <w14:solidFill>
                          <w14:schemeClr w14:val="tx1"/>
                        </w14:solidFill>
                      </w14:textFill>
                    </w:rPr>
                    <w:t>3</w:t>
                  </w:r>
                  <w:r>
                    <w:rPr>
                      <w:rFonts w:hint="eastAsia"/>
                      <w:color w:val="000000" w:themeColor="text1"/>
                      <w:szCs w:val="21"/>
                      <w:highlight w:val="none"/>
                      <w:lang w:val="en-US" w:eastAsia="zh-CN"/>
                      <w14:textFill>
                        <w14:solidFill>
                          <w14:schemeClr w14:val="tx1"/>
                        </w14:solidFill>
                      </w14:textFill>
                    </w:rPr>
                    <w:t>/d</w:t>
                  </w:r>
                </w:p>
              </w:tc>
              <w:tc>
                <w:tcPr>
                  <w:tcW w:w="1174" w:type="dxa"/>
                  <w:shd w:val="clear" w:color="auto" w:fill="FFFFFF"/>
                  <w:noWrap/>
                  <w:tcMar>
                    <w:left w:w="28" w:type="dxa"/>
                    <w:right w:w="28" w:type="dxa"/>
                  </w:tcMar>
                  <w:vAlign w:val="center"/>
                </w:tcPr>
                <w:p w14:paraId="0E14D9C2">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2623" w:type="dxa"/>
                  <w:shd w:val="clear" w:color="auto" w:fill="FFFFFF"/>
                  <w:noWrap/>
                  <w:tcMar>
                    <w:left w:w="28" w:type="dxa"/>
                    <w:right w:w="28" w:type="dxa"/>
                  </w:tcMar>
                  <w:vAlign w:val="center"/>
                </w:tcPr>
                <w:p w14:paraId="46DA4CA1">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喷漆废水处理</w:t>
                  </w:r>
                </w:p>
              </w:tc>
            </w:tr>
            <w:tr w14:paraId="75E56F64">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048" w:type="dxa"/>
                  <w:gridSpan w:val="2"/>
                  <w:vMerge w:val="continue"/>
                  <w:shd w:val="clear" w:color="auto" w:fill="FFFFFF"/>
                  <w:noWrap/>
                  <w:tcMar>
                    <w:left w:w="28" w:type="dxa"/>
                    <w:right w:w="28" w:type="dxa"/>
                  </w:tcMar>
                  <w:vAlign w:val="center"/>
                </w:tcPr>
                <w:p w14:paraId="50060C47">
                  <w:pPr>
                    <w:jc w:val="center"/>
                    <w:rPr>
                      <w:color w:val="000000" w:themeColor="text1"/>
                      <w:szCs w:val="21"/>
                      <w:highlight w:val="none"/>
                      <w14:textFill>
                        <w14:solidFill>
                          <w14:schemeClr w14:val="tx1"/>
                        </w14:solidFill>
                      </w14:textFill>
                    </w:rPr>
                  </w:pPr>
                </w:p>
              </w:tc>
              <w:tc>
                <w:tcPr>
                  <w:tcW w:w="2221" w:type="dxa"/>
                  <w:shd w:val="clear" w:color="auto" w:fill="FFFFFF"/>
                  <w:noWrap/>
                  <w:tcMar>
                    <w:left w:w="28" w:type="dxa"/>
                    <w:right w:w="28" w:type="dxa"/>
                  </w:tcMar>
                  <w:vAlign w:val="center"/>
                </w:tcPr>
                <w:p w14:paraId="70D47AF5">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空压机</w:t>
                  </w:r>
                </w:p>
              </w:tc>
              <w:tc>
                <w:tcPr>
                  <w:tcW w:w="1250" w:type="dxa"/>
                  <w:shd w:val="clear" w:color="auto" w:fill="FFFFFF"/>
                  <w:noWrap/>
                  <w:tcMar>
                    <w:left w:w="28" w:type="dxa"/>
                    <w:right w:w="28" w:type="dxa"/>
                  </w:tcMar>
                  <w:vAlign w:val="center"/>
                </w:tcPr>
                <w:p w14:paraId="0B9C4A50">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1174" w:type="dxa"/>
                  <w:shd w:val="clear" w:color="auto" w:fill="FFFFFF"/>
                  <w:noWrap/>
                  <w:tcMar>
                    <w:left w:w="28" w:type="dxa"/>
                    <w:right w:w="28" w:type="dxa"/>
                  </w:tcMar>
                  <w:vAlign w:val="center"/>
                </w:tcPr>
                <w:p w14:paraId="3F2C1543">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w:t>
                  </w:r>
                </w:p>
              </w:tc>
              <w:tc>
                <w:tcPr>
                  <w:tcW w:w="2623" w:type="dxa"/>
                  <w:shd w:val="clear" w:color="auto" w:fill="FFFFFF"/>
                  <w:noWrap/>
                  <w:tcMar>
                    <w:left w:w="28" w:type="dxa"/>
                    <w:right w:w="28" w:type="dxa"/>
                  </w:tcMar>
                  <w:vAlign w:val="center"/>
                </w:tcPr>
                <w:p w14:paraId="602DC83D">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为喷漆提供压缩空气</w:t>
                  </w:r>
                </w:p>
              </w:tc>
            </w:tr>
            <w:tr w14:paraId="429BD95D">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048" w:type="dxa"/>
                  <w:gridSpan w:val="2"/>
                  <w:vMerge w:val="continue"/>
                  <w:shd w:val="clear" w:color="auto" w:fill="FFFFFF"/>
                  <w:noWrap/>
                  <w:tcMar>
                    <w:left w:w="28" w:type="dxa"/>
                    <w:right w:w="28" w:type="dxa"/>
                  </w:tcMar>
                  <w:vAlign w:val="center"/>
                </w:tcPr>
                <w:p w14:paraId="5CD7081D">
                  <w:pPr>
                    <w:jc w:val="center"/>
                    <w:rPr>
                      <w:color w:val="000000" w:themeColor="text1"/>
                      <w:szCs w:val="21"/>
                      <w:highlight w:val="none"/>
                      <w14:textFill>
                        <w14:solidFill>
                          <w14:schemeClr w14:val="tx1"/>
                        </w14:solidFill>
                      </w14:textFill>
                    </w:rPr>
                  </w:pPr>
                </w:p>
              </w:tc>
              <w:tc>
                <w:tcPr>
                  <w:tcW w:w="2221" w:type="dxa"/>
                  <w:shd w:val="clear" w:color="auto" w:fill="FFFFFF"/>
                  <w:noWrap/>
                  <w:tcMar>
                    <w:left w:w="28" w:type="dxa"/>
                    <w:right w:w="28" w:type="dxa"/>
                  </w:tcMar>
                  <w:vAlign w:val="center"/>
                </w:tcPr>
                <w:p w14:paraId="324AB862">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r>
                    <w:rPr>
                      <w:rFonts w:hint="eastAsia"/>
                      <w:color w:val="000000" w:themeColor="text1"/>
                      <w:szCs w:val="21"/>
                      <w:highlight w:val="none"/>
                      <w:lang w:val="en-US" w:eastAsia="zh-CN"/>
                      <w14:textFill>
                        <w14:solidFill>
                          <w14:schemeClr w14:val="tx1"/>
                        </w14:solidFill>
                      </w14:textFill>
                    </w:rPr>
                    <w:t>生产线</w:t>
                  </w:r>
                  <w:r>
                    <w:rPr>
                      <w:color w:val="000000" w:themeColor="text1"/>
                      <w:szCs w:val="21"/>
                      <w:highlight w:val="none"/>
                      <w14:textFill>
                        <w14:solidFill>
                          <w14:schemeClr w14:val="tx1"/>
                        </w14:solidFill>
                      </w14:textFill>
                    </w:rPr>
                    <w:t>风机</w:t>
                  </w:r>
                </w:p>
              </w:tc>
              <w:tc>
                <w:tcPr>
                  <w:tcW w:w="1250" w:type="dxa"/>
                  <w:shd w:val="clear" w:color="auto" w:fill="FFFFFF"/>
                  <w:noWrap/>
                  <w:tcMar>
                    <w:left w:w="28" w:type="dxa"/>
                    <w:right w:w="28" w:type="dxa"/>
                  </w:tcMar>
                  <w:vAlign w:val="center"/>
                </w:tcPr>
                <w:p w14:paraId="232131C7">
                  <w:pPr>
                    <w:jc w:val="center"/>
                    <w:rPr>
                      <w:color w:val="000000" w:themeColor="text1"/>
                      <w:szCs w:val="21"/>
                      <w:highlight w:val="yellow"/>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1174" w:type="dxa"/>
                  <w:shd w:val="clear" w:color="auto" w:fill="FFFFFF"/>
                  <w:noWrap/>
                  <w:tcMar>
                    <w:left w:w="28" w:type="dxa"/>
                    <w:right w:w="28" w:type="dxa"/>
                  </w:tcMar>
                  <w:vAlign w:val="center"/>
                </w:tcPr>
                <w:p w14:paraId="5E27B42B">
                  <w:pPr>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2623" w:type="dxa"/>
                  <w:shd w:val="clear" w:color="auto" w:fill="FFFFFF"/>
                  <w:noWrap/>
                  <w:tcMar>
                    <w:left w:w="28" w:type="dxa"/>
                    <w:right w:w="28" w:type="dxa"/>
                  </w:tcMar>
                  <w:vAlign w:val="center"/>
                </w:tcPr>
                <w:p w14:paraId="38ADDAC5">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新风系统</w:t>
                  </w:r>
                </w:p>
              </w:tc>
            </w:tr>
            <w:tr w14:paraId="71BA94FD">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048" w:type="dxa"/>
                  <w:gridSpan w:val="2"/>
                  <w:vMerge w:val="continue"/>
                  <w:shd w:val="clear" w:color="auto" w:fill="FFFFFF"/>
                  <w:noWrap/>
                  <w:tcMar>
                    <w:left w:w="28" w:type="dxa"/>
                    <w:right w:w="28" w:type="dxa"/>
                  </w:tcMar>
                  <w:vAlign w:val="center"/>
                </w:tcPr>
                <w:p w14:paraId="5AAC8B33">
                  <w:pPr>
                    <w:jc w:val="center"/>
                    <w:rPr>
                      <w:color w:val="000000" w:themeColor="text1"/>
                      <w:szCs w:val="21"/>
                      <w:highlight w:val="none"/>
                      <w14:textFill>
                        <w14:solidFill>
                          <w14:schemeClr w14:val="tx1"/>
                        </w14:solidFill>
                      </w14:textFill>
                    </w:rPr>
                  </w:pPr>
                </w:p>
              </w:tc>
              <w:tc>
                <w:tcPr>
                  <w:tcW w:w="2221" w:type="dxa"/>
                  <w:shd w:val="clear" w:color="auto" w:fill="FFFFFF"/>
                  <w:noWrap/>
                  <w:tcMar>
                    <w:left w:w="28" w:type="dxa"/>
                    <w:right w:w="28" w:type="dxa"/>
                  </w:tcMar>
                  <w:vAlign w:val="center"/>
                </w:tcPr>
                <w:p w14:paraId="7076DD46">
                  <w:pPr>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r>
                    <w:rPr>
                      <w:rFonts w:hint="eastAsia"/>
                      <w:color w:val="000000" w:themeColor="text1"/>
                      <w:szCs w:val="21"/>
                      <w:highlight w:val="none"/>
                      <w:lang w:val="en-US" w:eastAsia="zh-CN"/>
                      <w14:textFill>
                        <w14:solidFill>
                          <w14:schemeClr w14:val="tx1"/>
                        </w14:solidFill>
                      </w14:textFill>
                    </w:rPr>
                    <w:t>生产线</w:t>
                  </w:r>
                  <w:r>
                    <w:rPr>
                      <w:color w:val="000000" w:themeColor="text1"/>
                      <w:szCs w:val="21"/>
                      <w:highlight w:val="none"/>
                      <w14:textFill>
                        <w14:solidFill>
                          <w14:schemeClr w14:val="tx1"/>
                        </w14:solidFill>
                      </w14:textFill>
                    </w:rPr>
                    <w:t>风机</w:t>
                  </w:r>
                </w:p>
              </w:tc>
              <w:tc>
                <w:tcPr>
                  <w:tcW w:w="1250" w:type="dxa"/>
                  <w:shd w:val="clear" w:color="auto" w:fill="FFFFFF"/>
                  <w:noWrap/>
                  <w:tcMar>
                    <w:left w:w="28" w:type="dxa"/>
                    <w:right w:w="28" w:type="dxa"/>
                  </w:tcMar>
                  <w:vAlign w:val="center"/>
                </w:tcPr>
                <w:p w14:paraId="1167610B">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1174" w:type="dxa"/>
                  <w:shd w:val="clear" w:color="auto" w:fill="FFFFFF"/>
                  <w:noWrap/>
                  <w:tcMar>
                    <w:left w:w="28" w:type="dxa"/>
                    <w:right w:w="28" w:type="dxa"/>
                  </w:tcMar>
                  <w:vAlign w:val="center"/>
                </w:tcPr>
                <w:p w14:paraId="351EA676">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2623" w:type="dxa"/>
                  <w:shd w:val="clear" w:color="auto" w:fill="FFFFFF"/>
                  <w:noWrap/>
                  <w:tcMar>
                    <w:left w:w="28" w:type="dxa"/>
                    <w:right w:w="28" w:type="dxa"/>
                  </w:tcMar>
                  <w:vAlign w:val="center"/>
                </w:tcPr>
                <w:p w14:paraId="237D3E7F">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新风系统</w:t>
                  </w:r>
                </w:p>
              </w:tc>
            </w:tr>
            <w:tr w14:paraId="788B24BC">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048" w:type="dxa"/>
                  <w:gridSpan w:val="2"/>
                  <w:vMerge w:val="continue"/>
                  <w:shd w:val="clear" w:color="auto" w:fill="FFFFFF"/>
                  <w:noWrap/>
                  <w:tcMar>
                    <w:left w:w="28" w:type="dxa"/>
                    <w:right w:w="28" w:type="dxa"/>
                  </w:tcMar>
                  <w:vAlign w:val="center"/>
                </w:tcPr>
                <w:p w14:paraId="7E45B787">
                  <w:pPr>
                    <w:jc w:val="center"/>
                    <w:rPr>
                      <w:color w:val="000000" w:themeColor="text1"/>
                      <w:szCs w:val="21"/>
                      <w:highlight w:val="none"/>
                      <w14:textFill>
                        <w14:solidFill>
                          <w14:schemeClr w14:val="tx1"/>
                        </w14:solidFill>
                      </w14:textFill>
                    </w:rPr>
                  </w:pPr>
                </w:p>
              </w:tc>
              <w:tc>
                <w:tcPr>
                  <w:tcW w:w="2221" w:type="dxa"/>
                  <w:shd w:val="clear" w:color="auto" w:fill="FFFFFF"/>
                  <w:noWrap/>
                  <w:tcMar>
                    <w:left w:w="28" w:type="dxa"/>
                    <w:right w:w="28" w:type="dxa"/>
                  </w:tcMar>
                  <w:vAlign w:val="center"/>
                </w:tcPr>
                <w:p w14:paraId="43DEC103">
                  <w:pPr>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废气处理风机</w:t>
                  </w:r>
                </w:p>
              </w:tc>
              <w:tc>
                <w:tcPr>
                  <w:tcW w:w="1250" w:type="dxa"/>
                  <w:shd w:val="clear" w:color="auto" w:fill="FFFFFF"/>
                  <w:noWrap/>
                  <w:tcMar>
                    <w:left w:w="28" w:type="dxa"/>
                    <w:right w:w="28" w:type="dxa"/>
                  </w:tcMar>
                  <w:vAlign w:val="center"/>
                </w:tcPr>
                <w:p w14:paraId="6F40D4DC">
                  <w:pPr>
                    <w:jc w:val="center"/>
                    <w:rPr>
                      <w:rFonts w:hint="default"/>
                      <w:color w:val="000000" w:themeColor="text1"/>
                      <w:szCs w:val="21"/>
                      <w:highlight w:val="yellow"/>
                      <w:lang w:val="en-US"/>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1174" w:type="dxa"/>
                  <w:shd w:val="clear" w:color="auto" w:fill="FFFFFF"/>
                  <w:noWrap/>
                  <w:tcMar>
                    <w:left w:w="28" w:type="dxa"/>
                    <w:right w:w="28" w:type="dxa"/>
                  </w:tcMar>
                  <w:vAlign w:val="center"/>
                </w:tcPr>
                <w:p w14:paraId="08519B41">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2623" w:type="dxa"/>
                  <w:shd w:val="clear" w:color="auto" w:fill="FFFFFF"/>
                  <w:noWrap/>
                  <w:tcMar>
                    <w:left w:w="28" w:type="dxa"/>
                    <w:right w:w="28" w:type="dxa"/>
                  </w:tcMar>
                  <w:vAlign w:val="center"/>
                </w:tcPr>
                <w:p w14:paraId="4B86849D">
                  <w:pPr>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废气处理风机</w:t>
                  </w:r>
                </w:p>
              </w:tc>
            </w:tr>
            <w:tr w14:paraId="0EAB8984">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048" w:type="dxa"/>
                  <w:gridSpan w:val="2"/>
                  <w:vMerge w:val="continue"/>
                  <w:shd w:val="clear" w:color="auto" w:fill="FFFFFF"/>
                  <w:noWrap/>
                  <w:tcMar>
                    <w:left w:w="28" w:type="dxa"/>
                    <w:right w:w="28" w:type="dxa"/>
                  </w:tcMar>
                  <w:vAlign w:val="center"/>
                </w:tcPr>
                <w:p w14:paraId="0AA36552">
                  <w:pPr>
                    <w:jc w:val="center"/>
                    <w:rPr>
                      <w:color w:val="000000" w:themeColor="text1"/>
                      <w:szCs w:val="21"/>
                      <w:highlight w:val="none"/>
                      <w14:textFill>
                        <w14:solidFill>
                          <w14:schemeClr w14:val="tx1"/>
                        </w14:solidFill>
                      </w14:textFill>
                    </w:rPr>
                  </w:pPr>
                </w:p>
              </w:tc>
              <w:tc>
                <w:tcPr>
                  <w:tcW w:w="2221" w:type="dxa"/>
                  <w:shd w:val="clear" w:color="auto" w:fill="FFFFFF"/>
                  <w:noWrap/>
                  <w:tcMar>
                    <w:left w:w="28" w:type="dxa"/>
                    <w:right w:w="28" w:type="dxa"/>
                  </w:tcMar>
                  <w:vAlign w:val="center"/>
                </w:tcPr>
                <w:p w14:paraId="49BF1E97">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烘架</w:t>
                  </w:r>
                </w:p>
              </w:tc>
              <w:tc>
                <w:tcPr>
                  <w:tcW w:w="1250" w:type="dxa"/>
                  <w:shd w:val="clear" w:color="auto" w:fill="FFFFFF"/>
                  <w:noWrap/>
                  <w:tcMar>
                    <w:left w:w="28" w:type="dxa"/>
                    <w:right w:w="28" w:type="dxa"/>
                  </w:tcMar>
                  <w:vAlign w:val="center"/>
                </w:tcPr>
                <w:p w14:paraId="5F4EEC2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1.9</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1</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1.5m</w:t>
                  </w:r>
                </w:p>
              </w:tc>
              <w:tc>
                <w:tcPr>
                  <w:tcW w:w="1174" w:type="dxa"/>
                  <w:shd w:val="clear" w:color="auto" w:fill="FFFFFF"/>
                  <w:noWrap/>
                  <w:tcMar>
                    <w:left w:w="28" w:type="dxa"/>
                    <w:right w:w="28" w:type="dxa"/>
                  </w:tcMar>
                  <w:vAlign w:val="center"/>
                </w:tcPr>
                <w:p w14:paraId="0CDCCAC4">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30</w:t>
                  </w:r>
                </w:p>
              </w:tc>
              <w:tc>
                <w:tcPr>
                  <w:tcW w:w="2623" w:type="dxa"/>
                  <w:shd w:val="clear" w:color="auto" w:fill="FFFFFF"/>
                  <w:noWrap/>
                  <w:tcMar>
                    <w:left w:w="28" w:type="dxa"/>
                    <w:right w:w="28" w:type="dxa"/>
                  </w:tcMar>
                  <w:vAlign w:val="center"/>
                </w:tcPr>
                <w:p w14:paraId="1EF64558">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放置流平固化后的工件、烘干</w:t>
                  </w:r>
                </w:p>
              </w:tc>
            </w:tr>
            <w:tr w14:paraId="05F55555">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20" w:hRule="atLeast"/>
                <w:jc w:val="center"/>
              </w:trPr>
              <w:tc>
                <w:tcPr>
                  <w:tcW w:w="1048" w:type="dxa"/>
                  <w:gridSpan w:val="2"/>
                  <w:vMerge w:val="continue"/>
                  <w:shd w:val="clear" w:color="auto" w:fill="FFFFFF"/>
                  <w:noWrap/>
                  <w:tcMar>
                    <w:left w:w="28" w:type="dxa"/>
                    <w:right w:w="28" w:type="dxa"/>
                  </w:tcMar>
                  <w:vAlign w:val="center"/>
                </w:tcPr>
                <w:p w14:paraId="69F8CDD8">
                  <w:pPr>
                    <w:jc w:val="center"/>
                    <w:rPr>
                      <w:color w:val="000000" w:themeColor="text1"/>
                      <w:szCs w:val="21"/>
                      <w:highlight w:val="none"/>
                      <w14:textFill>
                        <w14:solidFill>
                          <w14:schemeClr w14:val="tx1"/>
                        </w14:solidFill>
                      </w14:textFill>
                    </w:rPr>
                  </w:pPr>
                </w:p>
              </w:tc>
              <w:tc>
                <w:tcPr>
                  <w:tcW w:w="2221" w:type="dxa"/>
                  <w:shd w:val="clear" w:color="auto" w:fill="FFFFFF"/>
                  <w:noWrap/>
                  <w:tcMar>
                    <w:left w:w="28" w:type="dxa"/>
                    <w:right w:w="28" w:type="dxa"/>
                  </w:tcMar>
                  <w:vAlign w:val="center"/>
                </w:tcPr>
                <w:p w14:paraId="21958DF6">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搅拌机</w:t>
                  </w:r>
                </w:p>
              </w:tc>
              <w:tc>
                <w:tcPr>
                  <w:tcW w:w="1250" w:type="dxa"/>
                  <w:shd w:val="clear" w:color="auto" w:fill="FFFFFF"/>
                  <w:noWrap/>
                  <w:tcMar>
                    <w:left w:w="28" w:type="dxa"/>
                    <w:right w:w="28" w:type="dxa"/>
                  </w:tcMar>
                  <w:vAlign w:val="center"/>
                </w:tcPr>
                <w:p w14:paraId="74C9FBBF">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c>
                <w:tcPr>
                  <w:tcW w:w="1174" w:type="dxa"/>
                  <w:shd w:val="clear" w:color="auto" w:fill="FFFFFF"/>
                  <w:noWrap/>
                  <w:tcMar>
                    <w:left w:w="28" w:type="dxa"/>
                    <w:right w:w="28" w:type="dxa"/>
                  </w:tcMar>
                  <w:vAlign w:val="center"/>
                </w:tcPr>
                <w:p w14:paraId="70A3B6A0">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w:t>
                  </w:r>
                </w:p>
              </w:tc>
              <w:tc>
                <w:tcPr>
                  <w:tcW w:w="2623" w:type="dxa"/>
                  <w:shd w:val="clear" w:color="auto" w:fill="FFFFFF"/>
                  <w:noWrap/>
                  <w:tcMar>
                    <w:left w:w="28" w:type="dxa"/>
                    <w:right w:w="28" w:type="dxa"/>
                  </w:tcMar>
                  <w:vAlign w:val="center"/>
                </w:tcPr>
                <w:p w14:paraId="1BDFDA62">
                  <w:pPr>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备漆</w:t>
                  </w:r>
                </w:p>
              </w:tc>
            </w:tr>
          </w:tbl>
          <w:p w14:paraId="4F9437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textAlignment w:val="auto"/>
              <w:rPr>
                <w:rFonts w:hint="default"/>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项目生产过程中使用的生产设备均不属于《产业结构调整指导目录》</w:t>
            </w:r>
            <w:r>
              <w:rPr>
                <w:rFonts w:hint="eastAsia"/>
                <w:color w:val="000000" w:themeColor="text1"/>
                <w:kern w:val="0"/>
                <w:sz w:val="24"/>
                <w:szCs w:val="24"/>
                <w:lang w:eastAsia="zh-CN"/>
                <w14:textFill>
                  <w14:solidFill>
                    <w14:schemeClr w14:val="tx1"/>
                  </w14:solidFill>
                </w14:textFill>
              </w:rPr>
              <w:t>（</w:t>
            </w:r>
            <w:r>
              <w:rPr>
                <w:rFonts w:hint="eastAsia"/>
                <w:color w:val="000000" w:themeColor="text1"/>
                <w:kern w:val="0"/>
                <w:sz w:val="24"/>
                <w:szCs w:val="24"/>
                <w14:textFill>
                  <w14:solidFill>
                    <w14:schemeClr w14:val="tx1"/>
                  </w14:solidFill>
                </w14:textFill>
              </w:rPr>
              <w:t>2024年本</w:t>
            </w:r>
            <w:r>
              <w:rPr>
                <w:rFonts w:hint="eastAsia"/>
                <w:color w:val="000000" w:themeColor="text1"/>
                <w:kern w:val="0"/>
                <w:sz w:val="24"/>
                <w:szCs w:val="24"/>
                <w:lang w:eastAsia="zh-CN"/>
                <w14:textFill>
                  <w14:solidFill>
                    <w14:schemeClr w14:val="tx1"/>
                  </w14:solidFill>
                </w14:textFill>
              </w:rPr>
              <w:t>）</w:t>
            </w:r>
            <w:r>
              <w:rPr>
                <w:rFonts w:hint="eastAsia"/>
                <w:color w:val="000000" w:themeColor="text1"/>
                <w:kern w:val="0"/>
                <w:sz w:val="24"/>
                <w:szCs w:val="24"/>
                <w14:textFill>
                  <w14:solidFill>
                    <w14:schemeClr w14:val="tx1"/>
                  </w14:solidFill>
                </w14:textFill>
              </w:rPr>
              <w:t>及国家明令淘汰用能设备、产品目录中的淘汰落后生产工艺装备。</w:t>
            </w:r>
          </w:p>
          <w:p w14:paraId="7D9778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2" w:firstLineChars="200"/>
              <w:jc w:val="both"/>
              <w:textAlignment w:val="auto"/>
              <w:rPr>
                <w:rFonts w:hint="default" w:ascii="Times New Roman" w:hAnsi="Times New Roman" w:cs="Times New Roman"/>
                <w:b/>
                <w:bCs/>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lang w:eastAsia="zh-CN"/>
                <w14:textFill>
                  <w14:solidFill>
                    <w14:schemeClr w14:val="tx1"/>
                  </w14:solidFill>
                </w14:textFill>
              </w:rPr>
              <w:t>产能匹配分析：</w:t>
            </w:r>
          </w:p>
          <w:p w14:paraId="6F22819E">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eastAsia="宋体"/>
                <w:color w:val="000000" w:themeColor="text1"/>
                <w:sz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根据建设单位提供资料，</w:t>
            </w:r>
            <w:r>
              <w:rPr>
                <w:rFonts w:hint="eastAsia"/>
                <w:color w:val="000000" w:themeColor="text1"/>
                <w:sz w:val="24"/>
                <w:szCs w:val="24"/>
                <w:highlight w:val="none"/>
                <w:lang w:val="en-US" w:eastAsia="zh-CN"/>
                <w14:textFill>
                  <w14:solidFill>
                    <w14:schemeClr w14:val="tx1"/>
                  </w14:solidFill>
                </w14:textFill>
              </w:rPr>
              <w:t>喷涂年</w:t>
            </w:r>
            <w:r>
              <w:rPr>
                <w:rFonts w:hint="eastAsia"/>
                <w:color w:val="000000" w:themeColor="text1"/>
                <w:sz w:val="24"/>
                <w:highlight w:val="none"/>
                <w:lang w:val="en-US" w:eastAsia="zh-CN"/>
                <w14:textFill>
                  <w14:solidFill>
                    <w14:schemeClr w14:val="tx1"/>
                  </w14:solidFill>
                </w14:textFill>
              </w:rPr>
              <w:t>工作300天，</w:t>
            </w:r>
            <w:r>
              <w:rPr>
                <w:rFonts w:hint="eastAsia"/>
                <w:color w:val="000000" w:themeColor="text1"/>
                <w:sz w:val="24"/>
                <w:highlight w:val="none"/>
                <w:lang w:eastAsia="zh-CN"/>
                <w14:textFill>
                  <w14:solidFill>
                    <w14:schemeClr w14:val="tx1"/>
                  </w14:solidFill>
                </w14:textFill>
              </w:rPr>
              <w:t>每天处理</w:t>
            </w:r>
            <w:r>
              <w:rPr>
                <w:rFonts w:hint="eastAsia"/>
                <w:color w:val="000000" w:themeColor="text1"/>
                <w:sz w:val="24"/>
                <w:highlight w:val="none"/>
                <w:lang w:val="en-US" w:eastAsia="zh-CN"/>
                <w14:textFill>
                  <w14:solidFill>
                    <w14:schemeClr w14:val="tx1"/>
                  </w14:solidFill>
                </w14:textFill>
              </w:rPr>
              <w:t>4</w:t>
            </w:r>
            <w:r>
              <w:rPr>
                <w:rFonts w:hint="eastAsia"/>
                <w:color w:val="000000" w:themeColor="text1"/>
                <w:sz w:val="24"/>
                <w:highlight w:val="none"/>
                <w:lang w:eastAsia="zh-CN"/>
                <w14:textFill>
                  <w14:solidFill>
                    <w14:schemeClr w14:val="tx1"/>
                  </w14:solidFill>
                </w14:textFill>
              </w:rPr>
              <w:t>个批次</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每天工作</w:t>
            </w:r>
            <w:r>
              <w:rPr>
                <w:rFonts w:hint="eastAsia"/>
                <w:color w:val="000000" w:themeColor="text1"/>
                <w:sz w:val="24"/>
                <w:highlight w:val="none"/>
                <w:lang w:val="en-US" w:eastAsia="zh-CN"/>
                <w14:textFill>
                  <w14:solidFill>
                    <w14:schemeClr w14:val="tx1"/>
                  </w14:solidFill>
                </w14:textFill>
              </w:rPr>
              <w:t>8h</w:t>
            </w:r>
            <w:r>
              <w:rPr>
                <w:rFonts w:hint="eastAsia"/>
                <w:color w:val="000000" w:themeColor="text1"/>
                <w:sz w:val="24"/>
                <w:highlight w:val="none"/>
                <w14:textFill>
                  <w14:solidFill>
                    <w14:schemeClr w14:val="tx1"/>
                  </w14:solidFill>
                </w14:textFill>
              </w:rPr>
              <w:t>。本项目</w:t>
            </w:r>
            <w:r>
              <w:rPr>
                <w:rFonts w:hint="eastAsia"/>
                <w:color w:val="000000" w:themeColor="text1"/>
                <w:sz w:val="24"/>
                <w:highlight w:val="none"/>
                <w:lang w:val="en-US" w:eastAsia="zh-CN"/>
                <w14:textFill>
                  <w14:solidFill>
                    <w14:schemeClr w14:val="tx1"/>
                  </w14:solidFill>
                </w14:textFill>
              </w:rPr>
              <w:t>烘干方式为流平固化后将工件放置在烘架上，将烘架推进烘箱烘干。共设6个烘箱，每个烘箱能放置4个烘架，烘架可放置6层。</w:t>
            </w:r>
          </w:p>
          <w:p w14:paraId="01F15E79">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center"/>
              <w:textAlignment w:val="auto"/>
              <w:rPr>
                <w:rFonts w:hint="default"/>
                <w:b/>
                <w:bCs/>
                <w:color w:val="000000" w:themeColor="text1"/>
                <w:sz w:val="24"/>
                <w:highlight w:val="none"/>
                <w14:textFill>
                  <w14:solidFill>
                    <w14:schemeClr w14:val="tx1"/>
                  </w14:solidFill>
                </w14:textFill>
              </w:rPr>
            </w:pPr>
            <w:r>
              <w:rPr>
                <w:rFonts w:hint="default"/>
                <w:b/>
                <w:bCs/>
                <w:color w:val="000000" w:themeColor="text1"/>
                <w:sz w:val="24"/>
                <w:highlight w:val="none"/>
                <w14:textFill>
                  <w14:solidFill>
                    <w14:schemeClr w14:val="tx1"/>
                  </w14:solidFill>
                </w14:textFill>
              </w:rPr>
              <w:t>表</w:t>
            </w:r>
            <w:r>
              <w:rPr>
                <w:rFonts w:hint="eastAsia"/>
                <w:b/>
                <w:bCs/>
                <w:color w:val="000000" w:themeColor="text1"/>
                <w:sz w:val="24"/>
                <w:highlight w:val="none"/>
                <w14:textFill>
                  <w14:solidFill>
                    <w14:schemeClr w14:val="tx1"/>
                  </w14:solidFill>
                </w14:textFill>
              </w:rPr>
              <w:t>2-</w:t>
            </w:r>
            <w:r>
              <w:rPr>
                <w:rFonts w:hint="eastAsia"/>
                <w:b/>
                <w:bCs/>
                <w:color w:val="000000" w:themeColor="text1"/>
                <w:sz w:val="24"/>
                <w:highlight w:val="none"/>
                <w:lang w:val="en-US" w:eastAsia="zh-CN"/>
                <w14:textFill>
                  <w14:solidFill>
                    <w14:schemeClr w14:val="tx1"/>
                  </w14:solidFill>
                </w14:textFill>
              </w:rPr>
              <w:t>5</w:t>
            </w:r>
            <w:r>
              <w:rPr>
                <w:rFonts w:hint="eastAsia"/>
                <w:b/>
                <w:bCs/>
                <w:color w:val="000000" w:themeColor="text1"/>
                <w:sz w:val="24"/>
                <w:highlight w:val="none"/>
                <w14:textFill>
                  <w14:solidFill>
                    <w14:schemeClr w14:val="tx1"/>
                  </w14:solidFill>
                </w14:textFill>
              </w:rPr>
              <w:t xml:space="preserve"> </w:t>
            </w:r>
            <w:r>
              <w:rPr>
                <w:rFonts w:hint="eastAsia"/>
                <w:b/>
                <w:bCs/>
                <w:color w:val="000000" w:themeColor="text1"/>
                <w:sz w:val="24"/>
                <w:highlight w:val="none"/>
                <w:lang w:val="en-US" w:eastAsia="zh-CN"/>
                <w14:textFill>
                  <w14:solidFill>
                    <w14:schemeClr w14:val="tx1"/>
                  </w14:solidFill>
                </w14:textFill>
              </w:rPr>
              <w:t>单</w:t>
            </w:r>
            <w:r>
              <w:rPr>
                <w:rFonts w:hint="eastAsia"/>
                <w:b/>
                <w:bCs/>
                <w:color w:val="000000" w:themeColor="text1"/>
                <w:sz w:val="24"/>
                <w:highlight w:val="none"/>
                <w:lang w:eastAsia="zh-CN"/>
                <w14:textFill>
                  <w14:solidFill>
                    <w14:schemeClr w14:val="tx1"/>
                  </w14:solidFill>
                </w14:textFill>
              </w:rPr>
              <w:t>批次</w:t>
            </w:r>
            <w:r>
              <w:rPr>
                <w:rFonts w:hint="default"/>
                <w:b/>
                <w:bCs/>
                <w:color w:val="000000" w:themeColor="text1"/>
                <w:sz w:val="24"/>
                <w:highlight w:val="none"/>
                <w14:textFill>
                  <w14:solidFill>
                    <w14:schemeClr w14:val="tx1"/>
                  </w14:solidFill>
                </w14:textFill>
              </w:rPr>
              <w:t>喷</w:t>
            </w:r>
            <w:r>
              <w:rPr>
                <w:rFonts w:hint="eastAsia"/>
                <w:b/>
                <w:bCs/>
                <w:color w:val="000000" w:themeColor="text1"/>
                <w:sz w:val="24"/>
                <w:highlight w:val="none"/>
                <w:lang w:val="en-US" w:eastAsia="zh-CN"/>
                <w14:textFill>
                  <w14:solidFill>
                    <w14:schemeClr w14:val="tx1"/>
                  </w14:solidFill>
                </w14:textFill>
              </w:rPr>
              <w:t>涂</w:t>
            </w:r>
            <w:r>
              <w:rPr>
                <w:rFonts w:hint="default"/>
                <w:b/>
                <w:bCs/>
                <w:color w:val="000000" w:themeColor="text1"/>
                <w:sz w:val="24"/>
                <w:highlight w:val="none"/>
                <w14:textFill>
                  <w14:solidFill>
                    <w14:schemeClr w14:val="tx1"/>
                  </w14:solidFill>
                </w14:textFill>
              </w:rPr>
              <w:t>工作</w:t>
            </w:r>
            <w:r>
              <w:rPr>
                <w:rFonts w:hint="eastAsia"/>
                <w:b/>
                <w:bCs/>
                <w:color w:val="000000" w:themeColor="text1"/>
                <w:sz w:val="24"/>
                <w:highlight w:val="none"/>
                <w14:textFill>
                  <w14:solidFill>
                    <w14:schemeClr w14:val="tx1"/>
                  </w14:solidFill>
                </w14:textFill>
              </w:rPr>
              <w:t>节拍</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2797"/>
              <w:gridCol w:w="2828"/>
            </w:tblGrid>
            <w:tr w14:paraId="2EBD4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2" w:type="dxa"/>
                  <w:noWrap w:val="0"/>
                  <w:vAlign w:val="center"/>
                </w:tcPr>
                <w:p w14:paraId="3FBF5680">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工序</w:t>
                  </w:r>
                </w:p>
              </w:tc>
              <w:tc>
                <w:tcPr>
                  <w:tcW w:w="2797" w:type="dxa"/>
                  <w:noWrap w:val="0"/>
                  <w:vAlign w:val="center"/>
                </w:tcPr>
                <w:p w14:paraId="00F6F00A">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单</w:t>
                  </w:r>
                  <w:r>
                    <w:rPr>
                      <w:rFonts w:hint="default"/>
                      <w:color w:val="000000" w:themeColor="text1"/>
                      <w:szCs w:val="21"/>
                      <w:highlight w:val="none"/>
                      <w14:textFill>
                        <w14:solidFill>
                          <w14:schemeClr w14:val="tx1"/>
                        </w14:solidFill>
                      </w14:textFill>
                    </w:rPr>
                    <w:t>批次工作时间（</w:t>
                  </w:r>
                  <w:r>
                    <w:rPr>
                      <w:rFonts w:hint="eastAsia"/>
                      <w:color w:val="000000" w:themeColor="text1"/>
                      <w:szCs w:val="21"/>
                      <w:highlight w:val="none"/>
                      <w14:textFill>
                        <w14:solidFill>
                          <w14:schemeClr w14:val="tx1"/>
                        </w14:solidFill>
                      </w14:textFill>
                    </w:rPr>
                    <w:t>min</w:t>
                  </w:r>
                  <w:r>
                    <w:rPr>
                      <w:rFonts w:hint="default"/>
                      <w:color w:val="000000" w:themeColor="text1"/>
                      <w:szCs w:val="21"/>
                      <w:highlight w:val="none"/>
                      <w14:textFill>
                        <w14:solidFill>
                          <w14:schemeClr w14:val="tx1"/>
                        </w14:solidFill>
                      </w14:textFill>
                    </w:rPr>
                    <w:t>）</w:t>
                  </w:r>
                </w:p>
              </w:tc>
              <w:tc>
                <w:tcPr>
                  <w:tcW w:w="2828" w:type="dxa"/>
                  <w:noWrap w:val="0"/>
                  <w:vAlign w:val="top"/>
                </w:tcPr>
                <w:p w14:paraId="68E2AFBE">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备注</w:t>
                  </w:r>
                </w:p>
              </w:tc>
            </w:tr>
            <w:tr w14:paraId="4CF5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2" w:type="dxa"/>
                  <w:shd w:val="clear" w:color="auto" w:fill="auto"/>
                  <w:noWrap w:val="0"/>
                  <w:vAlign w:val="center"/>
                </w:tcPr>
                <w:p w14:paraId="124E6839">
                  <w:pPr>
                    <w:keepNext w:val="0"/>
                    <w:keepLines w:val="0"/>
                    <w:suppressLineNumbers w:val="0"/>
                    <w:shd w:val="clear" w:color="auto" w:fill="auto"/>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备</w:t>
                  </w:r>
                  <w:r>
                    <w:rPr>
                      <w:rFonts w:hint="default"/>
                      <w:color w:val="000000" w:themeColor="text1"/>
                      <w:szCs w:val="21"/>
                      <w:highlight w:val="none"/>
                      <w14:textFill>
                        <w14:solidFill>
                          <w14:schemeClr w14:val="tx1"/>
                        </w14:solidFill>
                      </w14:textFill>
                    </w:rPr>
                    <w:t>漆</w:t>
                  </w:r>
                </w:p>
              </w:tc>
              <w:tc>
                <w:tcPr>
                  <w:tcW w:w="2797" w:type="dxa"/>
                  <w:noWrap w:val="0"/>
                  <w:vAlign w:val="center"/>
                </w:tcPr>
                <w:p w14:paraId="65E9E687">
                  <w:pPr>
                    <w:keepNext w:val="0"/>
                    <w:keepLines w:val="0"/>
                    <w:widowControl/>
                    <w:suppressLineNumbers w:val="0"/>
                    <w:jc w:val="center"/>
                    <w:textAlignment w:val="bottom"/>
                    <w:rPr>
                      <w:rFonts w:hint="default" w:eastAsia="宋体"/>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2828" w:type="dxa"/>
                  <w:noWrap w:val="0"/>
                  <w:vAlign w:val="top"/>
                </w:tcPr>
                <w:p w14:paraId="646867A2">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每天备漆1次，3min为平均到每批次</w:t>
                  </w:r>
                </w:p>
              </w:tc>
            </w:tr>
            <w:tr w14:paraId="52CA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2" w:type="dxa"/>
                  <w:shd w:val="clear" w:color="auto" w:fill="auto"/>
                  <w:noWrap w:val="0"/>
                  <w:vAlign w:val="center"/>
                </w:tcPr>
                <w:p w14:paraId="53EA371B">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Cs w:val="21"/>
                      <w:highlight w:val="none"/>
                      <w14:textFill>
                        <w14:solidFill>
                          <w14:schemeClr w14:val="tx1"/>
                        </w14:solidFill>
                      </w14:textFill>
                    </w:rPr>
                    <w:t>喷</w:t>
                  </w:r>
                  <w:r>
                    <w:rPr>
                      <w:rFonts w:hint="eastAsia"/>
                      <w:color w:val="000000" w:themeColor="text1"/>
                      <w:szCs w:val="21"/>
                      <w:highlight w:val="none"/>
                      <w:lang w:val="en-US" w:eastAsia="zh-CN"/>
                      <w14:textFill>
                        <w14:solidFill>
                          <w14:schemeClr w14:val="tx1"/>
                        </w14:solidFill>
                      </w14:textFill>
                    </w:rPr>
                    <w:t>底</w:t>
                  </w:r>
                  <w:r>
                    <w:rPr>
                      <w:rFonts w:hint="default"/>
                      <w:color w:val="000000" w:themeColor="text1"/>
                      <w:szCs w:val="21"/>
                      <w:highlight w:val="none"/>
                      <w14:textFill>
                        <w14:solidFill>
                          <w14:schemeClr w14:val="tx1"/>
                        </w14:solidFill>
                      </w14:textFill>
                    </w:rPr>
                    <w:t>漆</w:t>
                  </w:r>
                </w:p>
              </w:tc>
              <w:tc>
                <w:tcPr>
                  <w:tcW w:w="2797" w:type="dxa"/>
                  <w:shd w:val="clear" w:color="auto" w:fill="auto"/>
                  <w:noWrap w:val="0"/>
                  <w:vAlign w:val="bottom"/>
                </w:tcPr>
                <w:p w14:paraId="6E6E9A4B">
                  <w:pPr>
                    <w:keepNext w:val="0"/>
                    <w:keepLines w:val="0"/>
                    <w:widowControl/>
                    <w:suppressLineNumbers w:val="0"/>
                    <w:jc w:val="center"/>
                    <w:textAlignment w:val="bottom"/>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2828" w:type="dxa"/>
                  <w:shd w:val="clear" w:color="auto" w:fill="auto"/>
                  <w:noWrap w:val="0"/>
                  <w:vAlign w:val="top"/>
                </w:tcPr>
                <w:p w14:paraId="5178FAC3">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w:t>
                  </w:r>
                </w:p>
              </w:tc>
            </w:tr>
            <w:tr w14:paraId="328A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2" w:type="dxa"/>
                  <w:shd w:val="clear" w:color="auto" w:fill="auto"/>
                  <w:noWrap w:val="0"/>
                  <w:vAlign w:val="center"/>
                </w:tcPr>
                <w:p w14:paraId="2C187ADF">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底漆</w:t>
                  </w:r>
                  <w:r>
                    <w:rPr>
                      <w:rFonts w:hint="eastAsia"/>
                      <w:color w:val="000000" w:themeColor="text1"/>
                      <w:szCs w:val="21"/>
                      <w:highlight w:val="none"/>
                      <w14:textFill>
                        <w14:solidFill>
                          <w14:schemeClr w14:val="tx1"/>
                        </w14:solidFill>
                      </w14:textFill>
                    </w:rPr>
                    <w:t>流平固化</w:t>
                  </w:r>
                </w:p>
              </w:tc>
              <w:tc>
                <w:tcPr>
                  <w:tcW w:w="2797" w:type="dxa"/>
                  <w:shd w:val="clear" w:color="auto" w:fill="auto"/>
                  <w:noWrap w:val="0"/>
                  <w:vAlign w:val="bottom"/>
                </w:tcPr>
                <w:p w14:paraId="532FB06B">
                  <w:pPr>
                    <w:keepNext w:val="0"/>
                    <w:keepLines w:val="0"/>
                    <w:widowControl/>
                    <w:suppressLineNumbers w:val="0"/>
                    <w:jc w:val="center"/>
                    <w:textAlignment w:val="bottom"/>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c>
                <w:tcPr>
                  <w:tcW w:w="2828" w:type="dxa"/>
                  <w:shd w:val="clear" w:color="auto" w:fill="auto"/>
                  <w:noWrap w:val="0"/>
                  <w:vAlign w:val="top"/>
                </w:tcPr>
                <w:p w14:paraId="52300FF3">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常温</w:t>
                  </w:r>
                </w:p>
              </w:tc>
            </w:tr>
            <w:tr w14:paraId="13985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2" w:type="dxa"/>
                  <w:shd w:val="clear" w:color="auto" w:fill="auto"/>
                  <w:noWrap w:val="0"/>
                  <w:vAlign w:val="center"/>
                </w:tcPr>
                <w:p w14:paraId="4F56AB3E">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底漆烘干</w:t>
                  </w:r>
                </w:p>
              </w:tc>
              <w:tc>
                <w:tcPr>
                  <w:tcW w:w="2797" w:type="dxa"/>
                  <w:shd w:val="clear" w:color="auto" w:fill="auto"/>
                  <w:noWrap w:val="0"/>
                  <w:vAlign w:val="bottom"/>
                </w:tcPr>
                <w:p w14:paraId="1F695E58">
                  <w:pPr>
                    <w:keepNext w:val="0"/>
                    <w:keepLines w:val="0"/>
                    <w:widowControl/>
                    <w:suppressLineNumbers w:val="0"/>
                    <w:jc w:val="center"/>
                    <w:textAlignment w:val="bottom"/>
                    <w:rPr>
                      <w:rFonts w:hint="eastAsia" w:ascii="Times New Roman" w:hAnsi="Times New Roman" w:eastAsia="等线"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w:t>
                  </w:r>
                </w:p>
              </w:tc>
              <w:tc>
                <w:tcPr>
                  <w:tcW w:w="2828" w:type="dxa"/>
                  <w:shd w:val="clear" w:color="auto" w:fill="auto"/>
                  <w:noWrap w:val="0"/>
                  <w:vAlign w:val="top"/>
                </w:tcPr>
                <w:p w14:paraId="28B2BE90">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天然气加热</w:t>
                  </w:r>
                </w:p>
              </w:tc>
            </w:tr>
            <w:tr w14:paraId="5783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2" w:type="dxa"/>
                  <w:shd w:val="clear" w:color="auto" w:fill="auto"/>
                  <w:noWrap w:val="0"/>
                  <w:vAlign w:val="center"/>
                </w:tcPr>
                <w:p w14:paraId="66D9BA00">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Cs w:val="21"/>
                      <w:highlight w:val="none"/>
                      <w14:textFill>
                        <w14:solidFill>
                          <w14:schemeClr w14:val="tx1"/>
                        </w14:solidFill>
                      </w14:textFill>
                    </w:rPr>
                    <w:t>喷</w:t>
                  </w:r>
                  <w:r>
                    <w:rPr>
                      <w:rFonts w:hint="eastAsia"/>
                      <w:color w:val="000000" w:themeColor="text1"/>
                      <w:szCs w:val="21"/>
                      <w:highlight w:val="none"/>
                      <w:lang w:val="en-US" w:eastAsia="zh-CN"/>
                      <w14:textFill>
                        <w14:solidFill>
                          <w14:schemeClr w14:val="tx1"/>
                        </w14:solidFill>
                      </w14:textFill>
                    </w:rPr>
                    <w:t>面</w:t>
                  </w:r>
                  <w:r>
                    <w:rPr>
                      <w:rFonts w:hint="default"/>
                      <w:color w:val="000000" w:themeColor="text1"/>
                      <w:szCs w:val="21"/>
                      <w:highlight w:val="none"/>
                      <w14:textFill>
                        <w14:solidFill>
                          <w14:schemeClr w14:val="tx1"/>
                        </w14:solidFill>
                      </w14:textFill>
                    </w:rPr>
                    <w:t>漆</w:t>
                  </w:r>
                </w:p>
              </w:tc>
              <w:tc>
                <w:tcPr>
                  <w:tcW w:w="2797" w:type="dxa"/>
                  <w:noWrap w:val="0"/>
                  <w:vAlign w:val="bottom"/>
                </w:tcPr>
                <w:p w14:paraId="56963533">
                  <w:pPr>
                    <w:keepNext w:val="0"/>
                    <w:keepLines w:val="0"/>
                    <w:widowControl/>
                    <w:suppressLineNumbers w:val="0"/>
                    <w:jc w:val="center"/>
                    <w:textAlignment w:val="bottom"/>
                    <w:rPr>
                      <w:rFonts w:hint="default" w:eastAsia="宋体"/>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c>
                <w:tcPr>
                  <w:tcW w:w="2828" w:type="dxa"/>
                  <w:noWrap w:val="0"/>
                  <w:vAlign w:val="top"/>
                </w:tcPr>
                <w:p w14:paraId="0D26BC64">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r>
            <w:tr w14:paraId="3013D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2" w:type="dxa"/>
                  <w:shd w:val="clear" w:color="auto" w:fill="auto"/>
                  <w:noWrap w:val="0"/>
                  <w:vAlign w:val="center"/>
                </w:tcPr>
                <w:p w14:paraId="25AE6CEA">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面漆</w:t>
                  </w:r>
                  <w:r>
                    <w:rPr>
                      <w:rFonts w:hint="eastAsia"/>
                      <w:color w:val="000000" w:themeColor="text1"/>
                      <w:szCs w:val="21"/>
                      <w:highlight w:val="none"/>
                      <w14:textFill>
                        <w14:solidFill>
                          <w14:schemeClr w14:val="tx1"/>
                        </w14:solidFill>
                      </w14:textFill>
                    </w:rPr>
                    <w:t>流平固化</w:t>
                  </w:r>
                </w:p>
              </w:tc>
              <w:tc>
                <w:tcPr>
                  <w:tcW w:w="2797" w:type="dxa"/>
                  <w:noWrap w:val="0"/>
                  <w:vAlign w:val="bottom"/>
                </w:tcPr>
                <w:p w14:paraId="1A35210D">
                  <w:pPr>
                    <w:keepNext w:val="0"/>
                    <w:keepLines w:val="0"/>
                    <w:widowControl/>
                    <w:suppressLineNumbers w:val="0"/>
                    <w:jc w:val="center"/>
                    <w:textAlignment w:val="bottom"/>
                    <w:rPr>
                      <w:rFonts w:hint="default" w:eastAsia="宋体"/>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p>
              </w:tc>
              <w:tc>
                <w:tcPr>
                  <w:tcW w:w="2828" w:type="dxa"/>
                  <w:noWrap w:val="0"/>
                  <w:vAlign w:val="top"/>
                </w:tcPr>
                <w:p w14:paraId="4D07D906">
                  <w:pPr>
                    <w:keepNext w:val="0"/>
                    <w:keepLines w:val="0"/>
                    <w:suppressLineNumbers w:val="0"/>
                    <w:shd w:val="clear" w:color="auto" w:fill="auto"/>
                    <w:spacing w:before="0" w:beforeAutospacing="0" w:after="0" w:afterAutospacing="0"/>
                    <w:ind w:left="0" w:right="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常温</w:t>
                  </w:r>
                </w:p>
              </w:tc>
            </w:tr>
            <w:tr w14:paraId="33C2B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2" w:type="dxa"/>
                  <w:shd w:val="clear" w:color="auto" w:fill="auto"/>
                  <w:noWrap w:val="0"/>
                  <w:vAlign w:val="center"/>
                </w:tcPr>
                <w:p w14:paraId="7106C757">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面漆烘干</w:t>
                  </w:r>
                </w:p>
              </w:tc>
              <w:tc>
                <w:tcPr>
                  <w:tcW w:w="2797" w:type="dxa"/>
                  <w:noWrap w:val="0"/>
                  <w:vAlign w:val="bottom"/>
                </w:tcPr>
                <w:p w14:paraId="031E5C9C">
                  <w:pPr>
                    <w:keepNext w:val="0"/>
                    <w:keepLines w:val="0"/>
                    <w:widowControl/>
                    <w:suppressLineNumbers w:val="0"/>
                    <w:jc w:val="center"/>
                    <w:textAlignment w:val="bottom"/>
                    <w:rPr>
                      <w:rFonts w:hint="default" w:eastAsia="等线"/>
                      <w:color w:val="000000" w:themeColor="text1"/>
                      <w:kern w:val="0"/>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w:t>
                  </w:r>
                </w:p>
              </w:tc>
              <w:tc>
                <w:tcPr>
                  <w:tcW w:w="2828" w:type="dxa"/>
                  <w:noWrap w:val="0"/>
                  <w:vAlign w:val="top"/>
                </w:tcPr>
                <w:p w14:paraId="6BF71D4B">
                  <w:pPr>
                    <w:keepNext w:val="0"/>
                    <w:keepLines w:val="0"/>
                    <w:suppressLineNumbers w:val="0"/>
                    <w:shd w:val="clear" w:color="auto" w:fill="auto"/>
                    <w:spacing w:before="0" w:beforeAutospacing="0" w:after="0" w:afterAutospacing="0"/>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天然气加热</w:t>
                  </w:r>
                </w:p>
              </w:tc>
            </w:tr>
            <w:tr w14:paraId="019C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2" w:type="dxa"/>
                  <w:shd w:val="clear" w:color="auto" w:fill="auto"/>
                  <w:noWrap w:val="0"/>
                  <w:vAlign w:val="center"/>
                </w:tcPr>
                <w:p w14:paraId="63D67D0C">
                  <w:pPr>
                    <w:keepNext w:val="0"/>
                    <w:keepLines w:val="0"/>
                    <w:suppressLineNumbers w:val="0"/>
                    <w:shd w:val="clear" w:color="auto" w:fill="auto"/>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洗枪</w:t>
                  </w:r>
                </w:p>
              </w:tc>
              <w:tc>
                <w:tcPr>
                  <w:tcW w:w="2797" w:type="dxa"/>
                  <w:shd w:val="clear" w:color="auto" w:fill="auto"/>
                  <w:noWrap w:val="0"/>
                  <w:vAlign w:val="center"/>
                </w:tcPr>
                <w:p w14:paraId="37413EF3">
                  <w:pPr>
                    <w:keepNext w:val="0"/>
                    <w:keepLines w:val="0"/>
                    <w:widowControl/>
                    <w:suppressLineNumbers w:val="0"/>
                    <w:jc w:val="center"/>
                    <w:textAlignment w:val="bottom"/>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2828" w:type="dxa"/>
                  <w:shd w:val="clear" w:color="auto" w:fill="auto"/>
                  <w:noWrap w:val="0"/>
                  <w:vAlign w:val="top"/>
                </w:tcPr>
                <w:p w14:paraId="3CF3EE90">
                  <w:pPr>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每天洗枪1次，3min为平均到每批次</w:t>
                  </w:r>
                </w:p>
              </w:tc>
            </w:tr>
            <w:tr w14:paraId="13CA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2" w:type="dxa"/>
                  <w:shd w:val="clear" w:color="auto" w:fill="auto"/>
                  <w:noWrap w:val="0"/>
                  <w:vAlign w:val="center"/>
                </w:tcPr>
                <w:p w14:paraId="068EEC13">
                  <w:pPr>
                    <w:keepNext w:val="0"/>
                    <w:keepLines w:val="0"/>
                    <w:suppressLineNumbers w:val="0"/>
                    <w:shd w:val="clear" w:color="auto" w:fill="auto"/>
                    <w:spacing w:before="0" w:beforeAutospacing="0" w:after="0" w:afterAutospacing="0"/>
                    <w:ind w:left="0" w:right="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合计</w:t>
                  </w:r>
                </w:p>
              </w:tc>
              <w:tc>
                <w:tcPr>
                  <w:tcW w:w="2797" w:type="dxa"/>
                  <w:shd w:val="clear" w:color="auto" w:fill="auto"/>
                  <w:noWrap w:val="0"/>
                  <w:vAlign w:val="bottom"/>
                </w:tcPr>
                <w:p w14:paraId="7B811C3C">
                  <w:pPr>
                    <w:keepNext w:val="0"/>
                    <w:keepLines w:val="0"/>
                    <w:widowControl/>
                    <w:suppressLineNumbers w:val="0"/>
                    <w:jc w:val="center"/>
                    <w:textAlignment w:val="bottom"/>
                    <w:rPr>
                      <w:rFonts w:hint="default" w:eastAsia="等线"/>
                      <w:color w:val="000000" w:themeColor="text1"/>
                      <w:kern w:val="0"/>
                      <w:szCs w:val="21"/>
                      <w:highlight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120</w:t>
                  </w:r>
                </w:p>
              </w:tc>
              <w:tc>
                <w:tcPr>
                  <w:tcW w:w="2828" w:type="dxa"/>
                  <w:shd w:val="clear" w:color="auto" w:fill="auto"/>
                  <w:noWrap w:val="0"/>
                  <w:vAlign w:val="top"/>
                </w:tcPr>
                <w:p w14:paraId="49EF7BA7">
                  <w:pPr>
                    <w:keepNext w:val="0"/>
                    <w:keepLines w:val="0"/>
                    <w:suppressLineNumbers w:val="0"/>
                    <w:shd w:val="clear" w:color="auto" w:fill="auto"/>
                    <w:spacing w:before="0" w:beforeAutospacing="0" w:after="0" w:afterAutospacing="0"/>
                    <w:ind w:left="0" w:right="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bl>
          <w:p w14:paraId="45B6EC7B">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center"/>
              <w:textAlignment w:val="auto"/>
              <w:rPr>
                <w:rFonts w:hint="default"/>
                <w:b/>
                <w:bCs/>
                <w:color w:val="000000" w:themeColor="text1"/>
                <w:sz w:val="24"/>
                <w:highlight w:val="none"/>
                <w:lang w:val="en-US"/>
                <w14:textFill>
                  <w14:solidFill>
                    <w14:schemeClr w14:val="tx1"/>
                  </w14:solidFill>
                </w14:textFill>
              </w:rPr>
            </w:pPr>
            <w:r>
              <w:rPr>
                <w:rFonts w:hint="default"/>
                <w:b/>
                <w:bCs/>
                <w:color w:val="000000" w:themeColor="text1"/>
                <w:sz w:val="24"/>
                <w:highlight w:val="none"/>
                <w14:textFill>
                  <w14:solidFill>
                    <w14:schemeClr w14:val="tx1"/>
                  </w14:solidFill>
                </w14:textFill>
              </w:rPr>
              <w:t>表</w:t>
            </w:r>
            <w:r>
              <w:rPr>
                <w:rFonts w:hint="eastAsia"/>
                <w:b/>
                <w:bCs/>
                <w:color w:val="000000" w:themeColor="text1"/>
                <w:sz w:val="24"/>
                <w:highlight w:val="none"/>
                <w14:textFill>
                  <w14:solidFill>
                    <w14:schemeClr w14:val="tx1"/>
                  </w14:solidFill>
                </w14:textFill>
              </w:rPr>
              <w:t>2-</w:t>
            </w:r>
            <w:r>
              <w:rPr>
                <w:rFonts w:hint="eastAsia"/>
                <w:b/>
                <w:bCs/>
                <w:color w:val="000000" w:themeColor="text1"/>
                <w:sz w:val="24"/>
                <w:highlight w:val="none"/>
                <w:lang w:val="en-US" w:eastAsia="zh-CN"/>
                <w14:textFill>
                  <w14:solidFill>
                    <w14:schemeClr w14:val="tx1"/>
                  </w14:solidFill>
                </w14:textFill>
              </w:rPr>
              <w:t>6</w:t>
            </w:r>
            <w:r>
              <w:rPr>
                <w:rFonts w:hint="eastAsia"/>
                <w:b/>
                <w:bCs/>
                <w:color w:val="000000" w:themeColor="text1"/>
                <w:sz w:val="24"/>
                <w:highlight w:val="none"/>
                <w14:textFill>
                  <w14:solidFill>
                    <w14:schemeClr w14:val="tx1"/>
                  </w14:solidFill>
                </w14:textFill>
              </w:rPr>
              <w:t xml:space="preserve"> </w:t>
            </w:r>
            <w:r>
              <w:rPr>
                <w:rFonts w:hint="eastAsia"/>
                <w:b/>
                <w:bCs/>
                <w:color w:val="000000" w:themeColor="text1"/>
                <w:sz w:val="24"/>
                <w:highlight w:val="none"/>
                <w:lang w:val="en-US" w:eastAsia="zh-CN"/>
                <w14:textFill>
                  <w14:solidFill>
                    <w14:schemeClr w14:val="tx1"/>
                  </w14:solidFill>
                </w14:textFill>
              </w:rPr>
              <w:t>烘箱产能匹配分析</w:t>
            </w:r>
          </w:p>
          <w:tbl>
            <w:tblPr>
              <w:tblStyle w:val="2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1"/>
              <w:gridCol w:w="1196"/>
              <w:gridCol w:w="2634"/>
              <w:gridCol w:w="1336"/>
            </w:tblGrid>
            <w:tr w14:paraId="4084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1" w:type="dxa"/>
                  <w:vAlign w:val="top"/>
                </w:tcPr>
                <w:p w14:paraId="3735CF1B">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类别</w:t>
                  </w:r>
                </w:p>
              </w:tc>
              <w:tc>
                <w:tcPr>
                  <w:tcW w:w="1196" w:type="dxa"/>
                </w:tcPr>
                <w:p w14:paraId="6074B5AE">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数量（件）</w:t>
                  </w:r>
                </w:p>
              </w:tc>
              <w:tc>
                <w:tcPr>
                  <w:tcW w:w="2634" w:type="dxa"/>
                  <w:shd w:val="clear" w:color="auto" w:fill="auto"/>
                  <w:vAlign w:val="top"/>
                </w:tcPr>
                <w:p w14:paraId="1EC5F699">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类别</w:t>
                  </w:r>
                </w:p>
              </w:tc>
              <w:tc>
                <w:tcPr>
                  <w:tcW w:w="1336" w:type="dxa"/>
                  <w:shd w:val="clear" w:color="auto" w:fill="auto"/>
                  <w:vAlign w:val="top"/>
                </w:tcPr>
                <w:p w14:paraId="3A3FE66B">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数量（件）</w:t>
                  </w:r>
                </w:p>
              </w:tc>
            </w:tr>
            <w:tr w14:paraId="324A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1" w:type="dxa"/>
                  <w:shd w:val="clear" w:color="auto" w:fill="auto"/>
                  <w:vAlign w:val="top"/>
                </w:tcPr>
                <w:p w14:paraId="0E04EA3A">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烘架层数</w:t>
                  </w:r>
                </w:p>
              </w:tc>
              <w:tc>
                <w:tcPr>
                  <w:tcW w:w="1196" w:type="dxa"/>
                  <w:shd w:val="clear" w:color="auto" w:fill="auto"/>
                  <w:vAlign w:val="top"/>
                </w:tcPr>
                <w:p w14:paraId="1A0DBA5F">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6</w:t>
                  </w:r>
                </w:p>
              </w:tc>
              <w:tc>
                <w:tcPr>
                  <w:tcW w:w="2634" w:type="dxa"/>
                  <w:shd w:val="clear" w:color="auto" w:fill="auto"/>
                  <w:vAlign w:val="top"/>
                </w:tcPr>
                <w:p w14:paraId="1347DEBF">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烘架层数</w:t>
                  </w:r>
                </w:p>
              </w:tc>
              <w:tc>
                <w:tcPr>
                  <w:tcW w:w="1336" w:type="dxa"/>
                  <w:shd w:val="clear" w:color="auto" w:fill="auto"/>
                  <w:vAlign w:val="top"/>
                </w:tcPr>
                <w:p w14:paraId="0462BBD7">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6</w:t>
                  </w:r>
                </w:p>
              </w:tc>
            </w:tr>
            <w:tr w14:paraId="06E6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1" w:type="dxa"/>
                </w:tcPr>
                <w:p w14:paraId="48F68F65">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单层烘架放置灯</w:t>
                  </w:r>
                  <w:r>
                    <w:rPr>
                      <w:rFonts w:hint="eastAsia" w:cs="Times New Roman"/>
                      <w:color w:val="000000" w:themeColor="text1"/>
                      <w:szCs w:val="21"/>
                      <w:highlight w:val="none"/>
                      <w:lang w:val="en-US" w:eastAsia="zh-CN"/>
                      <w14:textFill>
                        <w14:solidFill>
                          <w14:schemeClr w14:val="tx1"/>
                        </w14:solidFill>
                      </w14:textFill>
                    </w:rPr>
                    <w:t>壳</w:t>
                  </w:r>
                  <w:r>
                    <w:rPr>
                      <w:rFonts w:hint="eastAsia" w:ascii="Times New Roman" w:hAnsi="Times New Roman" w:cs="Times New Roman"/>
                      <w:color w:val="000000" w:themeColor="text1"/>
                      <w:szCs w:val="21"/>
                      <w:highlight w:val="none"/>
                      <w:lang w:val="en-US" w:eastAsia="zh-CN"/>
                      <w14:textFill>
                        <w14:solidFill>
                          <w14:schemeClr w14:val="tx1"/>
                        </w14:solidFill>
                      </w14:textFill>
                    </w:rPr>
                    <w:t>量</w:t>
                  </w:r>
                </w:p>
              </w:tc>
              <w:tc>
                <w:tcPr>
                  <w:tcW w:w="1196" w:type="dxa"/>
                </w:tcPr>
                <w:p w14:paraId="26F51A32">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16</w:t>
                  </w:r>
                </w:p>
              </w:tc>
              <w:tc>
                <w:tcPr>
                  <w:tcW w:w="2634" w:type="dxa"/>
                  <w:shd w:val="clear" w:color="auto" w:fill="auto"/>
                  <w:vAlign w:val="top"/>
                </w:tcPr>
                <w:p w14:paraId="1784127D">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单层烘架放置尾盖量</w:t>
                  </w:r>
                </w:p>
              </w:tc>
              <w:tc>
                <w:tcPr>
                  <w:tcW w:w="1336" w:type="dxa"/>
                  <w:shd w:val="clear" w:color="auto" w:fill="auto"/>
                  <w:vAlign w:val="top"/>
                </w:tcPr>
                <w:p w14:paraId="18F12B44">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100</w:t>
                  </w:r>
                </w:p>
              </w:tc>
            </w:tr>
            <w:tr w14:paraId="5E51F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1" w:type="dxa"/>
                  <w:shd w:val="clear" w:color="auto" w:fill="auto"/>
                  <w:vAlign w:val="top"/>
                </w:tcPr>
                <w:p w14:paraId="1A3F7643">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单批次放置灯壳烘架数量</w:t>
                  </w:r>
                </w:p>
              </w:tc>
              <w:tc>
                <w:tcPr>
                  <w:tcW w:w="1196" w:type="dxa"/>
                  <w:shd w:val="clear" w:color="auto" w:fill="auto"/>
                  <w:vAlign w:val="top"/>
                </w:tcPr>
                <w:p w14:paraId="54745443">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20</w:t>
                  </w:r>
                </w:p>
              </w:tc>
              <w:tc>
                <w:tcPr>
                  <w:tcW w:w="2634" w:type="dxa"/>
                  <w:shd w:val="clear" w:color="auto" w:fill="auto"/>
                  <w:vAlign w:val="top"/>
                </w:tcPr>
                <w:p w14:paraId="17DFC3F2">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单批次放置尾盖烘架数量</w:t>
                  </w:r>
                </w:p>
              </w:tc>
              <w:tc>
                <w:tcPr>
                  <w:tcW w:w="1336" w:type="dxa"/>
                  <w:shd w:val="clear" w:color="auto" w:fill="auto"/>
                  <w:vAlign w:val="top"/>
                </w:tcPr>
                <w:p w14:paraId="42F692F9">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4</w:t>
                  </w:r>
                </w:p>
              </w:tc>
            </w:tr>
            <w:tr w14:paraId="75CA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1" w:type="dxa"/>
                  <w:shd w:val="clear" w:color="auto" w:fill="auto"/>
                  <w:vAlign w:val="top"/>
                </w:tcPr>
                <w:p w14:paraId="1DD19B59">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日生产批次</w:t>
                  </w:r>
                </w:p>
              </w:tc>
              <w:tc>
                <w:tcPr>
                  <w:tcW w:w="1196" w:type="dxa"/>
                  <w:shd w:val="clear" w:color="auto" w:fill="auto"/>
                  <w:vAlign w:val="top"/>
                </w:tcPr>
                <w:p w14:paraId="49363934">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4</w:t>
                  </w:r>
                </w:p>
              </w:tc>
              <w:tc>
                <w:tcPr>
                  <w:tcW w:w="2634" w:type="dxa"/>
                  <w:shd w:val="clear" w:color="auto" w:fill="auto"/>
                  <w:vAlign w:val="top"/>
                </w:tcPr>
                <w:p w14:paraId="54FFDCA3">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日生产批次</w:t>
                  </w:r>
                </w:p>
              </w:tc>
              <w:tc>
                <w:tcPr>
                  <w:tcW w:w="1336" w:type="dxa"/>
                  <w:shd w:val="clear" w:color="auto" w:fill="auto"/>
                  <w:vAlign w:val="top"/>
                </w:tcPr>
                <w:p w14:paraId="693B0B21">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kern w:val="2"/>
                      <w:sz w:val="21"/>
                      <w:szCs w:val="21"/>
                      <w:highlight w:val="none"/>
                      <w:lang w:val="en-US" w:eastAsia="zh-CN" w:bidi="ar-SA"/>
                      <w14:textFill>
                        <w14:solidFill>
                          <w14:schemeClr w14:val="tx1"/>
                        </w14:solidFill>
                      </w14:textFill>
                    </w:rPr>
                    <w:t>4</w:t>
                  </w:r>
                </w:p>
              </w:tc>
            </w:tr>
            <w:tr w14:paraId="06E6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1" w:type="dxa"/>
                </w:tcPr>
                <w:p w14:paraId="5BEEFEDD">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年生产天数</w:t>
                  </w:r>
                </w:p>
              </w:tc>
              <w:tc>
                <w:tcPr>
                  <w:tcW w:w="1196" w:type="dxa"/>
                </w:tcPr>
                <w:p w14:paraId="353F027A">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300</w:t>
                  </w:r>
                </w:p>
              </w:tc>
              <w:tc>
                <w:tcPr>
                  <w:tcW w:w="2634" w:type="dxa"/>
                  <w:shd w:val="clear" w:color="auto" w:fill="auto"/>
                  <w:vAlign w:val="top"/>
                </w:tcPr>
                <w:p w14:paraId="77C1563C">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年生产天数</w:t>
                  </w:r>
                </w:p>
              </w:tc>
              <w:tc>
                <w:tcPr>
                  <w:tcW w:w="1336" w:type="dxa"/>
                  <w:shd w:val="clear" w:color="auto" w:fill="auto"/>
                  <w:vAlign w:val="top"/>
                </w:tcPr>
                <w:p w14:paraId="2027071B">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300</w:t>
                  </w:r>
                </w:p>
              </w:tc>
            </w:tr>
            <w:tr w14:paraId="4F4D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1" w:type="dxa"/>
                </w:tcPr>
                <w:p w14:paraId="54DB4A68">
                  <w:pPr>
                    <w:keepNext w:val="0"/>
                    <w:keepLines w:val="0"/>
                    <w:suppressLineNumbers w:val="0"/>
                    <w:shd w:val="clear" w:color="auto" w:fill="auto"/>
                    <w:spacing w:before="0" w:beforeAutospacing="0" w:after="0" w:afterAutospacing="0"/>
                    <w:ind w:left="0" w:right="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年设计生产灯壳量</w:t>
                  </w:r>
                </w:p>
              </w:tc>
              <w:tc>
                <w:tcPr>
                  <w:tcW w:w="1196" w:type="dxa"/>
                </w:tcPr>
                <w:p w14:paraId="2DBDFE4B">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230.4万</w:t>
                  </w:r>
                </w:p>
              </w:tc>
              <w:tc>
                <w:tcPr>
                  <w:tcW w:w="2634" w:type="dxa"/>
                </w:tcPr>
                <w:p w14:paraId="16FC50C8">
                  <w:pPr>
                    <w:keepNext w:val="0"/>
                    <w:keepLines w:val="0"/>
                    <w:suppressLineNumbers w:val="0"/>
                    <w:shd w:val="clear" w:color="auto" w:fill="auto"/>
                    <w:spacing w:before="0" w:beforeAutospacing="0" w:after="0" w:afterAutospacing="0"/>
                    <w:ind w:left="0" w:right="0"/>
                    <w:jc w:val="center"/>
                    <w:rPr>
                      <w:rFonts w:hint="eastAsia"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年设计生产尾盖量</w:t>
                  </w:r>
                </w:p>
              </w:tc>
              <w:tc>
                <w:tcPr>
                  <w:tcW w:w="1336" w:type="dxa"/>
                </w:tcPr>
                <w:p w14:paraId="070B9514">
                  <w:pPr>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288万</w:t>
                  </w:r>
                </w:p>
              </w:tc>
            </w:tr>
            <w:tr w14:paraId="74A53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1" w:type="dxa"/>
                  <w:shd w:val="clear" w:color="auto" w:fill="auto"/>
                  <w:vAlign w:val="top"/>
                </w:tcPr>
                <w:p w14:paraId="125332E2">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年生产灯壳量</w:t>
                  </w:r>
                </w:p>
              </w:tc>
              <w:tc>
                <w:tcPr>
                  <w:tcW w:w="1196" w:type="dxa"/>
                  <w:shd w:val="clear" w:color="auto" w:fill="auto"/>
                  <w:vAlign w:val="top"/>
                </w:tcPr>
                <w:p w14:paraId="4AE4363E">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200万</w:t>
                  </w:r>
                </w:p>
              </w:tc>
              <w:tc>
                <w:tcPr>
                  <w:tcW w:w="2634" w:type="dxa"/>
                  <w:shd w:val="clear" w:color="auto" w:fill="auto"/>
                  <w:vAlign w:val="top"/>
                </w:tcPr>
                <w:p w14:paraId="737E0504">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年生产尾盖量</w:t>
                  </w:r>
                </w:p>
              </w:tc>
              <w:tc>
                <w:tcPr>
                  <w:tcW w:w="1336" w:type="dxa"/>
                  <w:shd w:val="clear" w:color="auto" w:fill="auto"/>
                  <w:vAlign w:val="top"/>
                </w:tcPr>
                <w:p w14:paraId="5E042BA5">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Cs w:val="21"/>
                      <w:highlight w:val="none"/>
                      <w:lang w:val="en-US" w:eastAsia="zh-CN"/>
                      <w14:textFill>
                        <w14:solidFill>
                          <w14:schemeClr w14:val="tx1"/>
                        </w14:solidFill>
                      </w14:textFill>
                    </w:rPr>
                    <w:t>150万</w:t>
                  </w:r>
                </w:p>
              </w:tc>
            </w:tr>
            <w:tr w14:paraId="14493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7" w:type="dxa"/>
                  <w:gridSpan w:val="4"/>
                  <w:shd w:val="clear" w:color="auto" w:fill="auto"/>
                  <w:vAlign w:val="top"/>
                </w:tcPr>
                <w:p w14:paraId="3E739AFC">
                  <w:pPr>
                    <w:keepNext w:val="0"/>
                    <w:keepLines w:val="0"/>
                    <w:suppressLineNumbers w:val="0"/>
                    <w:shd w:val="clear" w:color="auto" w:fill="auto"/>
                    <w:spacing w:before="0" w:beforeAutospacing="0" w:after="0" w:afterAutospacing="0"/>
                    <w:ind w:left="0" w:leftChars="0" w:right="0" w:rightChars="0"/>
                    <w:jc w:val="left"/>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烘架尺寸：</w:t>
                  </w:r>
                  <w:r>
                    <w:rPr>
                      <w:rFonts w:hint="eastAsia"/>
                      <w:color w:val="000000" w:themeColor="text1"/>
                      <w:szCs w:val="21"/>
                      <w:highlight w:val="none"/>
                      <w:lang w:val="en-US" w:eastAsia="zh-CN"/>
                      <w14:textFill>
                        <w14:solidFill>
                          <w14:schemeClr w14:val="tx1"/>
                        </w14:solidFill>
                      </w14:textFill>
                    </w:rPr>
                    <w:t>1.9</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1</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1.5m</w:t>
                  </w:r>
                </w:p>
              </w:tc>
            </w:tr>
          </w:tbl>
          <w:p w14:paraId="3D10220B">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color w:val="000000" w:themeColor="text1"/>
                <w:sz w:val="24"/>
                <w:highlight w:val="none"/>
                <w:lang w:val="en-US" w:eastAsia="zh-CN"/>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据上述分析，项目喷涂工序的生产能力与产能匹配。</w:t>
            </w:r>
          </w:p>
          <w:p w14:paraId="33953AA2">
            <w:pPr>
              <w:keepNext w:val="0"/>
              <w:keepLines w:val="0"/>
              <w:suppressLineNumbers w:val="0"/>
              <w:adjustRightInd w:val="0"/>
              <w:snapToGrid w:val="0"/>
              <w:spacing w:before="0" w:beforeAutospacing="0" w:after="0" w:afterAutospacing="0" w:line="360" w:lineRule="auto"/>
              <w:ind w:left="0" w:right="0"/>
              <w:jc w:val="left"/>
              <w:rPr>
                <w:rFonts w:hint="default"/>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6</w:t>
            </w:r>
            <w:r>
              <w:rPr>
                <w:rFonts w:hint="default"/>
                <w:b/>
                <w:bCs/>
                <w:color w:val="000000" w:themeColor="text1"/>
                <w:sz w:val="24"/>
                <w:szCs w:val="24"/>
                <w14:textFill>
                  <w14:solidFill>
                    <w14:schemeClr w14:val="tx1"/>
                  </w14:solidFill>
                </w14:textFill>
              </w:rPr>
              <w:t>、原辅材料</w:t>
            </w:r>
          </w:p>
          <w:p w14:paraId="0DF11CB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本</w:t>
            </w:r>
            <w:r>
              <w:rPr>
                <w:rFonts w:hint="default"/>
                <w:color w:val="000000" w:themeColor="text1"/>
                <w:kern w:val="0"/>
                <w:sz w:val="24"/>
                <w:szCs w:val="24"/>
                <w14:textFill>
                  <w14:solidFill>
                    <w14:schemeClr w14:val="tx1"/>
                  </w14:solidFill>
                </w14:textFill>
              </w:rPr>
              <w:t>项目主要原辅材料消耗量见表2-</w:t>
            </w:r>
            <w:r>
              <w:rPr>
                <w:rFonts w:hint="eastAsia"/>
                <w:color w:val="000000" w:themeColor="text1"/>
                <w:kern w:val="0"/>
                <w:sz w:val="24"/>
                <w:szCs w:val="24"/>
                <w:lang w:val="en-US" w:eastAsia="zh-CN"/>
                <w14:textFill>
                  <w14:solidFill>
                    <w14:schemeClr w14:val="tx1"/>
                  </w14:solidFill>
                </w14:textFill>
              </w:rPr>
              <w:t>7</w:t>
            </w:r>
            <w:r>
              <w:rPr>
                <w:rFonts w:hint="default"/>
                <w:color w:val="000000" w:themeColor="text1"/>
                <w:kern w:val="0"/>
                <w:sz w:val="24"/>
                <w:szCs w:val="24"/>
                <w14:textFill>
                  <w14:solidFill>
                    <w14:schemeClr w14:val="tx1"/>
                  </w14:solidFill>
                </w14:textFill>
              </w:rPr>
              <w:t>。</w:t>
            </w:r>
          </w:p>
          <w:p w14:paraId="16BC43F1">
            <w:pPr>
              <w:keepNext w:val="0"/>
              <w:keepLines w:val="0"/>
              <w:suppressLineNumbers w:val="0"/>
              <w:spacing w:before="0" w:beforeAutospacing="0" w:after="0" w:afterAutospacing="0"/>
              <w:ind w:left="0" w:right="0"/>
              <w:jc w:val="center"/>
              <w:rPr>
                <w:rFonts w:hint="default"/>
                <w:b/>
                <w:color w:val="000000" w:themeColor="text1"/>
                <w:sz w:val="24"/>
                <w:szCs w:val="24"/>
                <w14:textFill>
                  <w14:solidFill>
                    <w14:schemeClr w14:val="tx1"/>
                  </w14:solidFill>
                </w14:textFill>
              </w:rPr>
            </w:pPr>
          </w:p>
          <w:p w14:paraId="50AE0CDA">
            <w:pPr>
              <w:keepNext w:val="0"/>
              <w:keepLines w:val="0"/>
              <w:suppressLineNumbers w:val="0"/>
              <w:spacing w:before="0" w:beforeAutospacing="0" w:after="0" w:afterAutospacing="0"/>
              <w:ind w:left="0" w:right="0"/>
              <w:jc w:val="center"/>
              <w:rPr>
                <w:rFonts w:hint="default"/>
                <w:b/>
                <w:color w:val="000000" w:themeColor="text1"/>
                <w:sz w:val="24"/>
                <w:szCs w:val="24"/>
                <w14:textFill>
                  <w14:solidFill>
                    <w14:schemeClr w14:val="tx1"/>
                  </w14:solidFill>
                </w14:textFill>
              </w:rPr>
            </w:pPr>
            <w:r>
              <w:rPr>
                <w:rFonts w:hint="default"/>
                <w:b/>
                <w:color w:val="000000" w:themeColor="text1"/>
                <w:sz w:val="24"/>
                <w:szCs w:val="24"/>
                <w14:textFill>
                  <w14:solidFill>
                    <w14:schemeClr w14:val="tx1"/>
                  </w14:solidFill>
                </w14:textFill>
              </w:rPr>
              <w:t>表2-</w:t>
            </w:r>
            <w:r>
              <w:rPr>
                <w:rFonts w:hint="eastAsia"/>
                <w:b/>
                <w:color w:val="000000" w:themeColor="text1"/>
                <w:sz w:val="24"/>
                <w:szCs w:val="24"/>
                <w:lang w:val="en-US" w:eastAsia="zh-CN"/>
                <w14:textFill>
                  <w14:solidFill>
                    <w14:schemeClr w14:val="tx1"/>
                  </w14:solidFill>
                </w14:textFill>
              </w:rPr>
              <w:t>7</w:t>
            </w:r>
            <w:r>
              <w:rPr>
                <w:rFonts w:hint="default"/>
                <w:b/>
                <w:color w:val="000000" w:themeColor="text1"/>
                <w:sz w:val="24"/>
                <w:szCs w:val="24"/>
                <w14:textFill>
                  <w14:solidFill>
                    <w14:schemeClr w14:val="tx1"/>
                  </w14:solidFill>
                </w14:textFill>
              </w:rPr>
              <w:t xml:space="preserve"> 项目主要原辅材料及能源消耗量一览表</w:t>
            </w:r>
          </w:p>
          <w:tbl>
            <w:tblPr>
              <w:tblStyle w:val="2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29"/>
              <w:gridCol w:w="700"/>
              <w:gridCol w:w="870"/>
              <w:gridCol w:w="1044"/>
              <w:gridCol w:w="1382"/>
              <w:gridCol w:w="1570"/>
            </w:tblGrid>
            <w:tr w14:paraId="437C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Align w:val="center"/>
                </w:tcPr>
                <w:p w14:paraId="030C2889">
                  <w:pPr>
                    <w:keepNext w:val="0"/>
                    <w:keepLines w:val="0"/>
                    <w:suppressLineNumbers w:val="0"/>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序号</w:t>
                  </w:r>
                </w:p>
              </w:tc>
              <w:tc>
                <w:tcPr>
                  <w:tcW w:w="1729" w:type="dxa"/>
                  <w:vAlign w:val="center"/>
                </w:tcPr>
                <w:p w14:paraId="2E7819BA">
                  <w:pPr>
                    <w:keepNext w:val="0"/>
                    <w:keepLines w:val="0"/>
                    <w:suppressLineNumbers w:val="0"/>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名称</w:t>
                  </w:r>
                </w:p>
              </w:tc>
              <w:tc>
                <w:tcPr>
                  <w:tcW w:w="700" w:type="dxa"/>
                  <w:vAlign w:val="center"/>
                </w:tcPr>
                <w:p w14:paraId="01374FFD">
                  <w:pPr>
                    <w:keepNext w:val="0"/>
                    <w:keepLines w:val="0"/>
                    <w:suppressLineNumbers w:val="0"/>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单位</w:t>
                  </w:r>
                </w:p>
              </w:tc>
              <w:tc>
                <w:tcPr>
                  <w:tcW w:w="870" w:type="dxa"/>
                  <w:vAlign w:val="center"/>
                </w:tcPr>
                <w:p w14:paraId="3C501993">
                  <w:pPr>
                    <w:keepNext w:val="0"/>
                    <w:keepLines w:val="0"/>
                    <w:suppressLineNumbers w:val="0"/>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年用量</w:t>
                  </w:r>
                </w:p>
              </w:tc>
              <w:tc>
                <w:tcPr>
                  <w:tcW w:w="1044" w:type="dxa"/>
                  <w:vAlign w:val="center"/>
                </w:tcPr>
                <w:p w14:paraId="6028D7A0">
                  <w:pPr>
                    <w:keepNext w:val="0"/>
                    <w:keepLines w:val="0"/>
                    <w:suppressLineNumbers w:val="0"/>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最大暂存量</w:t>
                  </w:r>
                </w:p>
              </w:tc>
              <w:tc>
                <w:tcPr>
                  <w:tcW w:w="1382" w:type="dxa"/>
                  <w:vAlign w:val="center"/>
                </w:tcPr>
                <w:p w14:paraId="6E290663">
                  <w:pPr>
                    <w:keepNext w:val="0"/>
                    <w:keepLines w:val="0"/>
                    <w:suppressLineNumbers w:val="0"/>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规格</w:t>
                  </w:r>
                  <w:r>
                    <w:rPr>
                      <w:rFonts w:hint="default"/>
                      <w:b/>
                      <w:color w:val="000000" w:themeColor="text1"/>
                      <w:sz w:val="21"/>
                      <w:szCs w:val="21"/>
                      <w14:textFill>
                        <w14:solidFill>
                          <w14:schemeClr w14:val="tx1"/>
                        </w14:solidFill>
                      </w14:textFill>
                    </w:rPr>
                    <w:t>型号</w:t>
                  </w:r>
                </w:p>
              </w:tc>
              <w:tc>
                <w:tcPr>
                  <w:tcW w:w="1570" w:type="dxa"/>
                  <w:vAlign w:val="center"/>
                </w:tcPr>
                <w:p w14:paraId="6727296F">
                  <w:pPr>
                    <w:keepNext w:val="0"/>
                    <w:keepLines w:val="0"/>
                    <w:suppressLineNumbers w:val="0"/>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备注</w:t>
                  </w:r>
                </w:p>
              </w:tc>
            </w:tr>
            <w:tr w14:paraId="74D27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642" w:type="dxa"/>
                  <w:vAlign w:val="center"/>
                </w:tcPr>
                <w:p w14:paraId="58FC0411">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729" w:type="dxa"/>
                  <w:vAlign w:val="center"/>
                </w:tcPr>
                <w:p w14:paraId="66F9A194">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ABS灯壳毛坯件</w:t>
                  </w:r>
                </w:p>
              </w:tc>
              <w:tc>
                <w:tcPr>
                  <w:tcW w:w="700" w:type="dxa"/>
                  <w:vAlign w:val="center"/>
                </w:tcPr>
                <w:p w14:paraId="2D24793F">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个</w:t>
                  </w:r>
                </w:p>
              </w:tc>
              <w:tc>
                <w:tcPr>
                  <w:tcW w:w="870" w:type="dxa"/>
                  <w:vAlign w:val="center"/>
                </w:tcPr>
                <w:p w14:paraId="412BB31E">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200万</w:t>
                  </w:r>
                </w:p>
              </w:tc>
              <w:tc>
                <w:tcPr>
                  <w:tcW w:w="1044" w:type="dxa"/>
                  <w:vAlign w:val="center"/>
                </w:tcPr>
                <w:p w14:paraId="58BACEE0">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5万</w:t>
                  </w:r>
                </w:p>
              </w:tc>
              <w:tc>
                <w:tcPr>
                  <w:tcW w:w="1382" w:type="dxa"/>
                  <w:vAlign w:val="center"/>
                </w:tcPr>
                <w:p w14:paraId="4695B1FA">
                  <w:pPr>
                    <w:keepNext w:val="0"/>
                    <w:keepLines w:val="0"/>
                    <w:widowControl/>
                    <w:suppressLineNumbers w:val="0"/>
                    <w:spacing w:before="0" w:beforeAutospacing="0" w:after="0" w:afterAutospacing="0"/>
                    <w:ind w:left="0" w:leftChars="0" w:right="0" w:rightChars="0"/>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1570" w:type="dxa"/>
                  <w:vAlign w:val="center"/>
                </w:tcPr>
                <w:p w14:paraId="505869FF">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毛坯件堆放</w:t>
                  </w:r>
                  <w:r>
                    <w:rPr>
                      <w:rFonts w:hint="eastAsia"/>
                      <w:color w:val="000000" w:themeColor="text1"/>
                      <w:sz w:val="21"/>
                      <w:szCs w:val="21"/>
                      <w14:textFill>
                        <w14:solidFill>
                          <w14:schemeClr w14:val="tx1"/>
                        </w14:solidFill>
                      </w14:textFill>
                    </w:rPr>
                    <w:t>区</w:t>
                  </w:r>
                </w:p>
              </w:tc>
            </w:tr>
            <w:tr w14:paraId="0CF2D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vAlign w:val="center"/>
                </w:tcPr>
                <w:p w14:paraId="32BC557A">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1729" w:type="dxa"/>
                  <w:vAlign w:val="center"/>
                </w:tcPr>
                <w:p w14:paraId="0EDE7DF3">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hAnsi="宋体"/>
                      <w:bCs/>
                      <w:color w:val="000000" w:themeColor="text1"/>
                      <w:sz w:val="21"/>
                      <w:szCs w:val="21"/>
                      <w:lang w:val="en-US" w:eastAsia="zh-CN"/>
                      <w14:textFill>
                        <w14:solidFill>
                          <w14:schemeClr w14:val="tx1"/>
                        </w14:solidFill>
                      </w14:textFill>
                    </w:rPr>
                    <w:t>ABS尾盖毛坯件</w:t>
                  </w:r>
                </w:p>
              </w:tc>
              <w:tc>
                <w:tcPr>
                  <w:tcW w:w="700" w:type="dxa"/>
                  <w:vAlign w:val="center"/>
                </w:tcPr>
                <w:p w14:paraId="1C29AD29">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个</w:t>
                  </w:r>
                </w:p>
              </w:tc>
              <w:tc>
                <w:tcPr>
                  <w:tcW w:w="870" w:type="dxa"/>
                  <w:vAlign w:val="center"/>
                </w:tcPr>
                <w:p w14:paraId="1C335D4B">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150万</w:t>
                  </w:r>
                </w:p>
              </w:tc>
              <w:tc>
                <w:tcPr>
                  <w:tcW w:w="1044" w:type="dxa"/>
                  <w:vAlign w:val="center"/>
                </w:tcPr>
                <w:p w14:paraId="17112351">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5万</w:t>
                  </w:r>
                </w:p>
              </w:tc>
              <w:tc>
                <w:tcPr>
                  <w:tcW w:w="1382" w:type="dxa"/>
                  <w:vAlign w:val="center"/>
                </w:tcPr>
                <w:p w14:paraId="4EB0EDBA">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 w:val="21"/>
                      <w:szCs w:val="21"/>
                      <w:lang w:val="en-US"/>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w:t>
                  </w:r>
                </w:p>
              </w:tc>
              <w:tc>
                <w:tcPr>
                  <w:tcW w:w="1570" w:type="dxa"/>
                  <w:vAlign w:val="center"/>
                </w:tcPr>
                <w:p w14:paraId="2E81622C">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毛坯件堆放</w:t>
                  </w:r>
                  <w:r>
                    <w:rPr>
                      <w:rFonts w:hint="eastAsia"/>
                      <w:color w:val="000000" w:themeColor="text1"/>
                      <w:sz w:val="21"/>
                      <w:szCs w:val="21"/>
                      <w14:textFill>
                        <w14:solidFill>
                          <w14:schemeClr w14:val="tx1"/>
                        </w14:solidFill>
                      </w14:textFill>
                    </w:rPr>
                    <w:t>区</w:t>
                  </w:r>
                </w:p>
              </w:tc>
            </w:tr>
            <w:tr w14:paraId="0BE6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642" w:type="dxa"/>
                  <w:shd w:val="clear" w:color="auto" w:fill="auto"/>
                  <w:vAlign w:val="center"/>
                </w:tcPr>
                <w:p w14:paraId="1D5F58DE">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729" w:type="dxa"/>
                  <w:shd w:val="clear" w:color="auto" w:fill="auto"/>
                  <w:vAlign w:val="center"/>
                </w:tcPr>
                <w:p w14:paraId="2942F674">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砂纸</w:t>
                  </w:r>
                </w:p>
              </w:tc>
              <w:tc>
                <w:tcPr>
                  <w:tcW w:w="700" w:type="dxa"/>
                  <w:shd w:val="clear" w:color="auto" w:fill="auto"/>
                  <w:vAlign w:val="center"/>
                </w:tcPr>
                <w:p w14:paraId="788A9D9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t</w:t>
                  </w:r>
                </w:p>
              </w:tc>
              <w:tc>
                <w:tcPr>
                  <w:tcW w:w="870" w:type="dxa"/>
                  <w:shd w:val="clear" w:color="auto" w:fill="auto"/>
                  <w:vAlign w:val="center"/>
                </w:tcPr>
                <w:p w14:paraId="047C16F3">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0.5</w:t>
                  </w:r>
                </w:p>
              </w:tc>
              <w:tc>
                <w:tcPr>
                  <w:tcW w:w="1044" w:type="dxa"/>
                  <w:shd w:val="clear" w:color="auto" w:fill="auto"/>
                  <w:vAlign w:val="center"/>
                </w:tcPr>
                <w:p w14:paraId="783B5CFD">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0.1</w:t>
                  </w:r>
                </w:p>
              </w:tc>
              <w:tc>
                <w:tcPr>
                  <w:tcW w:w="1382" w:type="dxa"/>
                  <w:shd w:val="clear" w:color="auto" w:fill="auto"/>
                  <w:vAlign w:val="center"/>
                </w:tcPr>
                <w:p w14:paraId="7CE3E98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w:t>
                  </w:r>
                </w:p>
              </w:tc>
              <w:tc>
                <w:tcPr>
                  <w:tcW w:w="1570" w:type="dxa"/>
                  <w:shd w:val="clear" w:color="auto" w:fill="auto"/>
                  <w:vAlign w:val="center"/>
                </w:tcPr>
                <w:p w14:paraId="2C0A01A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打磨</w:t>
                  </w:r>
                </w:p>
              </w:tc>
            </w:tr>
            <w:tr w14:paraId="2993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shd w:val="clear" w:color="auto" w:fill="auto"/>
                  <w:vAlign w:val="center"/>
                </w:tcPr>
                <w:p w14:paraId="43DBC0C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4</w:t>
                  </w:r>
                </w:p>
              </w:tc>
              <w:tc>
                <w:tcPr>
                  <w:tcW w:w="1729" w:type="dxa"/>
                  <w:shd w:val="clear" w:color="auto" w:fill="auto"/>
                  <w:vAlign w:val="center"/>
                </w:tcPr>
                <w:p w14:paraId="0555156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宋体" w:eastAsia="宋体" w:cs="Times New Roman"/>
                      <w:bCs/>
                      <w:color w:val="000000" w:themeColor="text1"/>
                      <w:kern w:val="2"/>
                      <w:sz w:val="21"/>
                      <w:szCs w:val="21"/>
                      <w:lang w:val="en-US" w:eastAsia="zh-CN" w:bidi="ar-SA"/>
                      <w14:textFill>
                        <w14:solidFill>
                          <w14:schemeClr w14:val="tx1"/>
                        </w14:solidFill>
                      </w14:textFill>
                    </w:rPr>
                  </w:pPr>
                  <w:r>
                    <w:rPr>
                      <w:rFonts w:hint="eastAsia" w:hAnsi="宋体"/>
                      <w:bCs/>
                      <w:color w:val="000000" w:themeColor="text1"/>
                      <w:sz w:val="21"/>
                      <w:szCs w:val="21"/>
                      <w:lang w:eastAsia="zh-CN"/>
                      <w14:textFill>
                        <w14:solidFill>
                          <w14:schemeClr w14:val="tx1"/>
                        </w14:solidFill>
                      </w14:textFill>
                    </w:rPr>
                    <w:t>水性漆</w:t>
                  </w:r>
                </w:p>
              </w:tc>
              <w:tc>
                <w:tcPr>
                  <w:tcW w:w="700" w:type="dxa"/>
                  <w:shd w:val="clear" w:color="auto" w:fill="auto"/>
                  <w:vAlign w:val="center"/>
                </w:tcPr>
                <w:p w14:paraId="57D3F98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t</w:t>
                  </w:r>
                </w:p>
              </w:tc>
              <w:tc>
                <w:tcPr>
                  <w:tcW w:w="870" w:type="dxa"/>
                  <w:shd w:val="clear" w:color="auto" w:fill="auto"/>
                  <w:vAlign w:val="center"/>
                </w:tcPr>
                <w:p w14:paraId="317DADD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24.48</w:t>
                  </w:r>
                </w:p>
              </w:tc>
              <w:tc>
                <w:tcPr>
                  <w:tcW w:w="1044" w:type="dxa"/>
                  <w:shd w:val="clear" w:color="auto" w:fill="auto"/>
                  <w:vAlign w:val="center"/>
                </w:tcPr>
                <w:p w14:paraId="3298C51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p>
              </w:tc>
              <w:tc>
                <w:tcPr>
                  <w:tcW w:w="1382" w:type="dxa"/>
                  <w:shd w:val="clear" w:color="auto" w:fill="auto"/>
                  <w:vAlign w:val="center"/>
                </w:tcPr>
                <w:p w14:paraId="46C883E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r>
                    <w:rPr>
                      <w:rFonts w:hint="eastAsia"/>
                      <w:color w:val="000000" w:themeColor="text1"/>
                      <w:sz w:val="21"/>
                      <w:szCs w:val="21"/>
                      <w14:textFill>
                        <w14:solidFill>
                          <w14:schemeClr w14:val="tx1"/>
                        </w14:solidFill>
                      </w14:textFill>
                    </w:rPr>
                    <w:t>kg/桶</w:t>
                  </w:r>
                </w:p>
              </w:tc>
              <w:tc>
                <w:tcPr>
                  <w:tcW w:w="1570" w:type="dxa"/>
                  <w:shd w:val="clear" w:color="auto" w:fill="auto"/>
                  <w:vAlign w:val="center"/>
                </w:tcPr>
                <w:p w14:paraId="412BDDB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shd w:val="clear" w:color="auto" w:fill="FFFFFF"/>
                      <w:lang w:val="en-US" w:eastAsia="zh-CN" w:bidi="ar-SA"/>
                      <w14:textFill>
                        <w14:solidFill>
                          <w14:schemeClr w14:val="tx1"/>
                        </w14:solidFill>
                      </w14:textFill>
                    </w:rPr>
                  </w:pPr>
                  <w:r>
                    <w:rPr>
                      <w:rFonts w:hint="eastAsia"/>
                      <w:color w:val="000000" w:themeColor="text1"/>
                      <w:sz w:val="21"/>
                      <w:szCs w:val="21"/>
                      <w:shd w:val="clear" w:color="auto" w:fill="FFFFFF"/>
                      <w:lang w:val="en-US" w:eastAsia="zh-CN"/>
                      <w14:textFill>
                        <w14:solidFill>
                          <w14:schemeClr w14:val="tx1"/>
                        </w14:solidFill>
                      </w14:textFill>
                    </w:rPr>
                    <w:t>水性漆库房</w:t>
                  </w:r>
                </w:p>
              </w:tc>
            </w:tr>
            <w:tr w14:paraId="17D9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shd w:val="clear" w:color="auto" w:fill="auto"/>
                  <w:vAlign w:val="center"/>
                </w:tcPr>
                <w:p w14:paraId="32E87B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5</w:t>
                  </w:r>
                </w:p>
              </w:tc>
              <w:tc>
                <w:tcPr>
                  <w:tcW w:w="1729" w:type="dxa"/>
                  <w:shd w:val="clear" w:color="auto" w:fill="auto"/>
                  <w:vAlign w:val="center"/>
                </w:tcPr>
                <w:p w14:paraId="04BB6FCD">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过滤棉</w:t>
                  </w:r>
                </w:p>
              </w:tc>
              <w:tc>
                <w:tcPr>
                  <w:tcW w:w="700" w:type="dxa"/>
                  <w:shd w:val="clear" w:color="auto" w:fill="auto"/>
                  <w:vAlign w:val="center"/>
                </w:tcPr>
                <w:p w14:paraId="6FAAA21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t</w:t>
                  </w:r>
                </w:p>
              </w:tc>
              <w:tc>
                <w:tcPr>
                  <w:tcW w:w="870" w:type="dxa"/>
                  <w:shd w:val="clear" w:color="auto" w:fill="auto"/>
                  <w:vAlign w:val="center"/>
                </w:tcPr>
                <w:p w14:paraId="25E06660">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0.6</w:t>
                  </w:r>
                </w:p>
              </w:tc>
              <w:tc>
                <w:tcPr>
                  <w:tcW w:w="1044" w:type="dxa"/>
                  <w:shd w:val="clear" w:color="auto" w:fill="auto"/>
                  <w:vAlign w:val="center"/>
                </w:tcPr>
                <w:p w14:paraId="7A70D6F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0.15</w:t>
                  </w:r>
                </w:p>
              </w:tc>
              <w:tc>
                <w:tcPr>
                  <w:tcW w:w="1382" w:type="dxa"/>
                  <w:shd w:val="clear" w:color="auto" w:fill="auto"/>
                  <w:vAlign w:val="center"/>
                </w:tcPr>
                <w:p w14:paraId="40377821">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570" w:type="dxa"/>
                  <w:shd w:val="clear" w:color="auto" w:fill="auto"/>
                  <w:vAlign w:val="center"/>
                </w:tcPr>
                <w:p w14:paraId="40F2511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废气处理</w:t>
                  </w:r>
                </w:p>
              </w:tc>
            </w:tr>
            <w:tr w14:paraId="541F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shd w:val="clear" w:color="auto" w:fill="auto"/>
                  <w:vAlign w:val="center"/>
                </w:tcPr>
                <w:p w14:paraId="653723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6</w:t>
                  </w:r>
                </w:p>
              </w:tc>
              <w:tc>
                <w:tcPr>
                  <w:tcW w:w="1729" w:type="dxa"/>
                  <w:shd w:val="clear" w:color="auto" w:fill="auto"/>
                  <w:vAlign w:val="center"/>
                </w:tcPr>
                <w:p w14:paraId="0BAC889B">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活性炭</w:t>
                  </w:r>
                </w:p>
              </w:tc>
              <w:tc>
                <w:tcPr>
                  <w:tcW w:w="700" w:type="dxa"/>
                  <w:shd w:val="clear" w:color="auto" w:fill="auto"/>
                  <w:vAlign w:val="center"/>
                </w:tcPr>
                <w:p w14:paraId="007FABF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t</w:t>
                  </w:r>
                </w:p>
              </w:tc>
              <w:tc>
                <w:tcPr>
                  <w:tcW w:w="870" w:type="dxa"/>
                  <w:shd w:val="clear" w:color="auto" w:fill="auto"/>
                  <w:vAlign w:val="center"/>
                </w:tcPr>
                <w:p w14:paraId="13B49CE2">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11.07</w:t>
                  </w:r>
                </w:p>
              </w:tc>
              <w:tc>
                <w:tcPr>
                  <w:tcW w:w="1044" w:type="dxa"/>
                  <w:shd w:val="clear" w:color="auto" w:fill="auto"/>
                  <w:vAlign w:val="center"/>
                </w:tcPr>
                <w:p w14:paraId="443F96F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2.8</w:t>
                  </w:r>
                </w:p>
              </w:tc>
              <w:tc>
                <w:tcPr>
                  <w:tcW w:w="1382" w:type="dxa"/>
                  <w:shd w:val="clear" w:color="auto" w:fill="auto"/>
                  <w:vAlign w:val="center"/>
                </w:tcPr>
                <w:p w14:paraId="0CD128C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570" w:type="dxa"/>
                  <w:shd w:val="clear" w:color="auto" w:fill="auto"/>
                  <w:vAlign w:val="center"/>
                </w:tcPr>
                <w:p w14:paraId="189A158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废气处理</w:t>
                  </w:r>
                </w:p>
              </w:tc>
            </w:tr>
            <w:tr w14:paraId="4A11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shd w:val="clear" w:color="auto" w:fill="auto"/>
                  <w:vAlign w:val="center"/>
                </w:tcPr>
                <w:p w14:paraId="6A96CB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7</w:t>
                  </w:r>
                </w:p>
              </w:tc>
              <w:tc>
                <w:tcPr>
                  <w:tcW w:w="1729" w:type="dxa"/>
                  <w:shd w:val="clear" w:color="auto" w:fill="auto"/>
                  <w:vAlign w:val="center"/>
                </w:tcPr>
                <w:p w14:paraId="554423C9">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高分子过滤棉</w:t>
                  </w:r>
                </w:p>
              </w:tc>
              <w:tc>
                <w:tcPr>
                  <w:tcW w:w="700" w:type="dxa"/>
                  <w:shd w:val="clear" w:color="auto" w:fill="auto"/>
                  <w:vAlign w:val="center"/>
                </w:tcPr>
                <w:p w14:paraId="063CF64C">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kg</w:t>
                  </w:r>
                </w:p>
              </w:tc>
              <w:tc>
                <w:tcPr>
                  <w:tcW w:w="870" w:type="dxa"/>
                  <w:shd w:val="clear" w:color="auto" w:fill="auto"/>
                  <w:vAlign w:val="center"/>
                </w:tcPr>
                <w:p w14:paraId="0E7599AC">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120</w:t>
                  </w:r>
                </w:p>
              </w:tc>
              <w:tc>
                <w:tcPr>
                  <w:tcW w:w="1044" w:type="dxa"/>
                  <w:shd w:val="clear" w:color="auto" w:fill="auto"/>
                  <w:vAlign w:val="center"/>
                </w:tcPr>
                <w:p w14:paraId="2F86D37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10</w:t>
                  </w:r>
                </w:p>
              </w:tc>
              <w:tc>
                <w:tcPr>
                  <w:tcW w:w="1382" w:type="dxa"/>
                  <w:shd w:val="clear" w:color="auto" w:fill="auto"/>
                  <w:vAlign w:val="center"/>
                </w:tcPr>
                <w:p w14:paraId="25D6D46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570" w:type="dxa"/>
                  <w:shd w:val="clear" w:color="auto" w:fill="auto"/>
                  <w:vAlign w:val="center"/>
                </w:tcPr>
                <w:p w14:paraId="733DA87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废气处理</w:t>
                  </w:r>
                </w:p>
              </w:tc>
            </w:tr>
            <w:tr w14:paraId="0CE5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shd w:val="clear" w:color="auto" w:fill="auto"/>
                  <w:vAlign w:val="center"/>
                </w:tcPr>
                <w:p w14:paraId="7A6587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8</w:t>
                  </w:r>
                </w:p>
              </w:tc>
              <w:tc>
                <w:tcPr>
                  <w:tcW w:w="1729" w:type="dxa"/>
                  <w:shd w:val="clear" w:color="auto" w:fill="auto"/>
                  <w:vAlign w:val="center"/>
                </w:tcPr>
                <w:p w14:paraId="52D11D66">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PAM</w:t>
                  </w:r>
                </w:p>
              </w:tc>
              <w:tc>
                <w:tcPr>
                  <w:tcW w:w="700" w:type="dxa"/>
                  <w:shd w:val="clear" w:color="auto" w:fill="auto"/>
                  <w:vAlign w:val="center"/>
                </w:tcPr>
                <w:p w14:paraId="2BCC3DFE">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kg</w:t>
                  </w:r>
                </w:p>
              </w:tc>
              <w:tc>
                <w:tcPr>
                  <w:tcW w:w="870" w:type="dxa"/>
                  <w:shd w:val="clear" w:color="auto" w:fill="auto"/>
                  <w:vAlign w:val="center"/>
                </w:tcPr>
                <w:p w14:paraId="7D7977A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0.81</w:t>
                  </w:r>
                </w:p>
              </w:tc>
              <w:tc>
                <w:tcPr>
                  <w:tcW w:w="1044" w:type="dxa"/>
                  <w:shd w:val="clear" w:color="auto" w:fill="auto"/>
                  <w:vAlign w:val="center"/>
                </w:tcPr>
                <w:p w14:paraId="0E5A01AD">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0.81</w:t>
                  </w:r>
                </w:p>
              </w:tc>
              <w:tc>
                <w:tcPr>
                  <w:tcW w:w="1382" w:type="dxa"/>
                  <w:shd w:val="clear" w:color="auto" w:fill="auto"/>
                  <w:vAlign w:val="center"/>
                </w:tcPr>
                <w:p w14:paraId="01DEBC2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570" w:type="dxa"/>
                  <w:shd w:val="clear" w:color="auto" w:fill="auto"/>
                  <w:vAlign w:val="center"/>
                </w:tcPr>
                <w:p w14:paraId="1D35800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喷漆废水处理</w:t>
                  </w:r>
                </w:p>
              </w:tc>
            </w:tr>
            <w:tr w14:paraId="575B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shd w:val="clear" w:color="auto" w:fill="auto"/>
                  <w:vAlign w:val="center"/>
                </w:tcPr>
                <w:p w14:paraId="75338A9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9</w:t>
                  </w:r>
                </w:p>
              </w:tc>
              <w:tc>
                <w:tcPr>
                  <w:tcW w:w="1729" w:type="dxa"/>
                  <w:shd w:val="clear" w:color="auto" w:fill="auto"/>
                  <w:vAlign w:val="center"/>
                </w:tcPr>
                <w:p w14:paraId="0953C8EC">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PAC</w:t>
                  </w:r>
                </w:p>
              </w:tc>
              <w:tc>
                <w:tcPr>
                  <w:tcW w:w="700" w:type="dxa"/>
                  <w:shd w:val="clear" w:color="auto" w:fill="auto"/>
                  <w:vAlign w:val="center"/>
                </w:tcPr>
                <w:p w14:paraId="2A18F72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kg</w:t>
                  </w:r>
                </w:p>
              </w:tc>
              <w:tc>
                <w:tcPr>
                  <w:tcW w:w="870" w:type="dxa"/>
                  <w:shd w:val="clear" w:color="auto" w:fill="auto"/>
                  <w:vAlign w:val="center"/>
                </w:tcPr>
                <w:p w14:paraId="332F2D10">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0.27</w:t>
                  </w:r>
                </w:p>
              </w:tc>
              <w:tc>
                <w:tcPr>
                  <w:tcW w:w="1044" w:type="dxa"/>
                  <w:shd w:val="clear" w:color="auto" w:fill="auto"/>
                  <w:vAlign w:val="center"/>
                </w:tcPr>
                <w:p w14:paraId="58063E5E">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0.27</w:t>
                  </w:r>
                </w:p>
              </w:tc>
              <w:tc>
                <w:tcPr>
                  <w:tcW w:w="1382" w:type="dxa"/>
                  <w:shd w:val="clear" w:color="auto" w:fill="auto"/>
                  <w:vAlign w:val="center"/>
                </w:tcPr>
                <w:p w14:paraId="1E80084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570" w:type="dxa"/>
                  <w:shd w:val="clear" w:color="auto" w:fill="auto"/>
                  <w:vAlign w:val="center"/>
                </w:tcPr>
                <w:p w14:paraId="4A8B838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喷漆废水处理</w:t>
                  </w:r>
                </w:p>
              </w:tc>
            </w:tr>
            <w:tr w14:paraId="5F17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shd w:val="clear" w:color="auto" w:fill="auto"/>
                  <w:vAlign w:val="center"/>
                </w:tcPr>
                <w:p w14:paraId="69A5DD0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10</w:t>
                  </w:r>
                </w:p>
              </w:tc>
              <w:tc>
                <w:tcPr>
                  <w:tcW w:w="1729" w:type="dxa"/>
                  <w:shd w:val="clear" w:color="auto" w:fill="auto"/>
                  <w:vAlign w:val="center"/>
                </w:tcPr>
                <w:p w14:paraId="09976EF8">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机油</w:t>
                  </w:r>
                </w:p>
              </w:tc>
              <w:tc>
                <w:tcPr>
                  <w:tcW w:w="700" w:type="dxa"/>
                  <w:shd w:val="clear" w:color="auto" w:fill="auto"/>
                  <w:vAlign w:val="center"/>
                </w:tcPr>
                <w:p w14:paraId="303077A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eastAsia"/>
                      <w:color w:val="000000" w:themeColor="text1"/>
                      <w:kern w:val="0"/>
                      <w:sz w:val="21"/>
                      <w:szCs w:val="21"/>
                      <w:vertAlign w:val="baseline"/>
                      <w:lang w:val="en-US" w:eastAsia="zh-CN"/>
                      <w14:textFill>
                        <w14:solidFill>
                          <w14:schemeClr w14:val="tx1"/>
                        </w14:solidFill>
                      </w14:textFill>
                    </w:rPr>
                    <w:t>桶</w:t>
                  </w:r>
                </w:p>
              </w:tc>
              <w:tc>
                <w:tcPr>
                  <w:tcW w:w="870" w:type="dxa"/>
                  <w:shd w:val="clear" w:color="auto" w:fill="auto"/>
                  <w:vAlign w:val="center"/>
                </w:tcPr>
                <w:p w14:paraId="6B40A4D3">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1</w:t>
                  </w:r>
                </w:p>
              </w:tc>
              <w:tc>
                <w:tcPr>
                  <w:tcW w:w="1044" w:type="dxa"/>
                  <w:shd w:val="clear" w:color="auto" w:fill="auto"/>
                  <w:vAlign w:val="center"/>
                </w:tcPr>
                <w:p w14:paraId="15D91EA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1</w:t>
                  </w:r>
                </w:p>
              </w:tc>
              <w:tc>
                <w:tcPr>
                  <w:tcW w:w="1382" w:type="dxa"/>
                  <w:shd w:val="clear" w:color="auto" w:fill="auto"/>
                  <w:vAlign w:val="center"/>
                </w:tcPr>
                <w:p w14:paraId="2889446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100kg/桶</w:t>
                  </w:r>
                </w:p>
              </w:tc>
              <w:tc>
                <w:tcPr>
                  <w:tcW w:w="1570" w:type="dxa"/>
                  <w:shd w:val="clear" w:color="auto" w:fill="auto"/>
                  <w:vAlign w:val="center"/>
                </w:tcPr>
                <w:p w14:paraId="33E9DC4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设备维护保养</w:t>
                  </w:r>
                </w:p>
              </w:tc>
            </w:tr>
            <w:tr w14:paraId="25E79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shd w:val="clear" w:color="auto" w:fill="auto"/>
                  <w:vAlign w:val="center"/>
                </w:tcPr>
                <w:p w14:paraId="0870D89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11</w:t>
                  </w:r>
                </w:p>
              </w:tc>
              <w:tc>
                <w:tcPr>
                  <w:tcW w:w="1729" w:type="dxa"/>
                  <w:shd w:val="clear" w:color="auto" w:fill="auto"/>
                  <w:vAlign w:val="center"/>
                </w:tcPr>
                <w:p w14:paraId="09F16442">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喷漆遮蔽纸</w:t>
                  </w:r>
                </w:p>
              </w:tc>
              <w:tc>
                <w:tcPr>
                  <w:tcW w:w="700" w:type="dxa"/>
                  <w:shd w:val="clear" w:color="auto" w:fill="auto"/>
                  <w:vAlign w:val="center"/>
                </w:tcPr>
                <w:p w14:paraId="0D00D14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eastAsia" w:cs="Times New Roman"/>
                      <w:color w:val="000000" w:themeColor="text1"/>
                      <w:kern w:val="0"/>
                      <w:sz w:val="21"/>
                      <w:szCs w:val="21"/>
                      <w:vertAlign w:val="baseline"/>
                      <w:lang w:val="en-US" w:eastAsia="zh-CN" w:bidi="ar-SA"/>
                      <w14:textFill>
                        <w14:solidFill>
                          <w14:schemeClr w14:val="tx1"/>
                        </w14:solidFill>
                      </w14:textFill>
                    </w:rPr>
                    <w:t>Kg</w:t>
                  </w:r>
                </w:p>
              </w:tc>
              <w:tc>
                <w:tcPr>
                  <w:tcW w:w="870" w:type="dxa"/>
                  <w:shd w:val="clear" w:color="auto" w:fill="auto"/>
                  <w:vAlign w:val="center"/>
                </w:tcPr>
                <w:p w14:paraId="44D567B3">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500</w:t>
                  </w:r>
                </w:p>
              </w:tc>
              <w:tc>
                <w:tcPr>
                  <w:tcW w:w="1044" w:type="dxa"/>
                  <w:shd w:val="clear" w:color="auto" w:fill="auto"/>
                  <w:vAlign w:val="center"/>
                </w:tcPr>
                <w:p w14:paraId="17EAD99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100</w:t>
                  </w:r>
                </w:p>
              </w:tc>
              <w:tc>
                <w:tcPr>
                  <w:tcW w:w="1382" w:type="dxa"/>
                  <w:shd w:val="clear" w:color="auto" w:fill="auto"/>
                  <w:vAlign w:val="center"/>
                </w:tcPr>
                <w:p w14:paraId="1C5FD9F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1570" w:type="dxa"/>
                  <w:shd w:val="clear" w:color="auto" w:fill="auto"/>
                  <w:vAlign w:val="center"/>
                </w:tcPr>
                <w:p w14:paraId="3EB7AA4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喷漆</w:t>
                  </w:r>
                </w:p>
              </w:tc>
            </w:tr>
            <w:tr w14:paraId="277F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shd w:val="clear" w:color="auto" w:fill="auto"/>
                  <w:vAlign w:val="center"/>
                </w:tcPr>
                <w:p w14:paraId="02A70998">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12</w:t>
                  </w:r>
                </w:p>
              </w:tc>
              <w:tc>
                <w:tcPr>
                  <w:tcW w:w="1729" w:type="dxa"/>
                  <w:shd w:val="clear" w:color="auto" w:fill="auto"/>
                  <w:vAlign w:val="center"/>
                </w:tcPr>
                <w:p w14:paraId="5C72F51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天然气</w:t>
                  </w:r>
                </w:p>
              </w:tc>
              <w:tc>
                <w:tcPr>
                  <w:tcW w:w="700" w:type="dxa"/>
                  <w:shd w:val="clear" w:color="auto" w:fill="auto"/>
                  <w:vAlign w:val="center"/>
                </w:tcPr>
                <w:p w14:paraId="038F890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vertAlign w:val="superscript"/>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m</w:t>
                  </w:r>
                  <w:r>
                    <w:rPr>
                      <w:rFonts w:hint="eastAsia"/>
                      <w:color w:val="000000" w:themeColor="text1"/>
                      <w:kern w:val="0"/>
                      <w:sz w:val="21"/>
                      <w:szCs w:val="21"/>
                      <w:vertAlign w:val="superscript"/>
                      <w:lang w:val="en-US" w:eastAsia="zh-CN"/>
                      <w14:textFill>
                        <w14:solidFill>
                          <w14:schemeClr w14:val="tx1"/>
                        </w14:solidFill>
                      </w14:textFill>
                    </w:rPr>
                    <w:t>3</w:t>
                  </w:r>
                </w:p>
              </w:tc>
              <w:tc>
                <w:tcPr>
                  <w:tcW w:w="870" w:type="dxa"/>
                  <w:shd w:val="clear" w:color="auto" w:fill="auto"/>
                  <w:vAlign w:val="center"/>
                </w:tcPr>
                <w:p w14:paraId="50FC9257">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eastAsia" w:cs="Times New Roman"/>
                      <w:color w:val="000000" w:themeColor="text1"/>
                      <w:kern w:val="0"/>
                      <w:sz w:val="21"/>
                      <w:szCs w:val="21"/>
                      <w:u w:val="none"/>
                      <w:lang w:val="en-US" w:eastAsia="zh-CN" w:bidi="ar"/>
                      <w14:textFill>
                        <w14:solidFill>
                          <w14:schemeClr w14:val="tx1"/>
                        </w14:solidFill>
                      </w14:textFill>
                    </w:rPr>
                    <w:t>15万</w:t>
                  </w:r>
                </w:p>
              </w:tc>
              <w:tc>
                <w:tcPr>
                  <w:tcW w:w="1044" w:type="dxa"/>
                  <w:shd w:val="clear" w:color="auto" w:fill="auto"/>
                  <w:vAlign w:val="center"/>
                </w:tcPr>
                <w:p w14:paraId="4E15917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1382" w:type="dxa"/>
                  <w:shd w:val="clear" w:color="auto" w:fill="auto"/>
                  <w:vAlign w:val="center"/>
                </w:tcPr>
                <w:p w14:paraId="5E04722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w:t>
                  </w:r>
                </w:p>
              </w:tc>
              <w:tc>
                <w:tcPr>
                  <w:tcW w:w="1570" w:type="dxa"/>
                  <w:shd w:val="clear" w:color="auto" w:fill="auto"/>
                  <w:vAlign w:val="center"/>
                </w:tcPr>
                <w:p w14:paraId="79F36AA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eastAsia="zh-CN"/>
                      <w14:textFill>
                        <w14:solidFill>
                          <w14:schemeClr w14:val="tx1"/>
                        </w14:solidFill>
                      </w14:textFill>
                    </w:rPr>
                    <w:t>市政供气</w:t>
                  </w:r>
                </w:p>
              </w:tc>
            </w:tr>
            <w:tr w14:paraId="4DBD9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shd w:val="clear" w:color="auto" w:fill="auto"/>
                  <w:vAlign w:val="center"/>
                </w:tcPr>
                <w:p w14:paraId="4ED7D59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13</w:t>
                  </w:r>
                </w:p>
              </w:tc>
              <w:tc>
                <w:tcPr>
                  <w:tcW w:w="1729" w:type="dxa"/>
                  <w:shd w:val="clear" w:color="auto" w:fill="auto"/>
                  <w:vAlign w:val="center"/>
                </w:tcPr>
                <w:p w14:paraId="712C0039">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新鲜水</w:t>
                  </w:r>
                </w:p>
              </w:tc>
              <w:tc>
                <w:tcPr>
                  <w:tcW w:w="700" w:type="dxa"/>
                  <w:shd w:val="clear" w:color="auto" w:fill="auto"/>
                  <w:vAlign w:val="center"/>
                </w:tcPr>
                <w:p w14:paraId="46C2670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t</w:t>
                  </w:r>
                </w:p>
              </w:tc>
              <w:tc>
                <w:tcPr>
                  <w:tcW w:w="870" w:type="dxa"/>
                  <w:shd w:val="clear" w:color="auto" w:fill="auto"/>
                  <w:vAlign w:val="center"/>
                </w:tcPr>
                <w:p w14:paraId="59CAC6A0">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560.6</w:t>
                  </w:r>
                </w:p>
              </w:tc>
              <w:tc>
                <w:tcPr>
                  <w:tcW w:w="1044" w:type="dxa"/>
                  <w:shd w:val="clear" w:color="auto" w:fill="auto"/>
                  <w:vAlign w:val="center"/>
                </w:tcPr>
                <w:p w14:paraId="3A574C3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1382" w:type="dxa"/>
                  <w:shd w:val="clear" w:color="auto" w:fill="auto"/>
                  <w:vAlign w:val="center"/>
                </w:tcPr>
                <w:p w14:paraId="67502F9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1570" w:type="dxa"/>
                  <w:shd w:val="clear" w:color="auto" w:fill="auto"/>
                  <w:vAlign w:val="center"/>
                </w:tcPr>
                <w:p w14:paraId="168CAB7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市政供水</w:t>
                  </w:r>
                </w:p>
              </w:tc>
            </w:tr>
            <w:tr w14:paraId="2156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2" w:type="dxa"/>
                  <w:shd w:val="clear" w:color="auto" w:fill="auto"/>
                  <w:vAlign w:val="center"/>
                </w:tcPr>
                <w:p w14:paraId="38F5CB1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14</w:t>
                  </w:r>
                </w:p>
              </w:tc>
              <w:tc>
                <w:tcPr>
                  <w:tcW w:w="1729" w:type="dxa"/>
                  <w:shd w:val="clear" w:color="auto" w:fill="auto"/>
                  <w:vAlign w:val="center"/>
                </w:tcPr>
                <w:p w14:paraId="66A08F7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电</w:t>
                  </w:r>
                </w:p>
              </w:tc>
              <w:tc>
                <w:tcPr>
                  <w:tcW w:w="700" w:type="dxa"/>
                  <w:shd w:val="clear" w:color="auto" w:fill="auto"/>
                  <w:vAlign w:val="center"/>
                </w:tcPr>
                <w:p w14:paraId="47C4F92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kW</w:t>
                  </w:r>
                  <w:r>
                    <w:rPr>
                      <w:rFonts w:hint="default"/>
                      <w:color w:val="000000" w:themeColor="text1"/>
                      <w:kern w:val="0"/>
                      <w:sz w:val="21"/>
                      <w:szCs w:val="21"/>
                      <w14:textFill>
                        <w14:solidFill>
                          <w14:schemeClr w14:val="tx1"/>
                        </w14:solidFill>
                      </w14:textFill>
                    </w:rPr>
                    <w:t>·h</w:t>
                  </w:r>
                </w:p>
              </w:tc>
              <w:tc>
                <w:tcPr>
                  <w:tcW w:w="870" w:type="dxa"/>
                  <w:shd w:val="clear" w:color="auto" w:fill="auto"/>
                  <w:vAlign w:val="center"/>
                </w:tcPr>
                <w:p w14:paraId="26D0F349">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bidi="ar-SA"/>
                      <w14:textFill>
                        <w14:solidFill>
                          <w14:schemeClr w14:val="tx1"/>
                        </w14:solidFill>
                      </w14:textFill>
                    </w:rPr>
                    <w:t>2万</w:t>
                  </w:r>
                </w:p>
              </w:tc>
              <w:tc>
                <w:tcPr>
                  <w:tcW w:w="1044" w:type="dxa"/>
                  <w:shd w:val="clear" w:color="auto" w:fill="auto"/>
                  <w:vAlign w:val="center"/>
                </w:tcPr>
                <w:p w14:paraId="164F7AEF">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1382" w:type="dxa"/>
                  <w:shd w:val="clear" w:color="auto" w:fill="auto"/>
                  <w:vAlign w:val="center"/>
                </w:tcPr>
                <w:p w14:paraId="03D0144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1570" w:type="dxa"/>
                  <w:shd w:val="clear" w:color="auto" w:fill="auto"/>
                  <w:vAlign w:val="center"/>
                </w:tcPr>
                <w:p w14:paraId="00EF069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市政供电</w:t>
                  </w:r>
                </w:p>
              </w:tc>
            </w:tr>
          </w:tbl>
          <w:p w14:paraId="0B995D6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本项目主要原辅材料理化性质详见下表。</w:t>
            </w:r>
          </w:p>
          <w:p w14:paraId="5368CE2E">
            <w:pPr>
              <w:keepNext w:val="0"/>
              <w:keepLines w:val="0"/>
              <w:suppressLineNumbers w:val="0"/>
              <w:spacing w:before="0" w:beforeAutospacing="0" w:after="0" w:afterAutospacing="0"/>
              <w:ind w:left="0" w:right="0"/>
              <w:jc w:val="center"/>
              <w:rPr>
                <w:rFonts w:hint="default"/>
                <w:b/>
                <w:color w:val="000000" w:themeColor="text1"/>
                <w:sz w:val="24"/>
                <w:szCs w:val="24"/>
                <w14:textFill>
                  <w14:solidFill>
                    <w14:schemeClr w14:val="tx1"/>
                  </w14:solidFill>
                </w14:textFill>
              </w:rPr>
            </w:pPr>
            <w:r>
              <w:rPr>
                <w:rFonts w:hint="default"/>
                <w:b/>
                <w:color w:val="000000" w:themeColor="text1"/>
                <w:sz w:val="24"/>
                <w:szCs w:val="24"/>
                <w14:textFill>
                  <w14:solidFill>
                    <w14:schemeClr w14:val="tx1"/>
                  </w14:solidFill>
                </w14:textFill>
              </w:rPr>
              <w:t>表2</w:t>
            </w:r>
            <w:r>
              <w:rPr>
                <w:rFonts w:hint="eastAsia"/>
                <w:b/>
                <w:color w:val="000000" w:themeColor="text1"/>
                <w:sz w:val="24"/>
                <w:szCs w:val="24"/>
                <w14:textFill>
                  <w14:solidFill>
                    <w14:schemeClr w14:val="tx1"/>
                  </w14:solidFill>
                </w14:textFill>
              </w:rPr>
              <w:t>-</w:t>
            </w:r>
            <w:r>
              <w:rPr>
                <w:rFonts w:hint="eastAsia"/>
                <w:b/>
                <w:color w:val="000000" w:themeColor="text1"/>
                <w:sz w:val="24"/>
                <w:szCs w:val="24"/>
                <w:lang w:val="en-US" w:eastAsia="zh-CN"/>
                <w14:textFill>
                  <w14:solidFill>
                    <w14:schemeClr w14:val="tx1"/>
                  </w14:solidFill>
                </w14:textFill>
              </w:rPr>
              <w:t>8</w:t>
            </w:r>
            <w:r>
              <w:rPr>
                <w:rFonts w:hint="default"/>
                <w:b/>
                <w:color w:val="000000" w:themeColor="text1"/>
                <w:sz w:val="24"/>
                <w:szCs w:val="24"/>
                <w14:textFill>
                  <w14:solidFill>
                    <w14:schemeClr w14:val="tx1"/>
                  </w14:solidFill>
                </w14:textFill>
              </w:rPr>
              <w:t xml:space="preserve"> 各原辅材料化学成分表</w:t>
            </w:r>
          </w:p>
          <w:tbl>
            <w:tblPr>
              <w:tblStyle w:val="21"/>
              <w:tblW w:w="4773" w:type="pct"/>
              <w:jc w:val="center"/>
              <w:tblLayout w:type="fixed"/>
              <w:tblCellMar>
                <w:top w:w="0" w:type="dxa"/>
                <w:left w:w="108" w:type="dxa"/>
                <w:bottom w:w="0" w:type="dxa"/>
                <w:right w:w="108" w:type="dxa"/>
              </w:tblCellMar>
            </w:tblPr>
            <w:tblGrid>
              <w:gridCol w:w="580"/>
              <w:gridCol w:w="1102"/>
              <w:gridCol w:w="6266"/>
            </w:tblGrid>
            <w:tr w14:paraId="646B8C59">
              <w:tblPrEx>
                <w:tblCellMar>
                  <w:top w:w="0" w:type="dxa"/>
                  <w:left w:w="108" w:type="dxa"/>
                  <w:bottom w:w="0" w:type="dxa"/>
                  <w:right w:w="108" w:type="dxa"/>
                </w:tblCellMar>
              </w:tblPrEx>
              <w:trPr>
                <w:trHeight w:val="199" w:hRule="atLeast"/>
                <w:jc w:val="center"/>
              </w:trPr>
              <w:tc>
                <w:tcPr>
                  <w:tcW w:w="364" w:type="pct"/>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14:paraId="5DC26E4E">
                  <w:pPr>
                    <w:keepNext w:val="0"/>
                    <w:keepLines w:val="0"/>
                    <w:suppressLineNumbers w:val="0"/>
                    <w:adjustRightInd w:val="0"/>
                    <w:snapToGrid w:val="0"/>
                    <w:spacing w:before="0" w:beforeAutospacing="0" w:after="0" w:afterAutospacing="0"/>
                    <w:ind w:left="0" w:right="0"/>
                    <w:jc w:val="center"/>
                    <w:rPr>
                      <w:rFonts w:hint="default"/>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序号</w:t>
                  </w:r>
                </w:p>
              </w:tc>
              <w:tc>
                <w:tcPr>
                  <w:tcW w:w="693" w:type="pct"/>
                  <w:tcBorders>
                    <w:top w:val="single" w:color="000000" w:sz="6" w:space="0"/>
                    <w:left w:val="nil"/>
                    <w:bottom w:val="single" w:color="000000" w:sz="6" w:space="0"/>
                    <w:right w:val="single" w:color="000000" w:sz="6" w:space="0"/>
                  </w:tcBorders>
                  <w:tcMar>
                    <w:top w:w="15" w:type="dxa"/>
                    <w:left w:w="15" w:type="dxa"/>
                    <w:bottom w:w="15" w:type="dxa"/>
                    <w:right w:w="15" w:type="dxa"/>
                  </w:tcMar>
                  <w:vAlign w:val="center"/>
                </w:tcPr>
                <w:p w14:paraId="1405061A">
                  <w:pPr>
                    <w:keepNext w:val="0"/>
                    <w:keepLines w:val="0"/>
                    <w:suppressLineNumbers w:val="0"/>
                    <w:adjustRightInd w:val="0"/>
                    <w:snapToGrid w:val="0"/>
                    <w:spacing w:before="0" w:beforeAutospacing="0" w:after="0" w:afterAutospacing="0"/>
                    <w:ind w:left="0" w:right="0"/>
                    <w:jc w:val="center"/>
                    <w:rPr>
                      <w:rFonts w:hint="default"/>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名称</w:t>
                  </w:r>
                </w:p>
              </w:tc>
              <w:tc>
                <w:tcPr>
                  <w:tcW w:w="3941" w:type="pct"/>
                  <w:tcBorders>
                    <w:top w:val="single" w:color="000000" w:sz="6" w:space="0"/>
                    <w:left w:val="nil"/>
                    <w:bottom w:val="single" w:color="000000" w:sz="6" w:space="0"/>
                    <w:right w:val="single" w:color="000000" w:sz="6" w:space="0"/>
                  </w:tcBorders>
                  <w:tcMar>
                    <w:top w:w="15" w:type="dxa"/>
                    <w:left w:w="15" w:type="dxa"/>
                    <w:bottom w:w="15" w:type="dxa"/>
                    <w:right w:w="15" w:type="dxa"/>
                  </w:tcMar>
                  <w:vAlign w:val="center"/>
                </w:tcPr>
                <w:p w14:paraId="37426D90">
                  <w:pPr>
                    <w:keepNext w:val="0"/>
                    <w:keepLines w:val="0"/>
                    <w:suppressLineNumbers w:val="0"/>
                    <w:adjustRightInd w:val="0"/>
                    <w:snapToGrid w:val="0"/>
                    <w:spacing w:before="0" w:beforeAutospacing="0" w:after="0" w:afterAutospacing="0"/>
                    <w:ind w:left="0" w:right="0"/>
                    <w:jc w:val="center"/>
                    <w:rPr>
                      <w:rFonts w:hint="default"/>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主要理化性质</w:t>
                  </w:r>
                </w:p>
              </w:tc>
            </w:tr>
            <w:tr w14:paraId="4BE6928D">
              <w:tblPrEx>
                <w:tblCellMar>
                  <w:top w:w="0" w:type="dxa"/>
                  <w:left w:w="108" w:type="dxa"/>
                  <w:bottom w:w="0" w:type="dxa"/>
                  <w:right w:w="108" w:type="dxa"/>
                </w:tblCellMar>
              </w:tblPrEx>
              <w:trPr>
                <w:trHeight w:val="251" w:hRule="atLeast"/>
                <w:jc w:val="center"/>
              </w:trPr>
              <w:tc>
                <w:tcPr>
                  <w:tcW w:w="364" w:type="pct"/>
                  <w:tcBorders>
                    <w:top w:val="single" w:color="000000" w:sz="6" w:space="0"/>
                    <w:left w:val="single" w:color="000000" w:sz="6" w:space="0"/>
                    <w:bottom w:val="single" w:color="000000" w:sz="6" w:space="0"/>
                    <w:right w:val="single" w:color="000000" w:sz="6" w:space="0"/>
                  </w:tcBorders>
                  <w:tcMar>
                    <w:top w:w="15" w:type="dxa"/>
                    <w:left w:w="15" w:type="dxa"/>
                    <w:bottom w:w="15" w:type="dxa"/>
                    <w:right w:w="15" w:type="dxa"/>
                  </w:tcMar>
                  <w:vAlign w:val="center"/>
                </w:tcPr>
                <w:p w14:paraId="17BEDEEB">
                  <w:pPr>
                    <w:keepNext w:val="0"/>
                    <w:keepLines w:val="0"/>
                    <w:widowControl/>
                    <w:suppressLineNumbers w:val="0"/>
                    <w:adjustRightInd w:val="0"/>
                    <w:snapToGrid w:val="0"/>
                    <w:spacing w:before="0" w:beforeAutospacing="0" w:after="0" w:afterAutospacing="0"/>
                    <w:ind w:left="0" w:right="0"/>
                    <w:jc w:val="center"/>
                    <w:textAlignment w:val="center"/>
                    <w:rPr>
                      <w:rFonts w:hint="default"/>
                      <w:color w:val="000000" w:themeColor="text1"/>
                      <w:kern w:val="0"/>
                      <w:sz w:val="21"/>
                      <w:szCs w:val="21"/>
                      <w14:textFill>
                        <w14:solidFill>
                          <w14:schemeClr w14:val="tx1"/>
                        </w14:solidFill>
                      </w14:textFill>
                    </w:rPr>
                  </w:pPr>
                  <w:r>
                    <w:rPr>
                      <w:rFonts w:hint="eastAsia"/>
                      <w:b w:val="0"/>
                      <w:bCs w:val="0"/>
                      <w:color w:val="000000" w:themeColor="text1"/>
                      <w:kern w:val="0"/>
                      <w:sz w:val="21"/>
                      <w:szCs w:val="21"/>
                      <w14:textFill>
                        <w14:solidFill>
                          <w14:schemeClr w14:val="tx1"/>
                        </w14:solidFill>
                      </w14:textFill>
                    </w:rPr>
                    <w:t>1</w:t>
                  </w:r>
                </w:p>
              </w:tc>
              <w:tc>
                <w:tcPr>
                  <w:tcW w:w="693" w:type="pct"/>
                  <w:tcBorders>
                    <w:top w:val="single" w:color="000000" w:sz="6" w:space="0"/>
                    <w:left w:val="nil"/>
                    <w:bottom w:val="single" w:color="000000" w:sz="6" w:space="0"/>
                    <w:right w:val="single" w:color="000000" w:sz="6" w:space="0"/>
                  </w:tcBorders>
                  <w:tcMar>
                    <w:top w:w="15" w:type="dxa"/>
                    <w:left w:w="15" w:type="dxa"/>
                    <w:bottom w:w="15" w:type="dxa"/>
                    <w:right w:w="15" w:type="dxa"/>
                  </w:tcMar>
                  <w:vAlign w:val="center"/>
                </w:tcPr>
                <w:p w14:paraId="2B63BF0E">
                  <w:pPr>
                    <w:keepNext w:val="0"/>
                    <w:keepLines w:val="0"/>
                    <w:widowControl/>
                    <w:suppressLineNumbers w:val="0"/>
                    <w:adjustRightInd w:val="0"/>
                    <w:snapToGrid w:val="0"/>
                    <w:spacing w:before="0" w:beforeAutospacing="0" w:after="0" w:afterAutospacing="0"/>
                    <w:ind w:left="0" w:right="0"/>
                    <w:jc w:val="center"/>
                    <w:textAlignment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水性漆</w:t>
                  </w:r>
                </w:p>
              </w:tc>
              <w:tc>
                <w:tcPr>
                  <w:tcW w:w="3941" w:type="pct"/>
                  <w:tcBorders>
                    <w:top w:val="single" w:color="000000" w:sz="6" w:space="0"/>
                    <w:left w:val="nil"/>
                    <w:bottom w:val="single" w:color="000000" w:sz="6" w:space="0"/>
                    <w:right w:val="single" w:color="000000" w:sz="6" w:space="0"/>
                  </w:tcBorders>
                  <w:tcMar>
                    <w:top w:w="15" w:type="dxa"/>
                    <w:left w:w="15" w:type="dxa"/>
                    <w:bottom w:w="15" w:type="dxa"/>
                    <w:right w:w="15" w:type="dxa"/>
                  </w:tcMar>
                  <w:vAlign w:val="center"/>
                </w:tcPr>
                <w:p w14:paraId="7D34535A">
                  <w:pPr>
                    <w:keepNext w:val="0"/>
                    <w:keepLines w:val="0"/>
                    <w:suppressLineNumbers w:val="0"/>
                    <w:adjustRightInd w:val="0"/>
                    <w:snapToGrid w:val="0"/>
                    <w:spacing w:before="0" w:beforeAutospacing="0" w:after="0" w:afterAutospacing="0"/>
                    <w:ind w:left="0" w:right="0"/>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水性丙烯酸</w:t>
                  </w:r>
                  <w:r>
                    <w:rPr>
                      <w:rFonts w:hint="eastAsia"/>
                      <w:color w:val="000000" w:themeColor="text1"/>
                      <w:kern w:val="0"/>
                      <w:sz w:val="21"/>
                      <w:szCs w:val="21"/>
                      <w:lang w:val="en-US" w:eastAsia="zh-CN"/>
                      <w14:textFill>
                        <w14:solidFill>
                          <w14:schemeClr w14:val="tx1"/>
                        </w14:solidFill>
                      </w14:textFill>
                    </w:rPr>
                    <w:t>乳液30-40</w:t>
                  </w:r>
                  <w:r>
                    <w:rPr>
                      <w:rFonts w:hint="default"/>
                      <w:color w:val="000000" w:themeColor="text1"/>
                      <w:kern w:val="0"/>
                      <w:sz w:val="21"/>
                      <w:szCs w:val="21"/>
                      <w14:textFill>
                        <w14:solidFill>
                          <w14:schemeClr w14:val="tx1"/>
                        </w14:solidFill>
                      </w14:textFill>
                    </w:rPr>
                    <w:t>%、水性聚氨酯</w:t>
                  </w:r>
                  <w:r>
                    <w:rPr>
                      <w:rFonts w:hint="eastAsia"/>
                      <w:color w:val="000000" w:themeColor="text1"/>
                      <w:kern w:val="0"/>
                      <w:sz w:val="21"/>
                      <w:szCs w:val="21"/>
                      <w:lang w:val="en-US" w:eastAsia="zh-CN"/>
                      <w14:textFill>
                        <w14:solidFill>
                          <w14:schemeClr w14:val="tx1"/>
                        </w14:solidFill>
                      </w14:textFill>
                    </w:rPr>
                    <w:t>30-40</w:t>
                  </w:r>
                  <w:r>
                    <w:rPr>
                      <w:rFonts w:hint="default"/>
                      <w:color w:val="000000" w:themeColor="text1"/>
                      <w:kern w:val="0"/>
                      <w:sz w:val="21"/>
                      <w:szCs w:val="21"/>
                      <w14:textFill>
                        <w14:solidFill>
                          <w14:schemeClr w14:val="tx1"/>
                        </w14:solidFill>
                      </w14:textFill>
                    </w:rPr>
                    <w:t>%、水性颜填料10</w:t>
                  </w:r>
                  <w:r>
                    <w:rPr>
                      <w:rFonts w:hint="eastAsia"/>
                      <w:color w:val="000000" w:themeColor="text1"/>
                      <w:kern w:val="0"/>
                      <w:sz w:val="21"/>
                      <w:szCs w:val="21"/>
                      <w:lang w:val="en-US" w:eastAsia="zh-CN"/>
                      <w14:textFill>
                        <w14:solidFill>
                          <w14:schemeClr w14:val="tx1"/>
                        </w14:solidFill>
                      </w14:textFill>
                    </w:rPr>
                    <w:t>-15</w:t>
                  </w:r>
                  <w:r>
                    <w:rPr>
                      <w:rFonts w:hint="default"/>
                      <w:color w:val="000000" w:themeColor="text1"/>
                      <w:kern w:val="0"/>
                      <w:sz w:val="21"/>
                      <w:szCs w:val="21"/>
                      <w14:textFill>
                        <w14:solidFill>
                          <w14:schemeClr w14:val="tx1"/>
                        </w14:solidFill>
                      </w14:textFill>
                    </w:rPr>
                    <w:t>%、水性助剂</w:t>
                  </w:r>
                  <w:r>
                    <w:rPr>
                      <w:rFonts w:hint="eastAsia"/>
                      <w:color w:val="000000" w:themeColor="text1"/>
                      <w:kern w:val="0"/>
                      <w:sz w:val="21"/>
                      <w:szCs w:val="21"/>
                      <w:lang w:val="en-US" w:eastAsia="zh-CN"/>
                      <w14:textFill>
                        <w14:solidFill>
                          <w14:schemeClr w14:val="tx1"/>
                        </w14:solidFill>
                      </w14:textFill>
                    </w:rPr>
                    <w:t>1-</w:t>
                  </w:r>
                  <w:r>
                    <w:rPr>
                      <w:rFonts w:hint="default"/>
                      <w:color w:val="000000" w:themeColor="text1"/>
                      <w:kern w:val="0"/>
                      <w:sz w:val="21"/>
                      <w:szCs w:val="21"/>
                      <w14:textFill>
                        <w14:solidFill>
                          <w14:schemeClr w14:val="tx1"/>
                        </w14:solidFill>
                      </w14:textFill>
                    </w:rPr>
                    <w:t>5%、去离子水</w:t>
                  </w:r>
                  <w:r>
                    <w:rPr>
                      <w:rFonts w:hint="eastAsia"/>
                      <w:color w:val="000000" w:themeColor="text1"/>
                      <w:kern w:val="0"/>
                      <w:sz w:val="21"/>
                      <w:szCs w:val="21"/>
                      <w:lang w:val="en-US" w:eastAsia="zh-CN"/>
                      <w14:textFill>
                        <w14:solidFill>
                          <w14:schemeClr w14:val="tx1"/>
                        </w14:solidFill>
                      </w14:textFill>
                    </w:rPr>
                    <w:t>10-15</w:t>
                  </w:r>
                  <w:r>
                    <w:rPr>
                      <w:rFonts w:hint="default"/>
                      <w:color w:val="000000" w:themeColor="text1"/>
                      <w:kern w:val="0"/>
                      <w:sz w:val="21"/>
                      <w:szCs w:val="21"/>
                      <w14:textFill>
                        <w14:solidFill>
                          <w14:schemeClr w14:val="tx1"/>
                        </w14:solidFill>
                      </w14:textFill>
                    </w:rPr>
                    <w:t>%、成膜助剂</w:t>
                  </w:r>
                  <w:r>
                    <w:rPr>
                      <w:rFonts w:hint="eastAsia"/>
                      <w:color w:val="000000" w:themeColor="text1"/>
                      <w:kern w:val="0"/>
                      <w:sz w:val="21"/>
                      <w:szCs w:val="21"/>
                      <w:lang w:val="en-US" w:eastAsia="zh-CN"/>
                      <w14:textFill>
                        <w14:solidFill>
                          <w14:schemeClr w14:val="tx1"/>
                        </w14:solidFill>
                      </w14:textFill>
                    </w:rPr>
                    <w:t>1-</w:t>
                  </w:r>
                  <w:r>
                    <w:rPr>
                      <w:rFonts w:hint="default"/>
                      <w:color w:val="000000" w:themeColor="text1"/>
                      <w:kern w:val="0"/>
                      <w:sz w:val="21"/>
                      <w:szCs w:val="21"/>
                      <w14:textFill>
                        <w14:solidFill>
                          <w14:schemeClr w14:val="tx1"/>
                        </w14:solidFill>
                      </w14:textFill>
                    </w:rPr>
                    <w:t>5%</w:t>
                  </w:r>
                  <w:r>
                    <w:rPr>
                      <w:rFonts w:hint="default"/>
                      <w:color w:val="000000" w:themeColor="text1"/>
                      <w:kern w:val="0"/>
                      <w:sz w:val="21"/>
                      <w:szCs w:val="21"/>
                      <w14:textFill>
                        <w14:solidFill>
                          <w14:schemeClr w14:val="tx1"/>
                        </w14:solidFill>
                      </w14:textFill>
                    </w:rPr>
                    <w:tab/>
                  </w:r>
                  <w:r>
                    <w:rPr>
                      <w:rFonts w:hint="default"/>
                      <w:color w:val="000000" w:themeColor="text1"/>
                      <w:kern w:val="0"/>
                      <w:sz w:val="21"/>
                      <w:szCs w:val="21"/>
                      <w14:textFill>
                        <w14:solidFill>
                          <w14:schemeClr w14:val="tx1"/>
                        </w14:solidFill>
                      </w14:textFill>
                    </w:rPr>
                    <w:t>沸点：176.1℃；相对密度（水=1）：0.981；引燃温度：＞93℃；闪点：＞93℃；溶于水，有限溶于有机溶剂。</w:t>
                  </w:r>
                </w:p>
              </w:tc>
            </w:tr>
          </w:tbl>
          <w:p w14:paraId="17A9429A">
            <w:pPr>
              <w:keepNext w:val="0"/>
              <w:keepLines w:val="0"/>
              <w:suppressLineNumbers w:val="0"/>
              <w:shd w:val="clear" w:color="auto" w:fill="auto"/>
              <w:spacing w:before="0" w:beforeAutospacing="0" w:after="0" w:afterAutospacing="0" w:line="460" w:lineRule="exact"/>
              <w:ind w:left="0" w:right="0"/>
              <w:rPr>
                <w:rFonts w:hint="default"/>
                <w:b/>
                <w:bCs/>
                <w:color w:val="000000" w:themeColor="text1"/>
                <w:sz w:val="24"/>
                <w:highlight w:val="none"/>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7</w:t>
            </w:r>
            <w:r>
              <w:rPr>
                <w:rFonts w:hint="default"/>
                <w:b/>
                <w:bCs/>
                <w:color w:val="000000" w:themeColor="text1"/>
                <w:sz w:val="24"/>
                <w:szCs w:val="24"/>
                <w14:textFill>
                  <w14:solidFill>
                    <w14:schemeClr w14:val="tx1"/>
                  </w14:solidFill>
                </w14:textFill>
              </w:rPr>
              <w:t>、</w:t>
            </w:r>
            <w:r>
              <w:rPr>
                <w:rFonts w:hint="eastAsia"/>
                <w:b/>
                <w:bCs/>
                <w:color w:val="000000" w:themeColor="text1"/>
                <w:sz w:val="24"/>
                <w:highlight w:val="none"/>
                <w14:textFill>
                  <w14:solidFill>
                    <w14:schemeClr w14:val="tx1"/>
                  </w14:solidFill>
                </w14:textFill>
              </w:rPr>
              <w:t>漆料用量核算</w:t>
            </w:r>
          </w:p>
          <w:p w14:paraId="1810F7E5">
            <w:pPr>
              <w:keepNext w:val="0"/>
              <w:keepLines w:val="0"/>
              <w:suppressLineNumbers w:val="0"/>
              <w:shd w:val="clear" w:color="auto" w:fill="auto"/>
              <w:spacing w:before="0" w:beforeAutospacing="0" w:after="0" w:afterAutospacing="0" w:line="460" w:lineRule="exact"/>
              <w:ind w:left="0" w:right="0" w:firstLine="480" w:firstLineChars="200"/>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根据《污染源源强核算技术指南 准则》（HJ884-2018）、参照《污染源源强核算技术指南 汽车制造》（HJ 1097—2020）中污染源核算方法，本次评价油漆用量按照物料衡算法进行计算统计。</w:t>
            </w:r>
            <w:r>
              <w:rPr>
                <w:rFonts w:hint="eastAsia"/>
                <w:color w:val="000000" w:themeColor="text1"/>
                <w:sz w:val="24"/>
                <w:highlight w:val="none"/>
                <w:lang w:eastAsia="zh-CN"/>
                <w14:textFill>
                  <w14:solidFill>
                    <w14:schemeClr w14:val="tx1"/>
                  </w14:solidFill>
                </w14:textFill>
              </w:rPr>
              <w:t>项目</w:t>
            </w:r>
            <w:r>
              <w:rPr>
                <w:rFonts w:hint="eastAsia"/>
                <w:color w:val="000000" w:themeColor="text1"/>
                <w:sz w:val="24"/>
                <w:highlight w:val="none"/>
                <w:lang w:val="en-US" w:eastAsia="zh-CN"/>
                <w14:textFill>
                  <w14:solidFill>
                    <w14:schemeClr w14:val="tx1"/>
                  </w14:solidFill>
                </w14:textFill>
              </w:rPr>
              <w:t>喷涂底漆和面漆共两层</w:t>
            </w:r>
            <w:r>
              <w:rPr>
                <w:rFonts w:hint="eastAsia"/>
                <w:color w:val="000000" w:themeColor="text1"/>
                <w:sz w:val="24"/>
                <w:highlight w:val="none"/>
                <w:lang w:eastAsia="zh-CN"/>
                <w14:textFill>
                  <w14:solidFill>
                    <w14:schemeClr w14:val="tx1"/>
                  </w14:solidFill>
                </w14:textFill>
              </w:rPr>
              <w:t>。</w:t>
            </w:r>
          </w:p>
          <w:p w14:paraId="78293CC0">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本项目涂料用量计算：</w:t>
            </w:r>
          </w:p>
          <w:p w14:paraId="100F841F">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①计算公式</w:t>
            </w:r>
          </w:p>
          <w:p w14:paraId="558C0060">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油漆用量采用以下公式计算：m=ρ×δ×s×10</w:t>
            </w:r>
            <w:r>
              <w:rPr>
                <w:rFonts w:hint="eastAsia"/>
                <w:color w:val="000000" w:themeColor="text1"/>
                <w:sz w:val="24"/>
                <w:highlight w:val="none"/>
                <w:vertAlign w:val="superscript"/>
                <w14:textFill>
                  <w14:solidFill>
                    <w14:schemeClr w14:val="tx1"/>
                  </w14:solidFill>
                </w14:textFill>
              </w:rPr>
              <w:t>-6</w:t>
            </w:r>
            <w:r>
              <w:rPr>
                <w:rFonts w:hint="eastAsia"/>
                <w:color w:val="000000" w:themeColor="text1"/>
                <w:sz w:val="24"/>
                <w:highlight w:val="none"/>
                <w14:textFill>
                  <w14:solidFill>
                    <w14:schemeClr w14:val="tx1"/>
                  </w14:solidFill>
                </w14:textFill>
              </w:rPr>
              <w:t>/（NV）/t</w:t>
            </w:r>
          </w:p>
          <w:p w14:paraId="4A7FBF8D">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其中：m—物品单种油漆用量（t）；</w:t>
            </w:r>
          </w:p>
          <w:p w14:paraId="0CE22DB5">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ρ—该油漆密度，（g/cm³）；</w:t>
            </w:r>
          </w:p>
          <w:p w14:paraId="2395DD05">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δ—涂层厚度（干膜厚度）（μm）；</w:t>
            </w:r>
          </w:p>
          <w:p w14:paraId="4B757D47">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s—涂装面积（㎡）；</w:t>
            </w:r>
          </w:p>
          <w:p w14:paraId="4CFEE68D">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NV—油漆的体积固体份（%）；</w:t>
            </w:r>
          </w:p>
          <w:p w14:paraId="05F4255E">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t—上漆率。</w:t>
            </w:r>
          </w:p>
          <w:p w14:paraId="0EC01744">
            <w:pPr>
              <w:spacing w:line="460" w:lineRule="exact"/>
              <w:ind w:firstLine="480" w:firstLineChars="200"/>
              <w:rPr>
                <w:rFonts w:hint="default"/>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参照《污染源源强核算技术指南 汽车制造》（HJ 1097—2020）水性涂料空气喷涂，零部件喷涂物料中固体分附着率40%，水性漆上漆率取40%。</w:t>
            </w:r>
          </w:p>
          <w:p w14:paraId="437ADDB9">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②参数选定</w:t>
            </w:r>
          </w:p>
          <w:p w14:paraId="44DD57CF">
            <w:pPr>
              <w:keepNext w:val="0"/>
              <w:keepLines w:val="0"/>
              <w:pageBreakBefore w:val="0"/>
              <w:widowControl w:val="0"/>
              <w:suppressLineNumbers w:val="0"/>
              <w:shd w:val="clear" w:color="auto" w:fill="auto"/>
              <w:kinsoku/>
              <w:wordWrap/>
              <w:overflowPunct/>
              <w:topLinePunct/>
              <w:autoSpaceDE/>
              <w:autoSpaceDN/>
              <w:bidi w:val="0"/>
              <w:adjustRightInd/>
              <w:snapToGrid/>
              <w:spacing w:before="0" w:beforeAutospacing="0" w:after="0" w:afterAutospacing="0" w:line="460" w:lineRule="exact"/>
              <w:ind w:left="0" w:right="0" w:firstLine="480" w:firstLineChars="200"/>
              <w:textAlignment w:val="auto"/>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1）水性漆密度：根据油漆厂家提供的本项目使用的水性漆技术参数，</w:t>
            </w:r>
            <w:r>
              <w:rPr>
                <w:rFonts w:hint="eastAsia"/>
                <w:color w:val="000000" w:themeColor="text1"/>
                <w:sz w:val="24"/>
                <w:highlight w:val="none"/>
                <w:lang w:val="en-US" w:eastAsia="zh-CN"/>
                <w14:textFill>
                  <w14:solidFill>
                    <w14:schemeClr w14:val="tx1"/>
                  </w14:solidFill>
                </w14:textFill>
              </w:rPr>
              <w:t>水性漆湿</w:t>
            </w:r>
            <w:r>
              <w:rPr>
                <w:rFonts w:hint="eastAsia"/>
                <w:color w:val="000000" w:themeColor="text1"/>
                <w:sz w:val="24"/>
                <w:highlight w:val="none"/>
                <w14:textFill>
                  <w14:solidFill>
                    <w14:schemeClr w14:val="tx1"/>
                  </w14:solidFill>
                </w14:textFill>
              </w:rPr>
              <w:t>密度为</w:t>
            </w:r>
            <w:r>
              <w:rPr>
                <w:rFonts w:hint="eastAsia"/>
                <w:color w:val="000000" w:themeColor="text1"/>
                <w:sz w:val="24"/>
                <w:highlight w:val="none"/>
                <w:lang w:val="en-US" w:eastAsia="zh-CN"/>
                <w14:textFill>
                  <w14:solidFill>
                    <w14:schemeClr w14:val="tx1"/>
                  </w14:solidFill>
                </w14:textFill>
              </w:rPr>
              <w:t>0.981</w:t>
            </w:r>
            <w:r>
              <w:rPr>
                <w:rFonts w:hint="eastAsia"/>
                <w:color w:val="000000" w:themeColor="text1"/>
                <w:sz w:val="24"/>
                <w:highlight w:val="none"/>
                <w14:textFill>
                  <w14:solidFill>
                    <w14:schemeClr w14:val="tx1"/>
                  </w14:solidFill>
                </w14:textFill>
              </w:rPr>
              <w:t>g/cm³。干密度为</w:t>
            </w:r>
            <w:r>
              <w:rPr>
                <w:rFonts w:hint="eastAsia"/>
                <w:color w:val="000000" w:themeColor="text1"/>
                <w:sz w:val="24"/>
                <w:highlight w:val="none"/>
                <w:lang w:val="en-US" w:eastAsia="zh-CN"/>
                <w14:textFill>
                  <w14:solidFill>
                    <w14:schemeClr w14:val="tx1"/>
                  </w14:solidFill>
                </w14:textFill>
              </w:rPr>
              <w:t>1.2-1.4</w:t>
            </w:r>
            <w:r>
              <w:rPr>
                <w:rFonts w:hint="eastAsia"/>
                <w:color w:val="000000" w:themeColor="text1"/>
                <w:sz w:val="24"/>
                <w:highlight w:val="none"/>
                <w14:textFill>
                  <w14:solidFill>
                    <w14:schemeClr w14:val="tx1"/>
                  </w14:solidFill>
                </w14:textFill>
              </w:rPr>
              <w:t>g/cm³，本项目取1.</w:t>
            </w:r>
            <w:r>
              <w:rPr>
                <w:rFonts w:hint="eastAsia"/>
                <w:color w:val="000000" w:themeColor="text1"/>
                <w:sz w:val="24"/>
                <w:highlight w:val="none"/>
                <w:lang w:val="en-US" w:eastAsia="zh-CN"/>
                <w14:textFill>
                  <w14:solidFill>
                    <w14:schemeClr w14:val="tx1"/>
                  </w14:solidFill>
                </w14:textFill>
              </w:rPr>
              <w:t>26</w:t>
            </w:r>
            <w:r>
              <w:rPr>
                <w:rFonts w:hint="eastAsia"/>
                <w:color w:val="000000" w:themeColor="text1"/>
                <w:sz w:val="24"/>
                <w:highlight w:val="none"/>
                <w14:textFill>
                  <w14:solidFill>
                    <w14:schemeClr w14:val="tx1"/>
                  </w14:solidFill>
                </w14:textFill>
              </w:rPr>
              <w:t>g/cm³。</w:t>
            </w:r>
          </w:p>
          <w:p w14:paraId="4750A1B5">
            <w:pPr>
              <w:keepNext w:val="0"/>
              <w:keepLines w:val="0"/>
              <w:pageBreakBefore w:val="0"/>
              <w:widowControl w:val="0"/>
              <w:suppressLineNumbers w:val="0"/>
              <w:shd w:val="clear" w:color="auto" w:fill="auto"/>
              <w:kinsoku/>
              <w:wordWrap/>
              <w:overflowPunct/>
              <w:topLinePunct/>
              <w:autoSpaceDE/>
              <w:autoSpaceDN/>
              <w:bidi w:val="0"/>
              <w:adjustRightInd/>
              <w:snapToGrid/>
              <w:spacing w:before="0" w:beforeAutospacing="0" w:after="0" w:afterAutospacing="0" w:line="460" w:lineRule="exact"/>
              <w:ind w:left="0" w:right="0" w:firstLine="480" w:firstLineChars="200"/>
              <w:textAlignment w:val="auto"/>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2）涂层厚度：根据企业提供的产品技术参数，涂装水性漆</w:t>
            </w:r>
            <w:r>
              <w:rPr>
                <w:rFonts w:hint="eastAsia"/>
                <w:color w:val="000000" w:themeColor="text1"/>
                <w:sz w:val="24"/>
                <w:highlight w:val="none"/>
                <w:lang w:val="en-US" w:eastAsia="zh-CN"/>
                <w14:textFill>
                  <w14:solidFill>
                    <w14:schemeClr w14:val="tx1"/>
                  </w14:solidFill>
                </w14:textFill>
              </w:rPr>
              <w:t>底漆</w:t>
            </w:r>
            <w:r>
              <w:rPr>
                <w:rFonts w:hint="eastAsia"/>
                <w:color w:val="000000" w:themeColor="text1"/>
                <w:sz w:val="24"/>
                <w:highlight w:val="none"/>
                <w14:textFill>
                  <w14:solidFill>
                    <w14:schemeClr w14:val="tx1"/>
                  </w14:solidFill>
                </w14:textFill>
              </w:rPr>
              <w:t>成膜厚度为</w:t>
            </w:r>
            <w:r>
              <w:rPr>
                <w:rFonts w:hint="eastAsia"/>
                <w:color w:val="000000" w:themeColor="text1"/>
                <w:sz w:val="24"/>
                <w:highlight w:val="none"/>
                <w:lang w:val="en-US" w:eastAsia="zh-CN"/>
                <w14:textFill>
                  <w14:solidFill>
                    <w14:schemeClr w14:val="tx1"/>
                  </w14:solidFill>
                </w14:textFill>
              </w:rPr>
              <w:t>15</w:t>
            </w:r>
            <w:r>
              <w:rPr>
                <w:rFonts w:hint="eastAsia"/>
                <w:color w:val="000000" w:themeColor="text1"/>
                <w:sz w:val="24"/>
                <w:highlight w:val="none"/>
                <w14:textFill>
                  <w14:solidFill>
                    <w14:schemeClr w14:val="tx1"/>
                  </w14:solidFill>
                </w14:textFill>
              </w:rPr>
              <w:t>μm</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面漆</w:t>
            </w:r>
            <w:r>
              <w:rPr>
                <w:rFonts w:hint="eastAsia"/>
                <w:color w:val="000000" w:themeColor="text1"/>
                <w:sz w:val="24"/>
                <w:highlight w:val="none"/>
                <w14:textFill>
                  <w14:solidFill>
                    <w14:schemeClr w14:val="tx1"/>
                  </w14:solidFill>
                </w14:textFill>
              </w:rPr>
              <w:t>成膜厚度为</w:t>
            </w:r>
            <w:r>
              <w:rPr>
                <w:rFonts w:hint="eastAsia"/>
                <w:color w:val="000000" w:themeColor="text1"/>
                <w:sz w:val="24"/>
                <w:highlight w:val="none"/>
                <w:lang w:val="en-US" w:eastAsia="zh-CN"/>
                <w14:textFill>
                  <w14:solidFill>
                    <w14:schemeClr w14:val="tx1"/>
                  </w14:solidFill>
                </w14:textFill>
              </w:rPr>
              <w:t>10</w:t>
            </w:r>
            <w:r>
              <w:rPr>
                <w:rFonts w:hint="eastAsia"/>
                <w:color w:val="000000" w:themeColor="text1"/>
                <w:sz w:val="24"/>
                <w:highlight w:val="none"/>
                <w14:textFill>
                  <w14:solidFill>
                    <w14:schemeClr w14:val="tx1"/>
                  </w14:solidFill>
                </w14:textFill>
              </w:rPr>
              <w:t>μm。</w:t>
            </w:r>
          </w:p>
          <w:p w14:paraId="6E370871">
            <w:pPr>
              <w:keepNext w:val="0"/>
              <w:keepLines w:val="0"/>
              <w:suppressLineNumbers w:val="0"/>
              <w:shd w:val="clear" w:color="auto" w:fill="auto"/>
              <w:spacing w:before="0" w:beforeAutospacing="0" w:after="0" w:afterAutospacing="0" w:line="460" w:lineRule="exact"/>
              <w:ind w:left="0" w:right="0" w:firstLine="480" w:firstLineChars="200"/>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3）油漆配比：本项目水性漆</w:t>
            </w:r>
            <w:r>
              <w:rPr>
                <w:rFonts w:hint="eastAsia"/>
                <w:color w:val="000000" w:themeColor="text1"/>
                <w:sz w:val="24"/>
                <w:highlight w:val="none"/>
                <w:lang w:val="en-US" w:eastAsia="zh-CN"/>
                <w14:textFill>
                  <w14:solidFill>
                    <w14:schemeClr w14:val="tx1"/>
                  </w14:solidFill>
                </w14:textFill>
              </w:rPr>
              <w:t>洗枪废水回用于调漆，比例为水性漆：洗枪废水=1：0.132</w:t>
            </w:r>
            <w:r>
              <w:rPr>
                <w:rFonts w:hint="eastAsia"/>
                <w:color w:val="000000" w:themeColor="text1"/>
                <w:sz w:val="24"/>
                <w:highlight w:val="none"/>
                <w14:textFill>
                  <w14:solidFill>
                    <w14:schemeClr w14:val="tx1"/>
                  </w14:solidFill>
                </w14:textFill>
              </w:rPr>
              <w:t>。</w:t>
            </w:r>
          </w:p>
          <w:p w14:paraId="0CDFC8A2">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③涂装面积计算</w:t>
            </w:r>
          </w:p>
          <w:p w14:paraId="1C946FDD">
            <w:pPr>
              <w:keepNext w:val="0"/>
              <w:keepLines w:val="0"/>
              <w:suppressLineNumbers w:val="0"/>
              <w:shd w:val="clear" w:color="auto" w:fill="auto"/>
              <w:spacing w:before="0" w:beforeAutospacing="0" w:after="0" w:afterAutospacing="0" w:line="460" w:lineRule="exact"/>
              <w:ind w:left="0" w:right="0" w:firstLine="480" w:firstLineChars="200"/>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14:textFill>
                  <w14:solidFill>
                    <w14:schemeClr w14:val="tx1"/>
                  </w14:solidFill>
                </w14:textFill>
              </w:rPr>
              <w:t>由于涂装对象存在异形部位，故不能按照设备外形尺寸进行核算，本项目单件喷涂面积由业主根据喷涂技术参数提供。根据表2-2可知，</w:t>
            </w:r>
            <w:r>
              <w:rPr>
                <w:rFonts w:hint="eastAsia"/>
                <w:color w:val="000000" w:themeColor="text1"/>
                <w:sz w:val="24"/>
                <w:highlight w:val="none"/>
                <w:lang w:val="en-US" w:eastAsia="zh-CN"/>
                <w14:textFill>
                  <w14:solidFill>
                    <w14:schemeClr w14:val="tx1"/>
                  </w14:solidFill>
                </w14:textFill>
              </w:rPr>
              <w:t>底漆涂装</w:t>
            </w:r>
            <w:r>
              <w:rPr>
                <w:rFonts w:hint="eastAsia"/>
                <w:color w:val="000000" w:themeColor="text1"/>
                <w:sz w:val="24"/>
                <w:highlight w:val="none"/>
                <w14:textFill>
                  <w14:solidFill>
                    <w14:schemeClr w14:val="tx1"/>
                  </w14:solidFill>
                </w14:textFill>
              </w:rPr>
              <w:t>面积为</w:t>
            </w:r>
            <w:r>
              <w:rPr>
                <w:rFonts w:hint="eastAsia"/>
                <w:color w:val="000000" w:themeColor="text1"/>
                <w:sz w:val="24"/>
                <w:highlight w:val="none"/>
                <w:lang w:val="en-US" w:eastAsia="zh-CN"/>
                <w14:textFill>
                  <w14:solidFill>
                    <w14:schemeClr w14:val="tx1"/>
                  </w14:solidFill>
                </w14:textFill>
              </w:rPr>
              <w:t>264000</w:t>
            </w:r>
            <w:r>
              <w:rPr>
                <w:rFonts w:hint="eastAsia"/>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2</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面漆涂装面积为264000</w:t>
            </w:r>
            <w:r>
              <w:rPr>
                <w:rFonts w:hint="eastAsia"/>
                <w:color w:val="000000" w:themeColor="text1"/>
                <w:sz w:val="24"/>
                <w:highlight w:val="none"/>
                <w14:textFill>
                  <w14:solidFill>
                    <w14:schemeClr w14:val="tx1"/>
                  </w14:solidFill>
                </w14:textFill>
              </w:rPr>
              <w:t>m</w:t>
            </w:r>
            <w:r>
              <w:rPr>
                <w:rFonts w:hint="eastAsia"/>
                <w:color w:val="000000" w:themeColor="text1"/>
                <w:sz w:val="24"/>
                <w:highlight w:val="none"/>
                <w:vertAlign w:val="superscript"/>
                <w14:textFill>
                  <w14:solidFill>
                    <w14:schemeClr w14:val="tx1"/>
                  </w14:solidFill>
                </w14:textFill>
              </w:rPr>
              <w:t>2</w:t>
            </w:r>
            <w:r>
              <w:rPr>
                <w:rFonts w:hint="eastAsia"/>
                <w:color w:val="000000" w:themeColor="text1"/>
                <w:sz w:val="24"/>
                <w:highlight w:val="none"/>
                <w14:textFill>
                  <w14:solidFill>
                    <w14:schemeClr w14:val="tx1"/>
                  </w14:solidFill>
                </w14:textFill>
              </w:rPr>
              <w:t>。</w:t>
            </w:r>
            <w:r>
              <w:rPr>
                <w:rFonts w:hint="eastAsia"/>
                <w:color w:val="000000" w:themeColor="text1"/>
                <w:sz w:val="24"/>
                <w:highlight w:val="none"/>
                <w:lang w:eastAsia="zh-CN"/>
                <w14:textFill>
                  <w14:solidFill>
                    <w14:schemeClr w14:val="tx1"/>
                  </w14:solidFill>
                </w14:textFill>
              </w:rPr>
              <w:t>（喷漆面积为产品中最大标准尺寸的产品各个表面喷漆面积之和，已考虑了拱面，为最大可能喷漆面积）</w:t>
            </w:r>
          </w:p>
          <w:p w14:paraId="769C1DE5">
            <w:pPr>
              <w:keepNext w:val="0"/>
              <w:keepLines w:val="0"/>
              <w:suppressLineNumbers w:val="0"/>
              <w:shd w:val="clear" w:color="auto" w:fill="auto"/>
              <w:adjustRightInd w:val="0"/>
              <w:snapToGrid w:val="0"/>
              <w:spacing w:before="0" w:beforeAutospacing="0" w:after="0" w:afterAutospacing="0" w:line="460" w:lineRule="exact"/>
              <w:ind w:left="0" w:right="0"/>
              <w:jc w:val="center"/>
              <w:rPr>
                <w:rFonts w:hint="default"/>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表2-</w:t>
            </w:r>
            <w:r>
              <w:rPr>
                <w:rFonts w:hint="eastAsia"/>
                <w:b/>
                <w:bCs/>
                <w:color w:val="000000" w:themeColor="text1"/>
                <w:sz w:val="24"/>
                <w:highlight w:val="none"/>
                <w:lang w:val="en-US" w:eastAsia="zh-CN"/>
                <w14:textFill>
                  <w14:solidFill>
                    <w14:schemeClr w14:val="tx1"/>
                  </w14:solidFill>
                </w14:textFill>
              </w:rPr>
              <w:t xml:space="preserve">9 </w:t>
            </w:r>
            <w:r>
              <w:rPr>
                <w:rFonts w:hint="eastAsia"/>
                <w:b/>
                <w:bCs/>
                <w:color w:val="000000" w:themeColor="text1"/>
                <w:sz w:val="24"/>
                <w:highlight w:val="none"/>
                <w14:textFill>
                  <w14:solidFill>
                    <w14:schemeClr w14:val="tx1"/>
                  </w14:solidFill>
                </w14:textFill>
              </w:rPr>
              <w:t>原料组分统计表</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754"/>
              <w:gridCol w:w="2041"/>
              <w:gridCol w:w="714"/>
              <w:gridCol w:w="1880"/>
              <w:gridCol w:w="646"/>
              <w:gridCol w:w="714"/>
              <w:gridCol w:w="788"/>
            </w:tblGrid>
            <w:tr w14:paraId="340D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vMerge w:val="restart"/>
                  <w:noWrap w:val="0"/>
                  <w:vAlign w:val="center"/>
                </w:tcPr>
                <w:p w14:paraId="04E090BF">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序号</w:t>
                  </w:r>
                </w:p>
              </w:tc>
              <w:tc>
                <w:tcPr>
                  <w:tcW w:w="474" w:type="pct"/>
                  <w:vMerge w:val="restart"/>
                  <w:noWrap w:val="0"/>
                  <w:vAlign w:val="center"/>
                </w:tcPr>
                <w:p w14:paraId="45B9A02E">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漆料种类</w:t>
                  </w:r>
                </w:p>
              </w:tc>
              <w:tc>
                <w:tcPr>
                  <w:tcW w:w="1735" w:type="pct"/>
                  <w:gridSpan w:val="2"/>
                  <w:noWrap w:val="0"/>
                  <w:vAlign w:val="center"/>
                </w:tcPr>
                <w:p w14:paraId="63B70B83">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固分含量</w:t>
                  </w:r>
                </w:p>
              </w:tc>
              <w:tc>
                <w:tcPr>
                  <w:tcW w:w="1591" w:type="pct"/>
                  <w:gridSpan w:val="2"/>
                  <w:noWrap w:val="0"/>
                  <w:vAlign w:val="center"/>
                </w:tcPr>
                <w:p w14:paraId="2921EBBD">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挥发性有机物（VOC）含量</w:t>
                  </w:r>
                </w:p>
              </w:tc>
              <w:tc>
                <w:tcPr>
                  <w:tcW w:w="449" w:type="pct"/>
                  <w:noWrap w:val="0"/>
                  <w:vAlign w:val="center"/>
                </w:tcPr>
                <w:p w14:paraId="1F580228">
                  <w:pPr>
                    <w:pStyle w:val="2"/>
                    <w:keepNext w:val="0"/>
                    <w:keepLines w:val="0"/>
                    <w:suppressLineNumbers w:val="0"/>
                    <w:shd w:val="clear" w:color="auto" w:fill="auto"/>
                    <w:spacing w:before="0" w:beforeAutospacing="0" w:after="0" w:afterAutospacing="0"/>
                    <w:ind w:left="0" w:right="0"/>
                    <w:jc w:val="center"/>
                    <w:rPr>
                      <w:rFonts w:hint="eastAsia"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水分</w:t>
                  </w:r>
                </w:p>
              </w:tc>
              <w:tc>
                <w:tcPr>
                  <w:tcW w:w="496" w:type="pct"/>
                  <w:vMerge w:val="restart"/>
                  <w:noWrap w:val="0"/>
                  <w:vAlign w:val="center"/>
                </w:tcPr>
                <w:p w14:paraId="41B285FD">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密度（g/cm</w:t>
                  </w:r>
                  <w:r>
                    <w:rPr>
                      <w:rFonts w:hint="default" w:ascii="Times New Roman" w:hAnsi="Times New Roman" w:cs="Times New Roman"/>
                      <w:b/>
                      <w:bCs/>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b/>
                      <w:bCs/>
                      <w:color w:val="000000" w:themeColor="text1"/>
                      <w:sz w:val="21"/>
                      <w:szCs w:val="21"/>
                      <w:highlight w:val="none"/>
                      <w14:textFill>
                        <w14:solidFill>
                          <w14:schemeClr w14:val="tx1"/>
                        </w14:solidFill>
                      </w14:textFill>
                    </w:rPr>
                    <w:t>）</w:t>
                  </w:r>
                </w:p>
              </w:tc>
            </w:tr>
            <w:tr w14:paraId="0F173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vMerge w:val="continue"/>
                  <w:noWrap w:val="0"/>
                  <w:vAlign w:val="center"/>
                </w:tcPr>
                <w:p w14:paraId="63BFAF37">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474" w:type="pct"/>
                  <w:vMerge w:val="continue"/>
                  <w:noWrap w:val="0"/>
                  <w:vAlign w:val="center"/>
                </w:tcPr>
                <w:p w14:paraId="2DA86219">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1285" w:type="pct"/>
                  <w:noWrap w:val="0"/>
                  <w:vAlign w:val="center"/>
                </w:tcPr>
                <w:p w14:paraId="2DF6FC3F">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组分</w:t>
                  </w:r>
                </w:p>
              </w:tc>
              <w:tc>
                <w:tcPr>
                  <w:tcW w:w="449" w:type="pct"/>
                  <w:noWrap w:val="0"/>
                  <w:vAlign w:val="center"/>
                </w:tcPr>
                <w:p w14:paraId="1FB96AF8">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合计</w:t>
                  </w:r>
                </w:p>
              </w:tc>
              <w:tc>
                <w:tcPr>
                  <w:tcW w:w="1184" w:type="pct"/>
                  <w:noWrap w:val="0"/>
                  <w:vAlign w:val="center"/>
                </w:tcPr>
                <w:p w14:paraId="50695DEF">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组分</w:t>
                  </w:r>
                </w:p>
              </w:tc>
              <w:tc>
                <w:tcPr>
                  <w:tcW w:w="406" w:type="pct"/>
                  <w:noWrap w:val="0"/>
                  <w:vAlign w:val="center"/>
                </w:tcPr>
                <w:p w14:paraId="14AD7927">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合计</w:t>
                  </w:r>
                </w:p>
              </w:tc>
              <w:tc>
                <w:tcPr>
                  <w:tcW w:w="449" w:type="pct"/>
                  <w:noWrap w:val="0"/>
                  <w:vAlign w:val="center"/>
                </w:tcPr>
                <w:p w14:paraId="424AF3C6">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eastAsia" w:ascii="Times New Roman" w:hAnsi="Times New Roman" w:cs="Times New Roman"/>
                      <w:b/>
                      <w:bCs/>
                      <w:color w:val="000000" w:themeColor="text1"/>
                      <w:sz w:val="21"/>
                      <w:szCs w:val="21"/>
                      <w:highlight w:val="none"/>
                      <w14:textFill>
                        <w14:solidFill>
                          <w14:schemeClr w14:val="tx1"/>
                        </w14:solidFill>
                      </w14:textFill>
                    </w:rPr>
                    <w:t>合计</w:t>
                  </w:r>
                </w:p>
              </w:tc>
              <w:tc>
                <w:tcPr>
                  <w:tcW w:w="496" w:type="pct"/>
                  <w:vMerge w:val="continue"/>
                  <w:noWrap w:val="0"/>
                  <w:vAlign w:val="center"/>
                </w:tcPr>
                <w:p w14:paraId="3B0A717F">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p>
              </w:tc>
            </w:tr>
            <w:tr w14:paraId="7023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noWrap w:val="0"/>
                  <w:vAlign w:val="center"/>
                </w:tcPr>
                <w:p w14:paraId="2EC7C897">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1</w:t>
                  </w:r>
                </w:p>
              </w:tc>
              <w:tc>
                <w:tcPr>
                  <w:tcW w:w="474" w:type="pct"/>
                  <w:noWrap w:val="0"/>
                  <w:vAlign w:val="center"/>
                </w:tcPr>
                <w:p w14:paraId="7E033185">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水性漆</w:t>
                  </w:r>
                </w:p>
              </w:tc>
              <w:tc>
                <w:tcPr>
                  <w:tcW w:w="1285" w:type="pct"/>
                  <w:noWrap w:val="0"/>
                  <w:vAlign w:val="center"/>
                </w:tcPr>
                <w:p w14:paraId="3E6C5D09">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ind w:left="0" w:right="0"/>
                    <w:textAlignment w:val="auto"/>
                    <w:rPr>
                      <w:rFonts w:hint="default"/>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水性丙烯酸</w:t>
                  </w:r>
                  <w:r>
                    <w:rPr>
                      <w:rFonts w:hint="eastAsia"/>
                      <w:color w:val="000000" w:themeColor="text1"/>
                      <w:szCs w:val="21"/>
                      <w:highlight w:val="none"/>
                      <w:lang w:val="en-US" w:eastAsia="zh-CN"/>
                      <w14:textFill>
                        <w14:solidFill>
                          <w14:schemeClr w14:val="tx1"/>
                        </w14:solidFill>
                      </w14:textFill>
                    </w:rPr>
                    <w:t>乳液30</w:t>
                  </w:r>
                  <w:r>
                    <w:rPr>
                      <w:color w:val="000000" w:themeColor="text1"/>
                      <w:szCs w:val="21"/>
                      <w:highlight w:val="none"/>
                      <w14:textFill>
                        <w14:solidFill>
                          <w14:schemeClr w14:val="tx1"/>
                        </w14:solidFill>
                      </w14:textFill>
                    </w:rPr>
                    <w:t>%、水性聚氨酯</w:t>
                  </w:r>
                  <w:r>
                    <w:rPr>
                      <w:rFonts w:hint="eastAsia"/>
                      <w:color w:val="000000" w:themeColor="text1"/>
                      <w:szCs w:val="21"/>
                      <w:highlight w:val="none"/>
                      <w:lang w:val="en-US" w:eastAsia="zh-CN"/>
                      <w14:textFill>
                        <w14:solidFill>
                          <w14:schemeClr w14:val="tx1"/>
                        </w14:solidFill>
                      </w14:textFill>
                    </w:rPr>
                    <w:t>30</w:t>
                  </w:r>
                  <w:r>
                    <w:rPr>
                      <w:color w:val="000000" w:themeColor="text1"/>
                      <w:szCs w:val="21"/>
                      <w:highlight w:val="none"/>
                      <w14:textFill>
                        <w14:solidFill>
                          <w14:schemeClr w14:val="tx1"/>
                        </w14:solidFill>
                      </w14:textFill>
                    </w:rPr>
                    <w:t>%、水性颜填料1</w:t>
                  </w:r>
                  <w:r>
                    <w:rPr>
                      <w:rFonts w:hint="eastAsia"/>
                      <w:color w:val="000000" w:themeColor="text1"/>
                      <w:szCs w:val="21"/>
                      <w:highlight w:val="none"/>
                      <w:lang w:val="en-US" w:eastAsia="zh-CN"/>
                      <w14:textFill>
                        <w14:solidFill>
                          <w14:schemeClr w14:val="tx1"/>
                        </w14:solidFill>
                      </w14:textFill>
                    </w:rPr>
                    <w:t>5</w:t>
                  </w:r>
                  <w:r>
                    <w:rPr>
                      <w:color w:val="000000" w:themeColor="text1"/>
                      <w:szCs w:val="21"/>
                      <w:highlight w:val="none"/>
                      <w14:textFill>
                        <w14:solidFill>
                          <w14:schemeClr w14:val="tx1"/>
                        </w14:solidFill>
                      </w14:textFill>
                    </w:rPr>
                    <w:t>%</w:t>
                  </w:r>
                </w:p>
              </w:tc>
              <w:tc>
                <w:tcPr>
                  <w:tcW w:w="449" w:type="pct"/>
                  <w:noWrap w:val="0"/>
                  <w:vAlign w:val="center"/>
                </w:tcPr>
                <w:p w14:paraId="7B3619B6">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75</w:t>
                  </w:r>
                  <w:r>
                    <w:rPr>
                      <w:rFonts w:hint="eastAsia"/>
                      <w:color w:val="000000" w:themeColor="text1"/>
                      <w:szCs w:val="21"/>
                      <w:highlight w:val="none"/>
                      <w14:textFill>
                        <w14:solidFill>
                          <w14:schemeClr w14:val="tx1"/>
                        </w14:solidFill>
                      </w14:textFill>
                    </w:rPr>
                    <w:t>%</w:t>
                  </w:r>
                </w:p>
              </w:tc>
              <w:tc>
                <w:tcPr>
                  <w:tcW w:w="1184" w:type="pct"/>
                  <w:noWrap w:val="0"/>
                  <w:vAlign w:val="center"/>
                </w:tcPr>
                <w:p w14:paraId="7DDE4A4C">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成膜助剂（二丙二醇丁醚）5%、水性助剂（聚丙二醇单丁醚）5%</w:t>
                  </w:r>
                </w:p>
              </w:tc>
              <w:tc>
                <w:tcPr>
                  <w:tcW w:w="406" w:type="pct"/>
                  <w:noWrap w:val="0"/>
                  <w:vAlign w:val="center"/>
                </w:tcPr>
                <w:p w14:paraId="2ED4D93F">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1</w:t>
                  </w:r>
                  <w:r>
                    <w:rPr>
                      <w:rFonts w:hint="eastAsia" w:ascii="Times New Roman" w:cs="Times New Roman"/>
                      <w:color w:val="000000" w:themeColor="text1"/>
                      <w:sz w:val="21"/>
                      <w:szCs w:val="21"/>
                      <w:highlight w:val="none"/>
                      <w:lang w:val="en-US" w:eastAsia="zh-CN"/>
                      <w14:textFill>
                        <w14:solidFill>
                          <w14:schemeClr w14:val="tx1"/>
                        </w14:solidFill>
                      </w14:textFill>
                    </w:rPr>
                    <w:t>0</w:t>
                  </w:r>
                  <w:r>
                    <w:rPr>
                      <w:rFonts w:hint="eastAsia" w:ascii="Times New Roman" w:hAnsi="Times New Roman" w:cs="Times New Roman"/>
                      <w:color w:val="000000" w:themeColor="text1"/>
                      <w:sz w:val="21"/>
                      <w:szCs w:val="21"/>
                      <w:highlight w:val="none"/>
                      <w14:textFill>
                        <w14:solidFill>
                          <w14:schemeClr w14:val="tx1"/>
                        </w14:solidFill>
                      </w14:textFill>
                    </w:rPr>
                    <w:t>%</w:t>
                  </w:r>
                </w:p>
              </w:tc>
              <w:tc>
                <w:tcPr>
                  <w:tcW w:w="449" w:type="pct"/>
                  <w:noWrap w:val="0"/>
                  <w:vAlign w:val="center"/>
                </w:tcPr>
                <w:p w14:paraId="3D36EC97">
                  <w:pPr>
                    <w:pStyle w:val="2"/>
                    <w:keepNext w:val="0"/>
                    <w:keepLines w:val="0"/>
                    <w:suppressLineNumbers w:val="0"/>
                    <w:shd w:val="clear" w:color="auto" w:fill="auto"/>
                    <w:spacing w:before="0" w:beforeAutospacing="0" w:after="0" w:afterAutospacing="0"/>
                    <w:ind w:left="0" w:right="0"/>
                    <w:jc w:val="center"/>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15</w:t>
                  </w:r>
                  <w:r>
                    <w:rPr>
                      <w:rFonts w:hint="eastAsia" w:ascii="Times New Roman" w:hAnsi="Times New Roman" w:cs="Times New Roman"/>
                      <w:color w:val="000000" w:themeColor="text1"/>
                      <w:sz w:val="21"/>
                      <w:szCs w:val="21"/>
                      <w:highlight w:val="none"/>
                      <w14:textFill>
                        <w14:solidFill>
                          <w14:schemeClr w14:val="tx1"/>
                        </w14:solidFill>
                      </w14:textFill>
                    </w:rPr>
                    <w:t>%</w:t>
                  </w:r>
                </w:p>
              </w:tc>
              <w:tc>
                <w:tcPr>
                  <w:tcW w:w="496" w:type="pct"/>
                  <w:noWrap w:val="0"/>
                  <w:vAlign w:val="center"/>
                </w:tcPr>
                <w:p w14:paraId="3CE7FD1E">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0.981</w:t>
                  </w:r>
                </w:p>
              </w:tc>
            </w:tr>
            <w:tr w14:paraId="5BFE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7A0C69DA">
                  <w:pPr>
                    <w:pStyle w:val="2"/>
                    <w:keepNext w:val="0"/>
                    <w:keepLines w:val="0"/>
                    <w:suppressLineNumbers w:val="0"/>
                    <w:shd w:val="clear" w:color="auto" w:fill="auto"/>
                    <w:spacing w:before="0" w:beforeAutospacing="0" w:after="0" w:afterAutospacing="0"/>
                    <w:ind w:left="0" w:right="0"/>
                    <w:rPr>
                      <w:rFonts w:hint="eastAsia"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注：水性漆MSDS中</w:t>
                  </w:r>
                  <w:r>
                    <w:rPr>
                      <w:rFonts w:hint="eastAsia" w:ascii="Times New Roman" w:cs="Times New Roman"/>
                      <w:color w:val="000000" w:themeColor="text1"/>
                      <w:sz w:val="21"/>
                      <w:szCs w:val="21"/>
                      <w:highlight w:val="none"/>
                      <w:lang w:val="en-US" w:eastAsia="zh-CN"/>
                      <w14:textFill>
                        <w14:solidFill>
                          <w14:schemeClr w14:val="tx1"/>
                        </w14:solidFill>
                      </w14:textFill>
                    </w:rPr>
                    <w:t>水性</w:t>
                  </w:r>
                  <w:r>
                    <w:rPr>
                      <w:rFonts w:hint="eastAsia" w:ascii="Times New Roman" w:hAnsi="Times New Roman" w:cs="Times New Roman"/>
                      <w:color w:val="000000" w:themeColor="text1"/>
                      <w:sz w:val="21"/>
                      <w:szCs w:val="21"/>
                      <w:highlight w:val="none"/>
                      <w14:textFill>
                        <w14:solidFill>
                          <w14:schemeClr w14:val="tx1"/>
                        </w14:solidFill>
                      </w14:textFill>
                    </w:rPr>
                    <w:t>助剂含量为</w:t>
                  </w:r>
                  <w:r>
                    <w:rPr>
                      <w:rFonts w:hint="eastAsia" w:ascii="Times New Roman" w:cs="Times New Roman"/>
                      <w:color w:val="000000" w:themeColor="text1"/>
                      <w:sz w:val="21"/>
                      <w:szCs w:val="21"/>
                      <w:highlight w:val="none"/>
                      <w:lang w:val="en-US" w:eastAsia="zh-CN"/>
                      <w14:textFill>
                        <w14:solidFill>
                          <w14:schemeClr w14:val="tx1"/>
                        </w14:solidFill>
                      </w14:textFill>
                    </w:rPr>
                    <w:t>1-5</w:t>
                  </w:r>
                  <w:r>
                    <w:rPr>
                      <w:rFonts w:hint="eastAsia" w:ascii="Times New Roman" w:hAnsi="Times New Roman" w:cs="Times New Roman"/>
                      <w:color w:val="000000" w:themeColor="text1"/>
                      <w:sz w:val="21"/>
                      <w:szCs w:val="21"/>
                      <w:highlight w:val="none"/>
                      <w14:textFill>
                        <w14:solidFill>
                          <w14:schemeClr w14:val="tx1"/>
                        </w14:solidFill>
                      </w14:textFill>
                    </w:rPr>
                    <w:t>%，评价按最大值取</w:t>
                  </w:r>
                  <w:r>
                    <w:rPr>
                      <w:rFonts w:hint="eastAsia" w:ascii="Times New Roman" w:cs="Times New Roman"/>
                      <w:color w:val="000000" w:themeColor="text1"/>
                      <w:sz w:val="21"/>
                      <w:szCs w:val="21"/>
                      <w:highlight w:val="none"/>
                      <w:lang w:val="en-US" w:eastAsia="zh-CN"/>
                      <w14:textFill>
                        <w14:solidFill>
                          <w14:schemeClr w14:val="tx1"/>
                        </w14:solidFill>
                      </w14:textFill>
                    </w:rPr>
                    <w:t>5</w:t>
                  </w:r>
                  <w:r>
                    <w:rPr>
                      <w:rFonts w:hint="eastAsia"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cs="Times New Roman"/>
                      <w:color w:val="000000" w:themeColor="text1"/>
                      <w:sz w:val="21"/>
                      <w:szCs w:val="21"/>
                      <w:highlight w:val="none"/>
                      <w:lang w:eastAsia="zh-CN"/>
                      <w14:textFill>
                        <w14:solidFill>
                          <w14:schemeClr w14:val="tx1"/>
                        </w14:solidFill>
                      </w14:textFill>
                    </w:rPr>
                    <w:t>；成膜助剂</w:t>
                  </w:r>
                  <w:r>
                    <w:rPr>
                      <w:rFonts w:hint="eastAsia" w:ascii="Times New Roman" w:hAnsi="Times New Roman" w:cs="Times New Roman"/>
                      <w:color w:val="000000" w:themeColor="text1"/>
                      <w:sz w:val="21"/>
                      <w:szCs w:val="21"/>
                      <w:highlight w:val="none"/>
                      <w14:textFill>
                        <w14:solidFill>
                          <w14:schemeClr w14:val="tx1"/>
                        </w14:solidFill>
                      </w14:textFill>
                    </w:rPr>
                    <w:t>含量</w:t>
                  </w:r>
                  <w:r>
                    <w:rPr>
                      <w:rFonts w:hint="eastAsia" w:ascii="Times New Roman" w:cs="Times New Roman"/>
                      <w:color w:val="000000" w:themeColor="text1"/>
                      <w:sz w:val="21"/>
                      <w:szCs w:val="21"/>
                      <w:highlight w:val="none"/>
                      <w:lang w:val="en-US" w:eastAsia="zh-CN"/>
                      <w14:textFill>
                        <w14:solidFill>
                          <w14:schemeClr w14:val="tx1"/>
                        </w14:solidFill>
                      </w14:textFill>
                    </w:rPr>
                    <w:t>1-5</w:t>
                  </w:r>
                  <w:r>
                    <w:rPr>
                      <w:rFonts w:hint="eastAsia" w:ascii="Times New Roman" w:hAnsi="Times New Roman" w:cs="Times New Roman"/>
                      <w:color w:val="000000" w:themeColor="text1"/>
                      <w:sz w:val="21"/>
                      <w:szCs w:val="21"/>
                      <w:highlight w:val="none"/>
                      <w14:textFill>
                        <w14:solidFill>
                          <w14:schemeClr w14:val="tx1"/>
                        </w14:solidFill>
                      </w14:textFill>
                    </w:rPr>
                    <w:t>%，评价按最大值取</w:t>
                  </w:r>
                  <w:r>
                    <w:rPr>
                      <w:rFonts w:hint="eastAsia" w:ascii="Times New Roman" w:cs="Times New Roman"/>
                      <w:color w:val="000000" w:themeColor="text1"/>
                      <w:sz w:val="21"/>
                      <w:szCs w:val="21"/>
                      <w:highlight w:val="none"/>
                      <w:lang w:val="en-US" w:eastAsia="zh-CN"/>
                      <w14:textFill>
                        <w14:solidFill>
                          <w14:schemeClr w14:val="tx1"/>
                        </w14:solidFill>
                      </w14:textFill>
                    </w:rPr>
                    <w:t>5</w:t>
                  </w:r>
                  <w:r>
                    <w:rPr>
                      <w:rFonts w:hint="eastAsia" w:ascii="Times New Roman" w:hAnsi="Times New Roman" w:cs="Times New Roman"/>
                      <w:color w:val="000000" w:themeColor="text1"/>
                      <w:sz w:val="21"/>
                      <w:szCs w:val="21"/>
                      <w:highlight w:val="none"/>
                      <w14:textFill>
                        <w14:solidFill>
                          <w14:schemeClr w14:val="tx1"/>
                        </w14:solidFill>
                      </w14:textFill>
                    </w:rPr>
                    <w:t>%。</w:t>
                  </w:r>
                </w:p>
              </w:tc>
            </w:tr>
          </w:tbl>
          <w:p w14:paraId="4D593826">
            <w:pPr>
              <w:adjustRightInd w:val="0"/>
              <w:snapToGrid w:val="0"/>
              <w:spacing w:before="120" w:beforeLines="50"/>
              <w:jc w:val="center"/>
              <w:outlineLvl w:val="1"/>
              <w:rPr>
                <w:b/>
                <w:color w:val="000000" w:themeColor="text1"/>
                <w:sz w:val="24"/>
                <w14:textFill>
                  <w14:solidFill>
                    <w14:schemeClr w14:val="tx1"/>
                  </w14:solidFill>
                </w14:textFill>
              </w:rPr>
            </w:pPr>
            <w:r>
              <w:rPr>
                <w:rFonts w:hint="eastAsia"/>
                <w:b/>
                <w:bCs/>
                <w:color w:val="000000" w:themeColor="text1"/>
                <w:sz w:val="24"/>
                <w:highlight w:val="none"/>
                <w14:textFill>
                  <w14:solidFill>
                    <w14:schemeClr w14:val="tx1"/>
                  </w14:solidFill>
                </w14:textFill>
              </w:rPr>
              <w:t>表2-</w:t>
            </w:r>
            <w:r>
              <w:rPr>
                <w:rFonts w:hint="eastAsia"/>
                <w:b/>
                <w:bCs/>
                <w:color w:val="000000" w:themeColor="text1"/>
                <w:sz w:val="24"/>
                <w:highlight w:val="none"/>
                <w:lang w:val="en-US" w:eastAsia="zh-CN"/>
                <w14:textFill>
                  <w14:solidFill>
                    <w14:schemeClr w14:val="tx1"/>
                  </w14:solidFill>
                </w14:textFill>
              </w:rPr>
              <w:t>10</w:t>
            </w:r>
            <w:r>
              <w:rPr>
                <w:rFonts w:hint="eastAsia"/>
                <w:b/>
                <w:bCs/>
                <w:color w:val="000000" w:themeColor="text1"/>
                <w:sz w:val="24"/>
                <w:highlight w:val="none"/>
                <w14:textFill>
                  <w14:solidFill>
                    <w14:schemeClr w14:val="tx1"/>
                  </w14:solidFill>
                </w14:textFill>
              </w:rPr>
              <w:t xml:space="preserve"> </w:t>
            </w:r>
            <w:r>
              <w:rPr>
                <w:b/>
                <w:color w:val="000000" w:themeColor="text1"/>
                <w:sz w:val="24"/>
                <w14:textFill>
                  <w14:solidFill>
                    <w14:schemeClr w14:val="tx1"/>
                  </w14:solidFill>
                </w14:textFill>
              </w:rPr>
              <w:t>项目</w:t>
            </w:r>
            <w:r>
              <w:rPr>
                <w:rFonts w:hint="eastAsia"/>
                <w:b/>
                <w:color w:val="000000" w:themeColor="text1"/>
                <w:sz w:val="24"/>
                <w14:textFill>
                  <w14:solidFill>
                    <w14:schemeClr w14:val="tx1"/>
                  </w14:solidFill>
                </w14:textFill>
              </w:rPr>
              <w:t>喷漆工艺油漆</w:t>
            </w:r>
            <w:r>
              <w:rPr>
                <w:b/>
                <w:color w:val="000000" w:themeColor="text1"/>
                <w:sz w:val="24"/>
                <w14:textFill>
                  <w14:solidFill>
                    <w14:schemeClr w14:val="tx1"/>
                  </w14:solidFill>
                </w14:textFill>
              </w:rPr>
              <w:t>用量表（调配后）</w:t>
            </w:r>
          </w:p>
          <w:tbl>
            <w:tblPr>
              <w:tblStyle w:val="21"/>
              <w:tblW w:w="47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1594"/>
              <w:gridCol w:w="2633"/>
              <w:gridCol w:w="2234"/>
            </w:tblGrid>
            <w:tr w14:paraId="23CE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000" w:type="pct"/>
                  <w:gridSpan w:val="4"/>
                  <w:shd w:val="clear" w:color="auto" w:fill="auto"/>
                  <w:noWrap w:val="0"/>
                  <w:vAlign w:val="center"/>
                </w:tcPr>
                <w:p w14:paraId="2351C837">
                  <w:pPr>
                    <w:widowControl/>
                    <w:jc w:val="center"/>
                    <w:rPr>
                      <w:rFonts w:hint="default" w:ascii="Times New Roman" w:hAnsi="Times New Roman" w:eastAsia="宋体" w:cs="Times New Roman"/>
                      <w:b/>
                      <w:bCs/>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Cs w:val="21"/>
                      <w:lang w:val="en-US" w:eastAsia="zh-CN"/>
                      <w14:textFill>
                        <w14:solidFill>
                          <w14:schemeClr w14:val="tx1"/>
                        </w14:solidFill>
                      </w14:textFill>
                    </w:rPr>
                    <w:t>1#生产线</w:t>
                  </w:r>
                </w:p>
              </w:tc>
            </w:tr>
            <w:tr w14:paraId="60E9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933" w:type="pct"/>
                  <w:gridSpan w:val="2"/>
                  <w:shd w:val="clear" w:color="auto" w:fill="auto"/>
                  <w:noWrap w:val="0"/>
                  <w:vAlign w:val="center"/>
                </w:tcPr>
                <w:p w14:paraId="137DC94C">
                  <w:pPr>
                    <w:widowControl/>
                    <w:jc w:val="cente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项目</w:t>
                  </w:r>
                </w:p>
              </w:tc>
              <w:tc>
                <w:tcPr>
                  <w:tcW w:w="1658" w:type="pct"/>
                  <w:shd w:val="clear" w:color="auto" w:fill="auto"/>
                  <w:noWrap w:val="0"/>
                  <w:vAlign w:val="center"/>
                </w:tcPr>
                <w:p w14:paraId="4DFE2499">
                  <w:pPr>
                    <w:widowControl/>
                    <w:jc w:val="cente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水性底漆</w:t>
                  </w:r>
                </w:p>
              </w:tc>
              <w:tc>
                <w:tcPr>
                  <w:tcW w:w="1407" w:type="pct"/>
                  <w:shd w:val="clear" w:color="auto" w:fill="auto"/>
                  <w:noWrap w:val="0"/>
                  <w:vAlign w:val="center"/>
                </w:tcPr>
                <w:p w14:paraId="2D1D0719">
                  <w:pPr>
                    <w:widowControl/>
                    <w:jc w:val="cente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水性面漆</w:t>
                  </w:r>
                </w:p>
              </w:tc>
            </w:tr>
            <w:tr w14:paraId="095D4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3" w:type="pct"/>
                  <w:gridSpan w:val="2"/>
                  <w:noWrap w:val="0"/>
                  <w:vAlign w:val="center"/>
                </w:tcPr>
                <w:p w14:paraId="52F8B341">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喷涂面积m</w:t>
                  </w:r>
                  <w:r>
                    <w:rPr>
                      <w:rFonts w:hint="default" w:ascii="Times New Roman" w:hAnsi="Times New Roman" w:eastAsia="宋体" w:cs="Times New Roman"/>
                      <w:color w:val="000000" w:themeColor="text1"/>
                      <w:kern w:val="0"/>
                      <w:szCs w:val="21"/>
                      <w:vertAlign w:val="superscript"/>
                      <w14:textFill>
                        <w14:solidFill>
                          <w14:schemeClr w14:val="tx1"/>
                        </w14:solidFill>
                      </w14:textFill>
                    </w:rPr>
                    <w:t>2</w:t>
                  </w:r>
                </w:p>
              </w:tc>
              <w:tc>
                <w:tcPr>
                  <w:tcW w:w="1658" w:type="pct"/>
                  <w:noWrap w:val="0"/>
                  <w:vAlign w:val="center"/>
                </w:tcPr>
                <w:p w14:paraId="3A41437F">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132000</w:t>
                  </w:r>
                </w:p>
              </w:tc>
              <w:tc>
                <w:tcPr>
                  <w:tcW w:w="1407" w:type="pct"/>
                  <w:noWrap w:val="0"/>
                  <w:vAlign w:val="center"/>
                </w:tcPr>
                <w:p w14:paraId="4EF8447E">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132000</w:t>
                  </w:r>
                </w:p>
              </w:tc>
            </w:tr>
            <w:tr w14:paraId="4BF89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33" w:type="pct"/>
                  <w:gridSpan w:val="2"/>
                  <w:noWrap w:val="0"/>
                  <w:vAlign w:val="center"/>
                </w:tcPr>
                <w:p w14:paraId="47D17D34">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漆膜密度g/cm</w:t>
                  </w:r>
                  <w:r>
                    <w:rPr>
                      <w:rFonts w:hint="default" w:ascii="Times New Roman" w:hAnsi="Times New Roman" w:eastAsia="宋体" w:cs="Times New Roman"/>
                      <w:color w:val="000000" w:themeColor="text1"/>
                      <w:kern w:val="0"/>
                      <w:szCs w:val="21"/>
                      <w:vertAlign w:val="superscript"/>
                      <w14:textFill>
                        <w14:solidFill>
                          <w14:schemeClr w14:val="tx1"/>
                        </w14:solidFill>
                      </w14:textFill>
                    </w:rPr>
                    <w:t>3</w:t>
                  </w:r>
                </w:p>
              </w:tc>
              <w:tc>
                <w:tcPr>
                  <w:tcW w:w="1658" w:type="pct"/>
                  <w:noWrap w:val="0"/>
                  <w:vAlign w:val="center"/>
                </w:tcPr>
                <w:p w14:paraId="55E46311">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r>
                    <w:rPr>
                      <w:rFonts w:hint="eastAsia" w:cs="Times New Roman"/>
                      <w:i w:val="0"/>
                      <w:iCs w:val="0"/>
                      <w:color w:val="000000" w:themeColor="text1"/>
                      <w:kern w:val="0"/>
                      <w:sz w:val="21"/>
                      <w:szCs w:val="21"/>
                      <w:u w:val="none"/>
                      <w:lang w:val="en-US" w:eastAsia="zh-CN" w:bidi="ar"/>
                      <w14:textFill>
                        <w14:solidFill>
                          <w14:schemeClr w14:val="tx1"/>
                        </w14:solidFill>
                      </w14:textFill>
                    </w:rPr>
                    <w:t>6</w:t>
                  </w:r>
                </w:p>
              </w:tc>
              <w:tc>
                <w:tcPr>
                  <w:tcW w:w="1407" w:type="pct"/>
                  <w:noWrap w:val="0"/>
                  <w:vAlign w:val="center"/>
                </w:tcPr>
                <w:p w14:paraId="5A864B7E">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r>
                    <w:rPr>
                      <w:rFonts w:hint="eastAsia" w:cs="Times New Roman"/>
                      <w:i w:val="0"/>
                      <w:iCs w:val="0"/>
                      <w:color w:val="000000" w:themeColor="text1"/>
                      <w:kern w:val="0"/>
                      <w:sz w:val="21"/>
                      <w:szCs w:val="21"/>
                      <w:u w:val="none"/>
                      <w:lang w:val="en-US" w:eastAsia="zh-CN" w:bidi="ar"/>
                      <w14:textFill>
                        <w14:solidFill>
                          <w14:schemeClr w14:val="tx1"/>
                        </w14:solidFill>
                      </w14:textFill>
                    </w:rPr>
                    <w:t>6</w:t>
                  </w:r>
                </w:p>
              </w:tc>
            </w:tr>
            <w:tr w14:paraId="2331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33" w:type="pct"/>
                  <w:gridSpan w:val="2"/>
                  <w:noWrap w:val="0"/>
                  <w:vAlign w:val="center"/>
                </w:tcPr>
                <w:p w14:paraId="51502C53">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涂层厚度μm</w:t>
                  </w:r>
                </w:p>
              </w:tc>
              <w:tc>
                <w:tcPr>
                  <w:tcW w:w="1658" w:type="pct"/>
                  <w:noWrap w:val="0"/>
                  <w:vAlign w:val="center"/>
                </w:tcPr>
                <w:p w14:paraId="6BF55159">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1407" w:type="pct"/>
                  <w:noWrap w:val="0"/>
                  <w:vAlign w:val="center"/>
                </w:tcPr>
                <w:p w14:paraId="3F038A65">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r>
            <w:tr w14:paraId="7DEB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933" w:type="pct"/>
                  <w:gridSpan w:val="2"/>
                  <w:noWrap w:val="0"/>
                  <w:vAlign w:val="center"/>
                </w:tcPr>
                <w:p w14:paraId="4A757F16">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固体份含量%</w:t>
                  </w:r>
                </w:p>
              </w:tc>
              <w:tc>
                <w:tcPr>
                  <w:tcW w:w="1658" w:type="pct"/>
                  <w:noWrap w:val="0"/>
                  <w:vAlign w:val="center"/>
                </w:tcPr>
                <w:p w14:paraId="7BAE19A8">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c>
                <w:tcPr>
                  <w:tcW w:w="1407" w:type="pct"/>
                  <w:noWrap w:val="0"/>
                  <w:vAlign w:val="center"/>
                </w:tcPr>
                <w:p w14:paraId="42367DEA">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r>
            <w:tr w14:paraId="4CBE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3" w:type="pct"/>
                  <w:gridSpan w:val="2"/>
                  <w:noWrap w:val="0"/>
                  <w:vAlign w:val="center"/>
                </w:tcPr>
                <w:p w14:paraId="53B20743">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上漆率%</w:t>
                  </w:r>
                </w:p>
              </w:tc>
              <w:tc>
                <w:tcPr>
                  <w:tcW w:w="1658" w:type="pct"/>
                  <w:noWrap w:val="0"/>
                  <w:vAlign w:val="center"/>
                </w:tcPr>
                <w:p w14:paraId="74CFD49A">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1407" w:type="pct"/>
                  <w:noWrap w:val="0"/>
                  <w:vAlign w:val="center"/>
                </w:tcPr>
                <w:p w14:paraId="1C7BA871">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r>
            <w:tr w14:paraId="51010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33" w:type="pct"/>
                  <w:gridSpan w:val="2"/>
                  <w:noWrap w:val="0"/>
                  <w:vAlign w:val="center"/>
                </w:tcPr>
                <w:p w14:paraId="30C27745">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施工</w:t>
                  </w:r>
                  <w:r>
                    <w:rPr>
                      <w:rFonts w:hint="default" w:ascii="Times New Roman" w:hAnsi="Times New Roman" w:eastAsia="宋体" w:cs="Times New Roman"/>
                      <w:color w:val="000000" w:themeColor="text1"/>
                      <w:kern w:val="0"/>
                      <w:szCs w:val="21"/>
                      <w14:textFill>
                        <w14:solidFill>
                          <w14:schemeClr w14:val="tx1"/>
                        </w14:solidFill>
                      </w14:textFill>
                    </w:rPr>
                    <w:t>漆用量t/a</w:t>
                  </w:r>
                </w:p>
              </w:tc>
              <w:tc>
                <w:tcPr>
                  <w:tcW w:w="1658" w:type="pct"/>
                  <w:noWrap w:val="0"/>
                  <w:vAlign w:val="center"/>
                </w:tcPr>
                <w:p w14:paraId="72AA4215">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8.32</w:t>
                  </w:r>
                </w:p>
              </w:tc>
              <w:tc>
                <w:tcPr>
                  <w:tcW w:w="1407" w:type="pct"/>
                  <w:noWrap w:val="0"/>
                  <w:vAlign w:val="center"/>
                </w:tcPr>
                <w:p w14:paraId="522B8934">
                  <w:pPr>
                    <w:keepNext w:val="0"/>
                    <w:keepLines w:val="0"/>
                    <w:widowControl/>
                    <w:suppressLineNumbers w:val="0"/>
                    <w:jc w:val="center"/>
                    <w:textAlignment w:val="center"/>
                    <w:rPr>
                      <w:rFonts w:hint="default"/>
                      <w:color w:val="000000" w:themeColor="text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5.54</w:t>
                  </w:r>
                </w:p>
              </w:tc>
            </w:tr>
            <w:tr w14:paraId="41CE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33" w:type="pct"/>
                  <w:gridSpan w:val="2"/>
                  <w:noWrap w:val="0"/>
                  <w:vAlign w:val="center"/>
                </w:tcPr>
                <w:p w14:paraId="75F04B71">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水性漆：</w:t>
                  </w:r>
                  <w:r>
                    <w:rPr>
                      <w:rFonts w:hint="eastAsia" w:cs="Times New Roman"/>
                      <w:color w:val="000000" w:themeColor="text1"/>
                      <w:kern w:val="0"/>
                      <w:szCs w:val="21"/>
                      <w:lang w:val="en-US" w:eastAsia="zh-CN"/>
                      <w14:textFill>
                        <w14:solidFill>
                          <w14:schemeClr w14:val="tx1"/>
                        </w14:solidFill>
                      </w14:textFill>
                    </w:rPr>
                    <w:t>洗枪废</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水</w:t>
                  </w:r>
                </w:p>
              </w:tc>
              <w:tc>
                <w:tcPr>
                  <w:tcW w:w="3066" w:type="pct"/>
                  <w:gridSpan w:val="2"/>
                  <w:noWrap w:val="0"/>
                  <w:vAlign w:val="center"/>
                </w:tcPr>
                <w:p w14:paraId="67FE2E8D">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0"/>
                      <w:szCs w:val="21"/>
                      <w14:textFill>
                        <w14:solidFill>
                          <w14:schemeClr w14:val="tx1"/>
                        </w14:solidFill>
                      </w14:textFill>
                    </w:rPr>
                    <w:t>：</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0.</w:t>
                  </w:r>
                  <w:r>
                    <w:rPr>
                      <w:rFonts w:hint="eastAsia" w:cs="Times New Roman"/>
                      <w:color w:val="000000" w:themeColor="text1"/>
                      <w:kern w:val="0"/>
                      <w:szCs w:val="21"/>
                      <w:lang w:val="en-US" w:eastAsia="zh-CN"/>
                      <w14:textFill>
                        <w14:solidFill>
                          <w14:schemeClr w14:val="tx1"/>
                        </w14:solidFill>
                      </w14:textFill>
                    </w:rPr>
                    <w:t>132</w:t>
                  </w:r>
                </w:p>
              </w:tc>
            </w:tr>
            <w:tr w14:paraId="033F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9" w:type="pct"/>
                  <w:vMerge w:val="restart"/>
                  <w:noWrap w:val="0"/>
                  <w:vAlign w:val="center"/>
                </w:tcPr>
                <w:p w14:paraId="294BCE7E">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原料</w:t>
                  </w:r>
                  <w:r>
                    <w:rPr>
                      <w:rFonts w:hint="default" w:ascii="Times New Roman" w:hAnsi="Times New Roman" w:eastAsia="宋体" w:cs="Times New Roman"/>
                      <w:color w:val="000000" w:themeColor="text1"/>
                      <w:kern w:val="0"/>
                      <w:szCs w:val="21"/>
                      <w14:textFill>
                        <w14:solidFill>
                          <w14:schemeClr w14:val="tx1"/>
                        </w14:solidFill>
                      </w14:textFill>
                    </w:rPr>
                    <w:t>漆</w:t>
                  </w:r>
                  <w:r>
                    <w:rPr>
                      <w:rFonts w:hint="default" w:ascii="Times New Roman" w:hAnsi="Times New Roman" w:eastAsia="宋体" w:cs="Times New Roman"/>
                      <w:color w:val="000000" w:themeColor="text1"/>
                      <w:kern w:val="0"/>
                      <w:szCs w:val="21"/>
                      <w:lang w:eastAsia="zh-CN"/>
                      <w14:textFill>
                        <w14:solidFill>
                          <w14:schemeClr w14:val="tx1"/>
                        </w14:solidFill>
                      </w14:textFill>
                    </w:rPr>
                    <w:t>用</w:t>
                  </w:r>
                  <w:r>
                    <w:rPr>
                      <w:rFonts w:hint="default" w:ascii="Times New Roman" w:hAnsi="Times New Roman" w:eastAsia="宋体" w:cs="Times New Roman"/>
                      <w:color w:val="000000" w:themeColor="text1"/>
                      <w:kern w:val="0"/>
                      <w:szCs w:val="21"/>
                      <w14:textFill>
                        <w14:solidFill>
                          <w14:schemeClr w14:val="tx1"/>
                        </w14:solidFill>
                      </w14:textFill>
                    </w:rPr>
                    <w:t>量t/a</w:t>
                  </w:r>
                </w:p>
              </w:tc>
              <w:tc>
                <w:tcPr>
                  <w:tcW w:w="1004" w:type="pct"/>
                  <w:noWrap w:val="0"/>
                  <w:vAlign w:val="center"/>
                </w:tcPr>
                <w:p w14:paraId="0E3FCFBF">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水性漆</w:t>
                  </w:r>
                </w:p>
              </w:tc>
              <w:tc>
                <w:tcPr>
                  <w:tcW w:w="1658" w:type="pct"/>
                  <w:noWrap w:val="0"/>
                  <w:vAlign w:val="center"/>
                </w:tcPr>
                <w:p w14:paraId="5110343E">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7.35</w:t>
                  </w:r>
                </w:p>
              </w:tc>
              <w:tc>
                <w:tcPr>
                  <w:tcW w:w="1407" w:type="pct"/>
                  <w:noWrap w:val="0"/>
                  <w:vAlign w:val="center"/>
                </w:tcPr>
                <w:p w14:paraId="116068BE">
                  <w:pPr>
                    <w:keepNext w:val="0"/>
                    <w:keepLines w:val="0"/>
                    <w:widowControl/>
                    <w:suppressLineNumbers w:val="0"/>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4.89</w:t>
                  </w:r>
                </w:p>
              </w:tc>
            </w:tr>
            <w:tr w14:paraId="5F0D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29" w:type="pct"/>
                  <w:vMerge w:val="continue"/>
                  <w:noWrap w:val="0"/>
                  <w:vAlign w:val="center"/>
                </w:tcPr>
                <w:p w14:paraId="02C4DFE5">
                  <w:pPr>
                    <w:widowControl/>
                    <w:jc w:val="left"/>
                    <w:rPr>
                      <w:rFonts w:hint="default" w:ascii="Times New Roman" w:hAnsi="Times New Roman" w:eastAsia="宋体" w:cs="Times New Roman"/>
                      <w:color w:val="000000" w:themeColor="text1"/>
                      <w:kern w:val="0"/>
                      <w:szCs w:val="21"/>
                      <w14:textFill>
                        <w14:solidFill>
                          <w14:schemeClr w14:val="tx1"/>
                        </w14:solidFill>
                      </w14:textFill>
                    </w:rPr>
                  </w:pPr>
                </w:p>
              </w:tc>
              <w:tc>
                <w:tcPr>
                  <w:tcW w:w="1004" w:type="pct"/>
                  <w:noWrap w:val="0"/>
                  <w:vAlign w:val="center"/>
                </w:tcPr>
                <w:p w14:paraId="69DDCE64">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洗枪废水</w:t>
                  </w:r>
                </w:p>
              </w:tc>
              <w:tc>
                <w:tcPr>
                  <w:tcW w:w="1658" w:type="pct"/>
                  <w:noWrap w:val="0"/>
                  <w:vAlign w:val="center"/>
                </w:tcPr>
                <w:p w14:paraId="081A5EE2">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0.97</w:t>
                  </w:r>
                </w:p>
              </w:tc>
              <w:tc>
                <w:tcPr>
                  <w:tcW w:w="1407" w:type="pct"/>
                  <w:noWrap w:val="0"/>
                  <w:vAlign w:val="center"/>
                </w:tcPr>
                <w:p w14:paraId="181DBF60">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0.65</w:t>
                  </w:r>
                </w:p>
              </w:tc>
            </w:tr>
            <w:tr w14:paraId="0ED7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000" w:type="pct"/>
                  <w:gridSpan w:val="4"/>
                  <w:shd w:val="clear" w:color="auto" w:fill="auto"/>
                  <w:noWrap w:val="0"/>
                  <w:vAlign w:val="center"/>
                </w:tcPr>
                <w:p w14:paraId="3C816D96">
                  <w:pPr>
                    <w:widowControl/>
                    <w:jc w:val="cente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Cs w:val="21"/>
                      <w:lang w:val="en-US" w:eastAsia="zh-CN"/>
                      <w14:textFill>
                        <w14:solidFill>
                          <w14:schemeClr w14:val="tx1"/>
                        </w14:solidFill>
                      </w14:textFill>
                    </w:rPr>
                    <w:t>2#生产线</w:t>
                  </w:r>
                </w:p>
              </w:tc>
            </w:tr>
            <w:tr w14:paraId="6FED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33" w:type="pct"/>
                  <w:gridSpan w:val="2"/>
                  <w:shd w:val="clear" w:color="auto" w:fill="auto"/>
                  <w:noWrap w:val="0"/>
                  <w:vAlign w:val="center"/>
                </w:tcPr>
                <w:p w14:paraId="4B6D6786">
                  <w:pPr>
                    <w:widowControl/>
                    <w:jc w:val="cente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项目</w:t>
                  </w:r>
                </w:p>
              </w:tc>
              <w:tc>
                <w:tcPr>
                  <w:tcW w:w="1658" w:type="pct"/>
                  <w:shd w:val="clear" w:color="auto" w:fill="auto"/>
                  <w:noWrap w:val="0"/>
                  <w:vAlign w:val="center"/>
                </w:tcPr>
                <w:p w14:paraId="0548E64A">
                  <w:pPr>
                    <w:widowControl/>
                    <w:jc w:val="center"/>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水性底漆</w:t>
                  </w:r>
                </w:p>
              </w:tc>
              <w:tc>
                <w:tcPr>
                  <w:tcW w:w="1407" w:type="pct"/>
                  <w:noWrap w:val="0"/>
                  <w:vAlign w:val="center"/>
                </w:tcPr>
                <w:p w14:paraId="42574ED2">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水性面漆</w:t>
                  </w:r>
                </w:p>
              </w:tc>
            </w:tr>
            <w:tr w14:paraId="3FAE8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33" w:type="pct"/>
                  <w:gridSpan w:val="2"/>
                  <w:noWrap w:val="0"/>
                  <w:vAlign w:val="center"/>
                </w:tcPr>
                <w:p w14:paraId="6544526A">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喷涂面积m</w:t>
                  </w:r>
                  <w:r>
                    <w:rPr>
                      <w:rFonts w:hint="default" w:ascii="Times New Roman" w:hAnsi="Times New Roman" w:eastAsia="宋体" w:cs="Times New Roman"/>
                      <w:color w:val="000000" w:themeColor="text1"/>
                      <w:kern w:val="0"/>
                      <w:szCs w:val="21"/>
                      <w:vertAlign w:val="superscript"/>
                      <w14:textFill>
                        <w14:solidFill>
                          <w14:schemeClr w14:val="tx1"/>
                        </w14:solidFill>
                      </w14:textFill>
                    </w:rPr>
                    <w:t>2</w:t>
                  </w:r>
                </w:p>
              </w:tc>
              <w:tc>
                <w:tcPr>
                  <w:tcW w:w="2633" w:type="dxa"/>
                  <w:shd w:val="clear" w:color="auto" w:fill="auto"/>
                  <w:noWrap w:val="0"/>
                  <w:vAlign w:val="center"/>
                </w:tcPr>
                <w:p w14:paraId="50881FB6">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132000</w:t>
                  </w:r>
                </w:p>
              </w:tc>
              <w:tc>
                <w:tcPr>
                  <w:tcW w:w="2234" w:type="dxa"/>
                  <w:shd w:val="clear" w:color="auto" w:fill="auto"/>
                  <w:noWrap w:val="0"/>
                  <w:vAlign w:val="center"/>
                </w:tcPr>
                <w:p w14:paraId="2BA615A7">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132000</w:t>
                  </w:r>
                </w:p>
              </w:tc>
            </w:tr>
            <w:tr w14:paraId="0B0F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33" w:type="pct"/>
                  <w:gridSpan w:val="2"/>
                  <w:noWrap w:val="0"/>
                  <w:vAlign w:val="center"/>
                </w:tcPr>
                <w:p w14:paraId="1E110C88">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漆膜密度g/cm</w:t>
                  </w:r>
                  <w:r>
                    <w:rPr>
                      <w:rFonts w:hint="default" w:ascii="Times New Roman" w:hAnsi="Times New Roman" w:eastAsia="宋体" w:cs="Times New Roman"/>
                      <w:color w:val="000000" w:themeColor="text1"/>
                      <w:kern w:val="0"/>
                      <w:szCs w:val="21"/>
                      <w:vertAlign w:val="superscript"/>
                      <w14:textFill>
                        <w14:solidFill>
                          <w14:schemeClr w14:val="tx1"/>
                        </w14:solidFill>
                      </w14:textFill>
                    </w:rPr>
                    <w:t>3</w:t>
                  </w:r>
                </w:p>
              </w:tc>
              <w:tc>
                <w:tcPr>
                  <w:tcW w:w="2633" w:type="dxa"/>
                  <w:shd w:val="clear" w:color="auto" w:fill="auto"/>
                  <w:noWrap w:val="0"/>
                  <w:vAlign w:val="center"/>
                </w:tcPr>
                <w:p w14:paraId="62D86184">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r>
                    <w:rPr>
                      <w:rFonts w:hint="eastAsia" w:cs="Times New Roman"/>
                      <w:i w:val="0"/>
                      <w:iCs w:val="0"/>
                      <w:color w:val="000000" w:themeColor="text1"/>
                      <w:kern w:val="0"/>
                      <w:sz w:val="21"/>
                      <w:szCs w:val="21"/>
                      <w:u w:val="none"/>
                      <w:lang w:val="en-US" w:eastAsia="zh-CN" w:bidi="ar"/>
                      <w14:textFill>
                        <w14:solidFill>
                          <w14:schemeClr w14:val="tx1"/>
                        </w14:solidFill>
                      </w14:textFill>
                    </w:rPr>
                    <w:t>6</w:t>
                  </w:r>
                </w:p>
              </w:tc>
              <w:tc>
                <w:tcPr>
                  <w:tcW w:w="2234" w:type="dxa"/>
                  <w:shd w:val="clear" w:color="auto" w:fill="auto"/>
                  <w:noWrap w:val="0"/>
                  <w:vAlign w:val="center"/>
                </w:tcPr>
                <w:p w14:paraId="39143CEB">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w:t>
                  </w:r>
                  <w:r>
                    <w:rPr>
                      <w:rFonts w:hint="eastAsia" w:cs="Times New Roman"/>
                      <w:i w:val="0"/>
                      <w:iCs w:val="0"/>
                      <w:color w:val="000000" w:themeColor="text1"/>
                      <w:kern w:val="0"/>
                      <w:sz w:val="21"/>
                      <w:szCs w:val="21"/>
                      <w:u w:val="none"/>
                      <w:lang w:val="en-US" w:eastAsia="zh-CN" w:bidi="ar"/>
                      <w14:textFill>
                        <w14:solidFill>
                          <w14:schemeClr w14:val="tx1"/>
                        </w14:solidFill>
                      </w14:textFill>
                    </w:rPr>
                    <w:t>6</w:t>
                  </w:r>
                </w:p>
              </w:tc>
            </w:tr>
            <w:tr w14:paraId="02A32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33" w:type="pct"/>
                  <w:gridSpan w:val="2"/>
                  <w:noWrap w:val="0"/>
                  <w:vAlign w:val="center"/>
                </w:tcPr>
                <w:p w14:paraId="634DDB3A">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涂层厚度μm</w:t>
                  </w:r>
                </w:p>
              </w:tc>
              <w:tc>
                <w:tcPr>
                  <w:tcW w:w="2633" w:type="dxa"/>
                  <w:shd w:val="clear" w:color="auto" w:fill="auto"/>
                  <w:noWrap w:val="0"/>
                  <w:vAlign w:val="center"/>
                </w:tcPr>
                <w:p w14:paraId="1164BA4B">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w:t>
                  </w:r>
                </w:p>
              </w:tc>
              <w:tc>
                <w:tcPr>
                  <w:tcW w:w="2234" w:type="dxa"/>
                  <w:shd w:val="clear" w:color="auto" w:fill="auto"/>
                  <w:noWrap w:val="0"/>
                  <w:vAlign w:val="center"/>
                </w:tcPr>
                <w:p w14:paraId="4751A64E">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w:t>
                  </w:r>
                </w:p>
              </w:tc>
            </w:tr>
            <w:tr w14:paraId="4923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33" w:type="pct"/>
                  <w:gridSpan w:val="2"/>
                  <w:noWrap w:val="0"/>
                  <w:vAlign w:val="center"/>
                </w:tcPr>
                <w:p w14:paraId="78B6F3D4">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固体份含量%</w:t>
                  </w:r>
                </w:p>
              </w:tc>
              <w:tc>
                <w:tcPr>
                  <w:tcW w:w="2633" w:type="dxa"/>
                  <w:shd w:val="clear" w:color="auto" w:fill="auto"/>
                  <w:noWrap w:val="0"/>
                  <w:vAlign w:val="center"/>
                </w:tcPr>
                <w:p w14:paraId="211C81A0">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c>
                <w:tcPr>
                  <w:tcW w:w="2234" w:type="dxa"/>
                  <w:shd w:val="clear" w:color="auto" w:fill="auto"/>
                  <w:noWrap w:val="0"/>
                  <w:vAlign w:val="center"/>
                </w:tcPr>
                <w:p w14:paraId="5A238735">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r>
            <w:tr w14:paraId="7900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33" w:type="pct"/>
                  <w:gridSpan w:val="2"/>
                  <w:noWrap w:val="0"/>
                  <w:vAlign w:val="center"/>
                </w:tcPr>
                <w:p w14:paraId="61F24153">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上漆率%</w:t>
                  </w:r>
                </w:p>
              </w:tc>
              <w:tc>
                <w:tcPr>
                  <w:tcW w:w="2633" w:type="dxa"/>
                  <w:shd w:val="clear" w:color="auto" w:fill="auto"/>
                  <w:noWrap w:val="0"/>
                  <w:vAlign w:val="center"/>
                </w:tcPr>
                <w:p w14:paraId="1B763EB8">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2234" w:type="dxa"/>
                  <w:shd w:val="clear" w:color="auto" w:fill="auto"/>
                  <w:noWrap w:val="0"/>
                  <w:vAlign w:val="center"/>
                </w:tcPr>
                <w:p w14:paraId="04404273">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r>
            <w:tr w14:paraId="00BB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33" w:type="pct"/>
                  <w:gridSpan w:val="2"/>
                  <w:noWrap w:val="0"/>
                  <w:vAlign w:val="center"/>
                </w:tcPr>
                <w:p w14:paraId="364B001C">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施工</w:t>
                  </w:r>
                  <w:r>
                    <w:rPr>
                      <w:rFonts w:hint="default" w:ascii="Times New Roman" w:hAnsi="Times New Roman" w:eastAsia="宋体" w:cs="Times New Roman"/>
                      <w:color w:val="000000" w:themeColor="text1"/>
                      <w:kern w:val="0"/>
                      <w:szCs w:val="21"/>
                      <w14:textFill>
                        <w14:solidFill>
                          <w14:schemeClr w14:val="tx1"/>
                        </w14:solidFill>
                      </w14:textFill>
                    </w:rPr>
                    <w:t>漆用量t/a</w:t>
                  </w:r>
                </w:p>
              </w:tc>
              <w:tc>
                <w:tcPr>
                  <w:tcW w:w="2633" w:type="dxa"/>
                  <w:shd w:val="clear" w:color="auto" w:fill="auto"/>
                  <w:noWrap w:val="0"/>
                  <w:vAlign w:val="center"/>
                </w:tcPr>
                <w:p w14:paraId="111EDE3D">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8.32</w:t>
                  </w:r>
                </w:p>
              </w:tc>
              <w:tc>
                <w:tcPr>
                  <w:tcW w:w="2234" w:type="dxa"/>
                  <w:shd w:val="clear" w:color="auto" w:fill="auto"/>
                  <w:noWrap w:val="0"/>
                  <w:vAlign w:val="center"/>
                </w:tcPr>
                <w:p w14:paraId="3597C290">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5.54</w:t>
                  </w:r>
                </w:p>
              </w:tc>
            </w:tr>
            <w:tr w14:paraId="0AF7E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33" w:type="pct"/>
                  <w:gridSpan w:val="2"/>
                  <w:noWrap w:val="0"/>
                  <w:vAlign w:val="center"/>
                </w:tcPr>
                <w:p w14:paraId="255B4426">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水性漆：</w:t>
                  </w:r>
                  <w:r>
                    <w:rPr>
                      <w:rFonts w:hint="eastAsia" w:cs="Times New Roman"/>
                      <w:color w:val="000000" w:themeColor="text1"/>
                      <w:kern w:val="0"/>
                      <w:szCs w:val="21"/>
                      <w:lang w:val="en-US" w:eastAsia="zh-CN"/>
                      <w14:textFill>
                        <w14:solidFill>
                          <w14:schemeClr w14:val="tx1"/>
                        </w14:solidFill>
                      </w14:textFill>
                    </w:rPr>
                    <w:t>洗枪废</w:t>
                  </w: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水</w:t>
                  </w:r>
                </w:p>
              </w:tc>
              <w:tc>
                <w:tcPr>
                  <w:tcW w:w="4867" w:type="dxa"/>
                  <w:gridSpan w:val="2"/>
                  <w:shd w:val="clear" w:color="auto" w:fill="auto"/>
                  <w:noWrap w:val="0"/>
                  <w:vAlign w:val="center"/>
                </w:tcPr>
                <w:p w14:paraId="6F4293D0">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14:textFill>
                        <w14:solidFill>
                          <w14:schemeClr w14:val="tx1"/>
                        </w14:solidFill>
                      </w14:textFill>
                    </w:rPr>
                    <w:t>1</w:t>
                  </w:r>
                  <w:r>
                    <w:rPr>
                      <w:rFonts w:hint="default" w:ascii="Times New Roman" w:hAnsi="Times New Roman" w:eastAsia="宋体" w:cs="Times New Roman"/>
                      <w:color w:val="000000" w:themeColor="text1"/>
                      <w:kern w:val="0"/>
                      <w:szCs w:val="21"/>
                      <w14:textFill>
                        <w14:solidFill>
                          <w14:schemeClr w14:val="tx1"/>
                        </w14:solidFill>
                      </w14:textFill>
                    </w:rPr>
                    <w:t>：</w:t>
                  </w:r>
                  <w:r>
                    <w:rPr>
                      <w:rFonts w:hint="default" w:ascii="Times New Roman" w:hAnsi="Times New Roman" w:eastAsia="宋体" w:cs="Times New Roman"/>
                      <w:color w:val="000000" w:themeColor="text1"/>
                      <w:kern w:val="0"/>
                      <w:szCs w:val="21"/>
                      <w:lang w:val="en-US" w:eastAsia="zh-CN"/>
                      <w14:textFill>
                        <w14:solidFill>
                          <w14:schemeClr w14:val="tx1"/>
                        </w14:solidFill>
                      </w14:textFill>
                    </w:rPr>
                    <w:t>0.</w:t>
                  </w:r>
                  <w:r>
                    <w:rPr>
                      <w:rFonts w:hint="eastAsia" w:cs="Times New Roman"/>
                      <w:color w:val="000000" w:themeColor="text1"/>
                      <w:kern w:val="0"/>
                      <w:szCs w:val="21"/>
                      <w:lang w:val="en-US" w:eastAsia="zh-CN"/>
                      <w14:textFill>
                        <w14:solidFill>
                          <w14:schemeClr w14:val="tx1"/>
                        </w14:solidFill>
                      </w14:textFill>
                    </w:rPr>
                    <w:t>132</w:t>
                  </w:r>
                </w:p>
              </w:tc>
            </w:tr>
            <w:tr w14:paraId="689D0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29" w:type="pct"/>
                  <w:vMerge w:val="restart"/>
                  <w:noWrap w:val="0"/>
                  <w:vAlign w:val="center"/>
                </w:tcPr>
                <w:p w14:paraId="38D5D23A">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eastAsia="zh-CN"/>
                      <w14:textFill>
                        <w14:solidFill>
                          <w14:schemeClr w14:val="tx1"/>
                        </w14:solidFill>
                      </w14:textFill>
                    </w:rPr>
                    <w:t>原料</w:t>
                  </w:r>
                  <w:r>
                    <w:rPr>
                      <w:rFonts w:hint="default" w:ascii="Times New Roman" w:hAnsi="Times New Roman" w:eastAsia="宋体" w:cs="Times New Roman"/>
                      <w:color w:val="000000" w:themeColor="text1"/>
                      <w:kern w:val="0"/>
                      <w:szCs w:val="21"/>
                      <w14:textFill>
                        <w14:solidFill>
                          <w14:schemeClr w14:val="tx1"/>
                        </w14:solidFill>
                      </w14:textFill>
                    </w:rPr>
                    <w:t>漆</w:t>
                  </w:r>
                  <w:r>
                    <w:rPr>
                      <w:rFonts w:hint="default" w:ascii="Times New Roman" w:hAnsi="Times New Roman" w:eastAsia="宋体" w:cs="Times New Roman"/>
                      <w:color w:val="000000" w:themeColor="text1"/>
                      <w:kern w:val="0"/>
                      <w:szCs w:val="21"/>
                      <w:lang w:eastAsia="zh-CN"/>
                      <w14:textFill>
                        <w14:solidFill>
                          <w14:schemeClr w14:val="tx1"/>
                        </w14:solidFill>
                      </w14:textFill>
                    </w:rPr>
                    <w:t>用</w:t>
                  </w:r>
                  <w:r>
                    <w:rPr>
                      <w:rFonts w:hint="default" w:ascii="Times New Roman" w:hAnsi="Times New Roman" w:eastAsia="宋体" w:cs="Times New Roman"/>
                      <w:color w:val="000000" w:themeColor="text1"/>
                      <w:kern w:val="0"/>
                      <w:szCs w:val="21"/>
                      <w14:textFill>
                        <w14:solidFill>
                          <w14:schemeClr w14:val="tx1"/>
                        </w14:solidFill>
                      </w14:textFill>
                    </w:rPr>
                    <w:t>量t/a</w:t>
                  </w:r>
                </w:p>
              </w:tc>
              <w:tc>
                <w:tcPr>
                  <w:tcW w:w="1004" w:type="pct"/>
                  <w:shd w:val="clear" w:color="auto" w:fill="auto"/>
                  <w:noWrap w:val="0"/>
                  <w:vAlign w:val="center"/>
                </w:tcPr>
                <w:p w14:paraId="3B1F47EC">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水性漆</w:t>
                  </w:r>
                </w:p>
              </w:tc>
              <w:tc>
                <w:tcPr>
                  <w:tcW w:w="2633" w:type="dxa"/>
                  <w:shd w:val="clear" w:color="auto" w:fill="auto"/>
                  <w:noWrap w:val="0"/>
                  <w:vAlign w:val="center"/>
                </w:tcPr>
                <w:p w14:paraId="530F48B5">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7.35</w:t>
                  </w:r>
                </w:p>
              </w:tc>
              <w:tc>
                <w:tcPr>
                  <w:tcW w:w="2234" w:type="dxa"/>
                  <w:noWrap w:val="0"/>
                  <w:vAlign w:val="center"/>
                </w:tcPr>
                <w:p w14:paraId="3C424C56">
                  <w:pPr>
                    <w:keepNext w:val="0"/>
                    <w:keepLines w:val="0"/>
                    <w:widowControl/>
                    <w:suppressLineNumbers w:val="0"/>
                    <w:jc w:val="center"/>
                    <w:textAlignment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4.89</w:t>
                  </w:r>
                </w:p>
              </w:tc>
            </w:tr>
            <w:tr w14:paraId="233E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929" w:type="pct"/>
                  <w:vMerge w:val="continue"/>
                  <w:noWrap w:val="0"/>
                  <w:vAlign w:val="center"/>
                </w:tcPr>
                <w:p w14:paraId="319B486A">
                  <w:pPr>
                    <w:widowControl/>
                    <w:jc w:val="left"/>
                    <w:rPr>
                      <w:rFonts w:hint="default" w:ascii="Times New Roman" w:hAnsi="Times New Roman" w:eastAsia="宋体" w:cs="Times New Roman"/>
                      <w:color w:val="000000" w:themeColor="text1"/>
                      <w:kern w:val="0"/>
                      <w:szCs w:val="21"/>
                      <w14:textFill>
                        <w14:solidFill>
                          <w14:schemeClr w14:val="tx1"/>
                        </w14:solidFill>
                      </w14:textFill>
                    </w:rPr>
                  </w:pPr>
                </w:p>
              </w:tc>
              <w:tc>
                <w:tcPr>
                  <w:tcW w:w="1004" w:type="pct"/>
                  <w:shd w:val="clear" w:color="auto" w:fill="auto"/>
                  <w:noWrap w:val="0"/>
                  <w:vAlign w:val="center"/>
                </w:tcPr>
                <w:p w14:paraId="4A463AB8">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洗枪废水</w:t>
                  </w:r>
                </w:p>
              </w:tc>
              <w:tc>
                <w:tcPr>
                  <w:tcW w:w="2633" w:type="dxa"/>
                  <w:shd w:val="clear" w:color="auto" w:fill="auto"/>
                  <w:noWrap w:val="0"/>
                  <w:vAlign w:val="center"/>
                </w:tcPr>
                <w:p w14:paraId="305CC561">
                  <w:pPr>
                    <w:widowControl/>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0.97</w:t>
                  </w:r>
                </w:p>
              </w:tc>
              <w:tc>
                <w:tcPr>
                  <w:tcW w:w="2234" w:type="dxa"/>
                  <w:noWrap w:val="0"/>
                  <w:vAlign w:val="center"/>
                </w:tcPr>
                <w:p w14:paraId="72005704">
                  <w:pPr>
                    <w:widowControl/>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lang w:val="en-US" w:eastAsia="zh-CN"/>
                      <w14:textFill>
                        <w14:solidFill>
                          <w14:schemeClr w14:val="tx1"/>
                        </w14:solidFill>
                      </w14:textFill>
                    </w:rPr>
                    <w:t>0.65</w:t>
                  </w:r>
                </w:p>
              </w:tc>
            </w:tr>
            <w:tr w14:paraId="5E29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000" w:type="pct"/>
                  <w:gridSpan w:val="4"/>
                  <w:noWrap w:val="0"/>
                  <w:vAlign w:val="center"/>
                </w:tcPr>
                <w:p w14:paraId="668B6AA9">
                  <w:pPr>
                    <w:widowControl/>
                    <w:jc w:val="left"/>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项目洗枪废水回用于调漆。</w:t>
                  </w:r>
                </w:p>
              </w:tc>
            </w:tr>
          </w:tbl>
          <w:p w14:paraId="38340568">
            <w:pPr>
              <w:keepNext w:val="0"/>
              <w:keepLines w:val="0"/>
              <w:suppressLineNumbers w:val="0"/>
              <w:shd w:val="clear" w:color="auto" w:fill="auto"/>
              <w:adjustRightInd w:val="0"/>
              <w:snapToGrid w:val="0"/>
              <w:spacing w:before="0" w:beforeAutospacing="0" w:after="0" w:afterAutospacing="0" w:line="460" w:lineRule="exact"/>
              <w:ind w:left="0" w:right="0"/>
              <w:jc w:val="center"/>
              <w:rPr>
                <w:rFonts w:hint="default"/>
                <w:b/>
                <w:bCs/>
                <w:color w:val="000000" w:themeColor="text1"/>
                <w:sz w:val="24"/>
                <w:highlight w:val="none"/>
                <w14:textFill>
                  <w14:solidFill>
                    <w14:schemeClr w14:val="tx1"/>
                  </w14:solidFill>
                </w14:textFill>
              </w:rPr>
            </w:pPr>
            <w:r>
              <w:rPr>
                <w:rFonts w:hint="eastAsia"/>
                <w:b/>
                <w:bCs/>
                <w:color w:val="000000" w:themeColor="text1"/>
                <w:sz w:val="24"/>
                <w:highlight w:val="none"/>
                <w14:textFill>
                  <w14:solidFill>
                    <w14:schemeClr w14:val="tx1"/>
                  </w14:solidFill>
                </w14:textFill>
              </w:rPr>
              <w:t>表2-</w:t>
            </w:r>
            <w:r>
              <w:rPr>
                <w:rFonts w:hint="eastAsia"/>
                <w:b/>
                <w:bCs/>
                <w:color w:val="000000" w:themeColor="text1"/>
                <w:sz w:val="24"/>
                <w:highlight w:val="none"/>
                <w:lang w:val="en-US" w:eastAsia="zh-CN"/>
                <w14:textFill>
                  <w14:solidFill>
                    <w14:schemeClr w14:val="tx1"/>
                  </w14:solidFill>
                </w14:textFill>
              </w:rPr>
              <w:t xml:space="preserve">11 </w:t>
            </w:r>
            <w:r>
              <w:rPr>
                <w:rFonts w:hint="eastAsia"/>
                <w:b/>
                <w:bCs/>
                <w:color w:val="000000" w:themeColor="text1"/>
                <w:sz w:val="24"/>
                <w:highlight w:val="none"/>
                <w14:textFill>
                  <w14:solidFill>
                    <w14:schemeClr w14:val="tx1"/>
                  </w14:solidFill>
                </w14:textFill>
              </w:rPr>
              <w:t>涂料总VOCs限量分析表</w:t>
            </w:r>
          </w:p>
          <w:tbl>
            <w:tblPr>
              <w:tblStyle w:val="21"/>
              <w:tblW w:w="4838" w:type="pct"/>
              <w:jc w:val="center"/>
              <w:tblLayout w:type="fixed"/>
              <w:tblCellMar>
                <w:top w:w="0" w:type="dxa"/>
                <w:left w:w="108" w:type="dxa"/>
                <w:bottom w:w="0" w:type="dxa"/>
                <w:right w:w="108" w:type="dxa"/>
              </w:tblCellMar>
            </w:tblPr>
            <w:tblGrid>
              <w:gridCol w:w="1900"/>
              <w:gridCol w:w="1691"/>
              <w:gridCol w:w="594"/>
              <w:gridCol w:w="894"/>
              <w:gridCol w:w="794"/>
              <w:gridCol w:w="762"/>
              <w:gridCol w:w="886"/>
              <w:gridCol w:w="536"/>
            </w:tblGrid>
            <w:tr w14:paraId="1DACB6B0">
              <w:tblPrEx>
                <w:tblCellMar>
                  <w:top w:w="0" w:type="dxa"/>
                  <w:left w:w="108" w:type="dxa"/>
                  <w:bottom w:w="0" w:type="dxa"/>
                  <w:right w:w="108" w:type="dxa"/>
                </w:tblCellMar>
              </w:tblPrEx>
              <w:trPr>
                <w:trHeight w:val="306" w:hRule="atLeast"/>
                <w:jc w:val="center"/>
              </w:trPr>
              <w:tc>
                <w:tcPr>
                  <w:tcW w:w="1179" w:type="pct"/>
                  <w:vMerge w:val="restart"/>
                  <w:tcBorders>
                    <w:top w:val="single" w:color="000000" w:sz="4" w:space="0"/>
                    <w:left w:val="single" w:color="000000" w:sz="4" w:space="0"/>
                    <w:right w:val="single" w:color="000000" w:sz="4" w:space="0"/>
                  </w:tcBorders>
                  <w:noWrap/>
                  <w:vAlign w:val="center"/>
                </w:tcPr>
                <w:p w14:paraId="71B167E4">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标准名称</w:t>
                  </w:r>
                </w:p>
              </w:tc>
              <w:tc>
                <w:tcPr>
                  <w:tcW w:w="1049" w:type="pct"/>
                  <w:vMerge w:val="restart"/>
                  <w:tcBorders>
                    <w:top w:val="single" w:color="000000" w:sz="4" w:space="0"/>
                    <w:left w:val="single" w:color="000000" w:sz="4" w:space="0"/>
                    <w:right w:val="single" w:color="000000" w:sz="4" w:space="0"/>
                  </w:tcBorders>
                  <w:noWrap/>
                  <w:vAlign w:val="center"/>
                </w:tcPr>
                <w:p w14:paraId="017E182E">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产品类别</w:t>
                  </w:r>
                </w:p>
              </w:tc>
              <w:tc>
                <w:tcPr>
                  <w:tcW w:w="368" w:type="pct"/>
                  <w:vMerge w:val="restart"/>
                  <w:tcBorders>
                    <w:top w:val="single" w:color="000000" w:sz="4" w:space="0"/>
                    <w:left w:val="single" w:color="000000" w:sz="4" w:space="0"/>
                    <w:right w:val="single" w:color="000000" w:sz="4" w:space="0"/>
                  </w:tcBorders>
                  <w:noWrap/>
                  <w:vAlign w:val="center"/>
                </w:tcPr>
                <w:p w14:paraId="40439E36">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产品类型</w:t>
                  </w:r>
                </w:p>
              </w:tc>
              <w:tc>
                <w:tcPr>
                  <w:tcW w:w="554" w:type="pct"/>
                  <w:vMerge w:val="restart"/>
                  <w:tcBorders>
                    <w:top w:val="single" w:color="000000" w:sz="4" w:space="0"/>
                    <w:left w:val="single" w:color="000000" w:sz="4" w:space="0"/>
                    <w:right w:val="single" w:color="000000" w:sz="4" w:space="0"/>
                  </w:tcBorders>
                  <w:noWrap w:val="0"/>
                  <w:vAlign w:val="center"/>
                </w:tcPr>
                <w:p w14:paraId="07F83A18">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VOCs限值（g/L）</w:t>
                  </w:r>
                </w:p>
              </w:tc>
              <w:tc>
                <w:tcPr>
                  <w:tcW w:w="1515" w:type="pct"/>
                  <w:gridSpan w:val="3"/>
                  <w:tcBorders>
                    <w:top w:val="single" w:color="000000" w:sz="4" w:space="0"/>
                    <w:left w:val="single" w:color="000000" w:sz="4" w:space="0"/>
                    <w:bottom w:val="single" w:color="000000" w:sz="4" w:space="0"/>
                    <w:right w:val="single" w:color="000000" w:sz="4" w:space="0"/>
                  </w:tcBorders>
                  <w:noWrap w:val="0"/>
                  <w:vAlign w:val="center"/>
                </w:tcPr>
                <w:p w14:paraId="18E70BE4">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本项目VOCs含量</w:t>
                  </w:r>
                </w:p>
              </w:tc>
              <w:tc>
                <w:tcPr>
                  <w:tcW w:w="332" w:type="pct"/>
                  <w:vMerge w:val="restart"/>
                  <w:tcBorders>
                    <w:top w:val="single" w:color="000000" w:sz="4" w:space="0"/>
                    <w:left w:val="single" w:color="000000" w:sz="4" w:space="0"/>
                    <w:right w:val="single" w:color="000000" w:sz="4" w:space="0"/>
                  </w:tcBorders>
                  <w:noWrap w:val="0"/>
                  <w:vAlign w:val="center"/>
                </w:tcPr>
                <w:p w14:paraId="2406C610">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符合性分析</w:t>
                  </w:r>
                </w:p>
              </w:tc>
            </w:tr>
            <w:tr w14:paraId="52A64D25">
              <w:tblPrEx>
                <w:tblCellMar>
                  <w:top w:w="0" w:type="dxa"/>
                  <w:left w:w="108" w:type="dxa"/>
                  <w:bottom w:w="0" w:type="dxa"/>
                  <w:right w:w="108" w:type="dxa"/>
                </w:tblCellMar>
              </w:tblPrEx>
              <w:trPr>
                <w:trHeight w:val="306" w:hRule="atLeast"/>
                <w:jc w:val="center"/>
              </w:trPr>
              <w:tc>
                <w:tcPr>
                  <w:tcW w:w="1179" w:type="pct"/>
                  <w:vMerge w:val="continue"/>
                  <w:tcBorders>
                    <w:left w:val="single" w:color="000000" w:sz="4" w:space="0"/>
                    <w:bottom w:val="single" w:color="000000" w:sz="4" w:space="0"/>
                    <w:right w:val="single" w:color="000000" w:sz="4" w:space="0"/>
                  </w:tcBorders>
                  <w:noWrap/>
                  <w:vAlign w:val="center"/>
                </w:tcPr>
                <w:p w14:paraId="23D01175">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p>
              </w:tc>
              <w:tc>
                <w:tcPr>
                  <w:tcW w:w="1049" w:type="pct"/>
                  <w:vMerge w:val="continue"/>
                  <w:tcBorders>
                    <w:left w:val="single" w:color="000000" w:sz="4" w:space="0"/>
                    <w:bottom w:val="single" w:color="000000" w:sz="4" w:space="0"/>
                    <w:right w:val="single" w:color="000000" w:sz="4" w:space="0"/>
                  </w:tcBorders>
                  <w:noWrap/>
                  <w:vAlign w:val="center"/>
                </w:tcPr>
                <w:p w14:paraId="7DE7DD64">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p>
              </w:tc>
              <w:tc>
                <w:tcPr>
                  <w:tcW w:w="368" w:type="pct"/>
                  <w:vMerge w:val="continue"/>
                  <w:tcBorders>
                    <w:left w:val="single" w:color="000000" w:sz="4" w:space="0"/>
                    <w:bottom w:val="single" w:color="000000" w:sz="4" w:space="0"/>
                    <w:right w:val="single" w:color="000000" w:sz="4" w:space="0"/>
                  </w:tcBorders>
                  <w:noWrap/>
                  <w:vAlign w:val="center"/>
                </w:tcPr>
                <w:p w14:paraId="7DFF5CB3">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p>
              </w:tc>
              <w:tc>
                <w:tcPr>
                  <w:tcW w:w="554" w:type="pct"/>
                  <w:vMerge w:val="continue"/>
                  <w:tcBorders>
                    <w:left w:val="single" w:color="000000" w:sz="4" w:space="0"/>
                    <w:bottom w:val="single" w:color="000000" w:sz="4" w:space="0"/>
                    <w:right w:val="single" w:color="000000" w:sz="4" w:space="0"/>
                  </w:tcBorders>
                  <w:noWrap w:val="0"/>
                  <w:vAlign w:val="center"/>
                </w:tcPr>
                <w:p w14:paraId="73C70679">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p>
              </w:tc>
              <w:tc>
                <w:tcPr>
                  <w:tcW w:w="492" w:type="pct"/>
                  <w:tcBorders>
                    <w:top w:val="single" w:color="000000" w:sz="4" w:space="0"/>
                    <w:left w:val="single" w:color="000000" w:sz="4" w:space="0"/>
                    <w:bottom w:val="single" w:color="000000" w:sz="4" w:space="0"/>
                    <w:right w:val="single" w:color="000000" w:sz="4" w:space="0"/>
                  </w:tcBorders>
                  <w:noWrap w:val="0"/>
                  <w:vAlign w:val="center"/>
                </w:tcPr>
                <w:p w14:paraId="7530B225">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VOCs含量</w:t>
                  </w:r>
                </w:p>
              </w:tc>
              <w:tc>
                <w:tcPr>
                  <w:tcW w:w="472" w:type="pct"/>
                  <w:tcBorders>
                    <w:top w:val="single" w:color="000000" w:sz="4" w:space="0"/>
                    <w:left w:val="single" w:color="000000" w:sz="4" w:space="0"/>
                    <w:bottom w:val="single" w:color="000000" w:sz="4" w:space="0"/>
                    <w:right w:val="single" w:color="000000" w:sz="4" w:space="0"/>
                  </w:tcBorders>
                  <w:noWrap w:val="0"/>
                  <w:vAlign w:val="center"/>
                </w:tcPr>
                <w:p w14:paraId="5898872E">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密度（g/cm</w:t>
                  </w:r>
                  <w:r>
                    <w:rPr>
                      <w:rFonts w:hint="default"/>
                      <w:b/>
                      <w:bCs/>
                      <w:color w:val="000000" w:themeColor="text1"/>
                      <w:szCs w:val="21"/>
                      <w:highlight w:val="none"/>
                      <w:vertAlign w:val="superscript"/>
                      <w14:textFill>
                        <w14:solidFill>
                          <w14:schemeClr w14:val="tx1"/>
                        </w14:solidFill>
                      </w14:textFill>
                    </w:rPr>
                    <w:t>3</w:t>
                  </w:r>
                  <w:r>
                    <w:rPr>
                      <w:rFonts w:hint="default"/>
                      <w:b/>
                      <w:bCs/>
                      <w:color w:val="000000" w:themeColor="text1"/>
                      <w:szCs w:val="21"/>
                      <w:highlight w:val="none"/>
                      <w14:textFill>
                        <w14:solidFill>
                          <w14:schemeClr w14:val="tx1"/>
                        </w14:solidFill>
                      </w14:textFill>
                    </w:rPr>
                    <w:t>）</w:t>
                  </w:r>
                </w:p>
              </w:tc>
              <w:tc>
                <w:tcPr>
                  <w:tcW w:w="549" w:type="pct"/>
                  <w:tcBorders>
                    <w:top w:val="single" w:color="000000" w:sz="4" w:space="0"/>
                    <w:left w:val="single" w:color="000000" w:sz="4" w:space="0"/>
                    <w:bottom w:val="single" w:color="000000" w:sz="4" w:space="0"/>
                    <w:right w:val="single" w:color="000000" w:sz="4" w:space="0"/>
                  </w:tcBorders>
                  <w:noWrap w:val="0"/>
                  <w:vAlign w:val="center"/>
                </w:tcPr>
                <w:p w14:paraId="54E8CB37">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计算结果（g/L）</w:t>
                  </w:r>
                </w:p>
              </w:tc>
              <w:tc>
                <w:tcPr>
                  <w:tcW w:w="332" w:type="pct"/>
                  <w:vMerge w:val="continue"/>
                  <w:tcBorders>
                    <w:left w:val="single" w:color="000000" w:sz="4" w:space="0"/>
                    <w:bottom w:val="single" w:color="000000" w:sz="4" w:space="0"/>
                    <w:right w:val="single" w:color="000000" w:sz="4" w:space="0"/>
                  </w:tcBorders>
                  <w:noWrap w:val="0"/>
                  <w:vAlign w:val="center"/>
                </w:tcPr>
                <w:p w14:paraId="588BAB13">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p>
              </w:tc>
            </w:tr>
            <w:tr w14:paraId="5D53C294">
              <w:tblPrEx>
                <w:tblCellMar>
                  <w:top w:w="0" w:type="dxa"/>
                  <w:left w:w="108" w:type="dxa"/>
                  <w:bottom w:w="0" w:type="dxa"/>
                  <w:right w:w="108" w:type="dxa"/>
                </w:tblCellMar>
              </w:tblPrEx>
              <w:trPr>
                <w:trHeight w:val="306" w:hRule="atLeast"/>
                <w:jc w:val="center"/>
              </w:trPr>
              <w:tc>
                <w:tcPr>
                  <w:tcW w:w="1179" w:type="pct"/>
                  <w:tcBorders>
                    <w:top w:val="single" w:color="000000" w:sz="4" w:space="0"/>
                    <w:left w:val="single" w:color="000000" w:sz="4" w:space="0"/>
                    <w:bottom w:val="single" w:color="000000" w:sz="4" w:space="0"/>
                    <w:right w:val="single" w:color="000000" w:sz="4" w:space="0"/>
                  </w:tcBorders>
                  <w:noWrap w:val="0"/>
                  <w:vAlign w:val="center"/>
                </w:tcPr>
                <w:p w14:paraId="756A52C6">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低挥发性有机化合物含量涂料产品技术要求（GB/T 38597—2020）</w:t>
                  </w:r>
                </w:p>
              </w:tc>
              <w:tc>
                <w:tcPr>
                  <w:tcW w:w="1049" w:type="pct"/>
                  <w:tcBorders>
                    <w:top w:val="single" w:color="000000" w:sz="4" w:space="0"/>
                    <w:left w:val="single" w:color="000000" w:sz="4" w:space="0"/>
                    <w:bottom w:val="single" w:color="000000" w:sz="4" w:space="0"/>
                    <w:right w:val="single" w:color="000000" w:sz="4" w:space="0"/>
                  </w:tcBorders>
                  <w:noWrap w:val="0"/>
                  <w:vAlign w:val="center"/>
                </w:tcPr>
                <w:p w14:paraId="3A46F54E">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水性涂料机械设备涂料（工程机械和农业机械涂料）</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3B9F6272">
                  <w:pPr>
                    <w:keepNext w:val="0"/>
                    <w:keepLines w:val="0"/>
                    <w:suppressLineNumbers w:val="0"/>
                    <w:shd w:val="clear" w:color="auto" w:fill="auto"/>
                    <w:spacing w:before="0" w:beforeAutospacing="0" w:after="0" w:afterAutospacing="0"/>
                    <w:ind w:left="0" w:right="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水性漆</w:t>
                  </w:r>
                </w:p>
              </w:tc>
              <w:tc>
                <w:tcPr>
                  <w:tcW w:w="554" w:type="pct"/>
                  <w:tcBorders>
                    <w:top w:val="single" w:color="000000" w:sz="4" w:space="0"/>
                    <w:left w:val="single" w:color="000000" w:sz="4" w:space="0"/>
                    <w:bottom w:val="single" w:color="000000" w:sz="4" w:space="0"/>
                    <w:right w:val="single" w:color="000000" w:sz="4" w:space="0"/>
                  </w:tcBorders>
                  <w:noWrap/>
                  <w:vAlign w:val="center"/>
                </w:tcPr>
                <w:p w14:paraId="37242445">
                  <w:pPr>
                    <w:keepNext w:val="0"/>
                    <w:keepLines w:val="0"/>
                    <w:suppressLineNumbers w:val="0"/>
                    <w:shd w:val="clear" w:color="auto" w:fill="auto"/>
                    <w:spacing w:before="0" w:beforeAutospacing="0" w:after="0" w:afterAutospacing="0"/>
                    <w:ind w:left="0" w:right="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≤250</w:t>
                  </w:r>
                  <w:r>
                    <w:rPr>
                      <w:rFonts w:hint="eastAsia"/>
                      <w:color w:val="000000" w:themeColor="text1"/>
                      <w:szCs w:val="21"/>
                      <w:highlight w:val="none"/>
                      <w:lang w:val="en-US" w:eastAsia="zh-CN"/>
                      <w14:textFill>
                        <w14:solidFill>
                          <w14:schemeClr w14:val="tx1"/>
                        </w14:solidFill>
                      </w14:textFill>
                    </w:rPr>
                    <w:t>*</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2D89172B">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r>
                    <w:rPr>
                      <w:rFonts w:hint="eastAsia"/>
                      <w:color w:val="000000" w:themeColor="text1"/>
                      <w:szCs w:val="21"/>
                      <w:highlight w:val="none"/>
                      <w:lang w:val="en-US" w:eastAsia="zh-CN"/>
                      <w14:textFill>
                        <w14:solidFill>
                          <w14:schemeClr w14:val="tx1"/>
                        </w14:solidFill>
                      </w14:textFill>
                    </w:rPr>
                    <w:t>0</w:t>
                  </w:r>
                  <w:r>
                    <w:rPr>
                      <w:rFonts w:hint="eastAsia"/>
                      <w:color w:val="000000" w:themeColor="text1"/>
                      <w:szCs w:val="21"/>
                      <w:highlight w:val="none"/>
                      <w14:textFill>
                        <w14:solidFill>
                          <w14:schemeClr w14:val="tx1"/>
                        </w14:solidFill>
                      </w14:textFill>
                    </w:rPr>
                    <w:t>%</w:t>
                  </w:r>
                </w:p>
              </w:tc>
              <w:tc>
                <w:tcPr>
                  <w:tcW w:w="472" w:type="pct"/>
                  <w:tcBorders>
                    <w:top w:val="single" w:color="000000" w:sz="4" w:space="0"/>
                    <w:left w:val="single" w:color="000000" w:sz="4" w:space="0"/>
                    <w:bottom w:val="single" w:color="000000" w:sz="4" w:space="0"/>
                    <w:right w:val="single" w:color="000000" w:sz="4" w:space="0"/>
                  </w:tcBorders>
                  <w:noWrap/>
                  <w:vAlign w:val="center"/>
                </w:tcPr>
                <w:p w14:paraId="32F6B145">
                  <w:pPr>
                    <w:keepNext w:val="0"/>
                    <w:keepLines w:val="0"/>
                    <w:suppressLineNumbers w:val="0"/>
                    <w:shd w:val="clear" w:color="auto" w:fill="auto"/>
                    <w:spacing w:before="0" w:beforeAutospacing="0" w:after="0" w:afterAutospacing="0"/>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0.981</w:t>
                  </w:r>
                </w:p>
              </w:tc>
              <w:tc>
                <w:tcPr>
                  <w:tcW w:w="549" w:type="pct"/>
                  <w:tcBorders>
                    <w:top w:val="single" w:color="000000" w:sz="4" w:space="0"/>
                    <w:left w:val="single" w:color="000000" w:sz="4" w:space="0"/>
                    <w:bottom w:val="single" w:color="000000" w:sz="4" w:space="0"/>
                    <w:right w:val="single" w:color="000000" w:sz="4" w:space="0"/>
                  </w:tcBorders>
                  <w:noWrap/>
                  <w:vAlign w:val="center"/>
                </w:tcPr>
                <w:p w14:paraId="1F2D1468">
                  <w:pPr>
                    <w:keepNext w:val="0"/>
                    <w:keepLines w:val="0"/>
                    <w:suppressLineNumbers w:val="0"/>
                    <w:shd w:val="clear" w:color="auto" w:fill="auto"/>
                    <w:spacing w:before="0" w:beforeAutospacing="0" w:after="0" w:afterAutospacing="0"/>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98.1</w:t>
                  </w:r>
                </w:p>
              </w:tc>
              <w:tc>
                <w:tcPr>
                  <w:tcW w:w="332" w:type="pct"/>
                  <w:tcBorders>
                    <w:top w:val="single" w:color="000000" w:sz="4" w:space="0"/>
                    <w:left w:val="single" w:color="000000" w:sz="4" w:space="0"/>
                    <w:bottom w:val="single" w:color="000000" w:sz="4" w:space="0"/>
                    <w:right w:val="single" w:color="000000" w:sz="4" w:space="0"/>
                  </w:tcBorders>
                  <w:noWrap/>
                  <w:vAlign w:val="center"/>
                </w:tcPr>
                <w:p w14:paraId="2C1E218C">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符合</w:t>
                  </w:r>
                </w:p>
              </w:tc>
            </w:tr>
            <w:tr w14:paraId="7F5D42AE">
              <w:tblPrEx>
                <w:tblCellMar>
                  <w:top w:w="0" w:type="dxa"/>
                  <w:left w:w="108" w:type="dxa"/>
                  <w:bottom w:w="0" w:type="dxa"/>
                  <w:right w:w="108" w:type="dxa"/>
                </w:tblCellMar>
              </w:tblPrEx>
              <w:trPr>
                <w:trHeight w:val="306" w:hRule="atLeast"/>
                <w:jc w:val="center"/>
              </w:trPr>
              <w:tc>
                <w:tcPr>
                  <w:tcW w:w="1179" w:type="pct"/>
                  <w:tcBorders>
                    <w:top w:val="single" w:color="000000" w:sz="4" w:space="0"/>
                    <w:left w:val="single" w:color="000000" w:sz="4" w:space="0"/>
                    <w:bottom w:val="single" w:color="000000" w:sz="4" w:space="0"/>
                    <w:right w:val="single" w:color="000000" w:sz="4" w:space="0"/>
                  </w:tcBorders>
                  <w:noWrap w:val="0"/>
                  <w:vAlign w:val="center"/>
                </w:tcPr>
                <w:p w14:paraId="66979BE3">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《车辆涂料中有害物质限量》（GB24409-2020）</w:t>
                  </w:r>
                </w:p>
              </w:tc>
              <w:tc>
                <w:tcPr>
                  <w:tcW w:w="1049" w:type="pct"/>
                  <w:tcBorders>
                    <w:top w:val="single" w:color="000000" w:sz="4" w:space="0"/>
                    <w:left w:val="single" w:color="000000" w:sz="4" w:space="0"/>
                    <w:bottom w:val="single" w:color="000000" w:sz="4" w:space="0"/>
                    <w:right w:val="single" w:color="000000" w:sz="4" w:space="0"/>
                  </w:tcBorders>
                  <w:noWrap w:val="0"/>
                  <w:vAlign w:val="center"/>
                </w:tcPr>
                <w:p w14:paraId="463FC175">
                  <w:pPr>
                    <w:keepNext w:val="0"/>
                    <w:keepLines w:val="0"/>
                    <w:suppressLineNumbers w:val="0"/>
                    <w:shd w:val="clear" w:color="auto" w:fill="auto"/>
                    <w:spacing w:before="0" w:beforeAutospacing="0" w:after="0" w:afterAutospacing="0"/>
                    <w:ind w:left="0" w:right="0"/>
                    <w:jc w:val="both"/>
                    <w:rPr>
                      <w:rFonts w:hint="default"/>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摩托车</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含电动摩托车</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和自行车</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含电动自行车</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涂料、车辆用零部件涂料</w:t>
                  </w:r>
                </w:p>
              </w:tc>
              <w:tc>
                <w:tcPr>
                  <w:tcW w:w="368" w:type="pct"/>
                  <w:tcBorders>
                    <w:top w:val="single" w:color="000000" w:sz="4" w:space="0"/>
                    <w:left w:val="single" w:color="000000" w:sz="4" w:space="0"/>
                    <w:bottom w:val="single" w:color="000000" w:sz="4" w:space="0"/>
                    <w:right w:val="single" w:color="000000" w:sz="4" w:space="0"/>
                  </w:tcBorders>
                  <w:noWrap/>
                  <w:vAlign w:val="center"/>
                </w:tcPr>
                <w:p w14:paraId="3A37B8AC">
                  <w:pPr>
                    <w:keepNext w:val="0"/>
                    <w:keepLines w:val="0"/>
                    <w:suppressLineNumbers w:val="0"/>
                    <w:shd w:val="clear" w:color="auto" w:fill="auto"/>
                    <w:spacing w:before="0" w:beforeAutospacing="0" w:after="0" w:afterAutospacing="0"/>
                    <w:ind w:left="0" w:right="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水性漆</w:t>
                  </w:r>
                </w:p>
              </w:tc>
              <w:tc>
                <w:tcPr>
                  <w:tcW w:w="554" w:type="pct"/>
                  <w:tcBorders>
                    <w:top w:val="single" w:color="000000" w:sz="4" w:space="0"/>
                    <w:left w:val="single" w:color="000000" w:sz="4" w:space="0"/>
                    <w:bottom w:val="single" w:color="000000" w:sz="4" w:space="0"/>
                    <w:right w:val="single" w:color="000000" w:sz="4" w:space="0"/>
                  </w:tcBorders>
                  <w:noWrap/>
                  <w:vAlign w:val="center"/>
                </w:tcPr>
                <w:p w14:paraId="30FCE9FE">
                  <w:pPr>
                    <w:keepNext w:val="0"/>
                    <w:keepLines w:val="0"/>
                    <w:suppressLineNumbers w:val="0"/>
                    <w:shd w:val="clear" w:color="auto" w:fill="auto"/>
                    <w:spacing w:before="0" w:beforeAutospacing="0" w:after="0" w:afterAutospacing="0"/>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450</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6A6764B9">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w:t>
                  </w:r>
                  <w:r>
                    <w:rPr>
                      <w:rFonts w:hint="eastAsia"/>
                      <w:color w:val="000000" w:themeColor="text1"/>
                      <w:szCs w:val="21"/>
                      <w:highlight w:val="none"/>
                      <w:lang w:val="en-US" w:eastAsia="zh-CN"/>
                      <w14:textFill>
                        <w14:solidFill>
                          <w14:schemeClr w14:val="tx1"/>
                        </w14:solidFill>
                      </w14:textFill>
                    </w:rPr>
                    <w:t>0</w:t>
                  </w:r>
                  <w:r>
                    <w:rPr>
                      <w:rFonts w:hint="eastAsia"/>
                      <w:color w:val="000000" w:themeColor="text1"/>
                      <w:szCs w:val="21"/>
                      <w:highlight w:val="none"/>
                      <w14:textFill>
                        <w14:solidFill>
                          <w14:schemeClr w14:val="tx1"/>
                        </w14:solidFill>
                      </w14:textFill>
                    </w:rPr>
                    <w:t>%</w:t>
                  </w:r>
                </w:p>
              </w:tc>
              <w:tc>
                <w:tcPr>
                  <w:tcW w:w="472" w:type="pct"/>
                  <w:tcBorders>
                    <w:top w:val="single" w:color="000000" w:sz="4" w:space="0"/>
                    <w:left w:val="single" w:color="000000" w:sz="4" w:space="0"/>
                    <w:bottom w:val="single" w:color="000000" w:sz="4" w:space="0"/>
                    <w:right w:val="single" w:color="000000" w:sz="4" w:space="0"/>
                  </w:tcBorders>
                  <w:noWrap/>
                  <w:vAlign w:val="center"/>
                </w:tcPr>
                <w:p w14:paraId="4A4981E2">
                  <w:pPr>
                    <w:keepNext w:val="0"/>
                    <w:keepLines w:val="0"/>
                    <w:suppressLineNumbers w:val="0"/>
                    <w:shd w:val="clear" w:color="auto" w:fill="auto"/>
                    <w:spacing w:before="0" w:beforeAutospacing="0" w:after="0" w:afterAutospacing="0"/>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0.981</w:t>
                  </w:r>
                </w:p>
              </w:tc>
              <w:tc>
                <w:tcPr>
                  <w:tcW w:w="549" w:type="pct"/>
                  <w:tcBorders>
                    <w:top w:val="single" w:color="000000" w:sz="4" w:space="0"/>
                    <w:left w:val="single" w:color="000000" w:sz="4" w:space="0"/>
                    <w:bottom w:val="single" w:color="000000" w:sz="4" w:space="0"/>
                    <w:right w:val="single" w:color="000000" w:sz="4" w:space="0"/>
                  </w:tcBorders>
                  <w:noWrap/>
                  <w:vAlign w:val="center"/>
                </w:tcPr>
                <w:p w14:paraId="7168FDF5">
                  <w:pPr>
                    <w:keepNext w:val="0"/>
                    <w:keepLines w:val="0"/>
                    <w:suppressLineNumbers w:val="0"/>
                    <w:shd w:val="clear" w:color="auto" w:fill="auto"/>
                    <w:spacing w:before="0" w:beforeAutospacing="0" w:after="0" w:afterAutospacing="0"/>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98.1</w:t>
                  </w:r>
                </w:p>
              </w:tc>
              <w:tc>
                <w:tcPr>
                  <w:tcW w:w="332" w:type="pct"/>
                  <w:tcBorders>
                    <w:top w:val="single" w:color="000000" w:sz="4" w:space="0"/>
                    <w:left w:val="single" w:color="000000" w:sz="4" w:space="0"/>
                    <w:bottom w:val="single" w:color="000000" w:sz="4" w:space="0"/>
                    <w:right w:val="single" w:color="000000" w:sz="4" w:space="0"/>
                  </w:tcBorders>
                  <w:noWrap/>
                  <w:vAlign w:val="center"/>
                </w:tcPr>
                <w:p w14:paraId="48BE36EF">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符合</w:t>
                  </w:r>
                </w:p>
              </w:tc>
            </w:tr>
            <w:tr w14:paraId="30794369">
              <w:tblPrEx>
                <w:tblCellMar>
                  <w:top w:w="0" w:type="dxa"/>
                  <w:left w:w="108" w:type="dxa"/>
                  <w:bottom w:w="0" w:type="dxa"/>
                  <w:right w:w="108" w:type="dxa"/>
                </w:tblCellMar>
              </w:tblPrEx>
              <w:trPr>
                <w:trHeight w:val="352"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5E0390C3">
                  <w:pPr>
                    <w:keepNext w:val="0"/>
                    <w:keepLines w:val="0"/>
                    <w:suppressLineNumbers w:val="0"/>
                    <w:shd w:val="clear" w:color="auto" w:fill="auto"/>
                    <w:spacing w:before="0" w:beforeAutospacing="0" w:after="0" w:afterAutospacing="0"/>
                    <w:ind w:left="0" w:right="0"/>
                    <w:jc w:val="both"/>
                    <w:rPr>
                      <w:rFonts w:hint="eastAsia"/>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注：*</w:t>
                  </w:r>
                  <w:r>
                    <w:rPr>
                      <w:rFonts w:hint="eastAsia"/>
                      <w:color w:val="000000" w:themeColor="text1"/>
                      <w:szCs w:val="21"/>
                      <w:highlight w:val="none"/>
                      <w:lang w:val="en-US" w:eastAsia="zh-CN"/>
                      <w14:textFill>
                        <w14:solidFill>
                          <w14:schemeClr w14:val="tx1"/>
                        </w14:solidFill>
                      </w14:textFill>
                    </w:rPr>
                    <w:t>参考类型为“汽车原厂涂料[客车（机动车）]”</w:t>
                  </w:r>
                  <w:r>
                    <w:rPr>
                      <w:color w:val="000000" w:themeColor="text1"/>
                      <w:szCs w:val="21"/>
                      <w:highlight w:val="none"/>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项目</w:t>
                  </w:r>
                  <w:r>
                    <w:rPr>
                      <w:color w:val="000000" w:themeColor="text1"/>
                      <w:szCs w:val="21"/>
                      <w:highlight w:val="none"/>
                      <w14:textFill>
                        <w14:solidFill>
                          <w14:schemeClr w14:val="tx1"/>
                        </w14:solidFill>
                      </w14:textFill>
                    </w:rPr>
                    <w:t>使用一种漆进行底漆面漆喷涂，因此VOCs限值按</w:t>
                  </w:r>
                  <w:r>
                    <w:rPr>
                      <w:rFonts w:hint="eastAsia"/>
                      <w:color w:val="000000" w:themeColor="text1"/>
                      <w:szCs w:val="21"/>
                      <w:highlight w:val="none"/>
                      <w:lang w:val="en-US" w:eastAsia="zh-CN"/>
                      <w14:textFill>
                        <w14:solidFill>
                          <w14:schemeClr w14:val="tx1"/>
                        </w14:solidFill>
                      </w14:textFill>
                    </w:rPr>
                    <w:t>其他底漆</w:t>
                  </w:r>
                  <w:r>
                    <w:rPr>
                      <w:rFonts w:hint="eastAsia"/>
                      <w:color w:val="000000" w:themeColor="text1"/>
                      <w:szCs w:val="21"/>
                      <w:highlight w:val="none"/>
                      <w:lang w:eastAsia="zh-CN"/>
                      <w14:textFill>
                        <w14:solidFill>
                          <w14:schemeClr w14:val="tx1"/>
                        </w14:solidFill>
                      </w14:textFill>
                    </w:rPr>
                    <w:t>最低值</w:t>
                  </w:r>
                  <w:r>
                    <w:rPr>
                      <w:color w:val="000000" w:themeColor="text1"/>
                      <w:szCs w:val="21"/>
                      <w:highlight w:val="none"/>
                      <w14:textFill>
                        <w14:solidFill>
                          <w14:schemeClr w14:val="tx1"/>
                        </w14:solidFill>
                      </w14:textFill>
                    </w:rPr>
                    <w:t>取。</w:t>
                  </w:r>
                </w:p>
              </w:tc>
            </w:tr>
          </w:tbl>
          <w:p w14:paraId="1FB74966">
            <w:pPr>
              <w:keepNext w:val="0"/>
              <w:keepLines w:val="0"/>
              <w:suppressLineNumbers w:val="0"/>
              <w:shd w:val="clear" w:color="auto" w:fill="auto"/>
              <w:adjustRightInd w:val="0"/>
              <w:snapToGrid w:val="0"/>
              <w:spacing w:before="0" w:beforeAutospacing="0" w:after="0" w:afterAutospacing="0" w:line="460" w:lineRule="exact"/>
              <w:ind w:left="0" w:right="0"/>
              <w:jc w:val="center"/>
              <w:rPr>
                <w:rFonts w:hint="default"/>
                <w:b/>
                <w:bCs/>
                <w:color w:val="000000" w:themeColor="text1"/>
                <w:sz w:val="24"/>
                <w:highlight w:val="none"/>
                <w14:textFill>
                  <w14:solidFill>
                    <w14:schemeClr w14:val="tx1"/>
                  </w14:solidFill>
                </w14:textFill>
              </w:rPr>
            </w:pPr>
            <w:r>
              <w:rPr>
                <w:rFonts w:hint="default"/>
                <w:b/>
                <w:bCs/>
                <w:color w:val="000000" w:themeColor="text1"/>
                <w:sz w:val="24"/>
                <w:highlight w:val="none"/>
                <w14:textFill>
                  <w14:solidFill>
                    <w14:schemeClr w14:val="tx1"/>
                  </w14:solidFill>
                </w14:textFill>
              </w:rPr>
              <w:t>表</w:t>
            </w:r>
            <w:r>
              <w:rPr>
                <w:rFonts w:hint="eastAsia"/>
                <w:b/>
                <w:bCs/>
                <w:color w:val="000000" w:themeColor="text1"/>
                <w:sz w:val="24"/>
                <w:highlight w:val="none"/>
                <w14:textFill>
                  <w14:solidFill>
                    <w14:schemeClr w14:val="tx1"/>
                  </w14:solidFill>
                </w14:textFill>
              </w:rPr>
              <w:t>2-</w:t>
            </w:r>
            <w:r>
              <w:rPr>
                <w:rFonts w:hint="eastAsia"/>
                <w:b/>
                <w:bCs/>
                <w:color w:val="000000" w:themeColor="text1"/>
                <w:sz w:val="24"/>
                <w:highlight w:val="none"/>
                <w:lang w:val="en-US" w:eastAsia="zh-CN"/>
                <w14:textFill>
                  <w14:solidFill>
                    <w14:schemeClr w14:val="tx1"/>
                  </w14:solidFill>
                </w14:textFill>
              </w:rPr>
              <w:t xml:space="preserve">12 </w:t>
            </w:r>
            <w:r>
              <w:rPr>
                <w:rFonts w:hint="eastAsia"/>
                <w:b/>
                <w:bCs/>
                <w:color w:val="000000" w:themeColor="text1"/>
                <w:sz w:val="24"/>
                <w:highlight w:val="none"/>
                <w14:textFill>
                  <w14:solidFill>
                    <w14:schemeClr w14:val="tx1"/>
                  </w14:solidFill>
                </w14:textFill>
              </w:rPr>
              <w:t>本项目</w:t>
            </w:r>
            <w:r>
              <w:rPr>
                <w:rFonts w:hint="default"/>
                <w:b/>
                <w:bCs/>
                <w:color w:val="000000" w:themeColor="text1"/>
                <w:sz w:val="24"/>
                <w:highlight w:val="none"/>
                <w14:textFill>
                  <w14:solidFill>
                    <w14:schemeClr w14:val="tx1"/>
                  </w14:solidFill>
                </w14:textFill>
              </w:rPr>
              <w:t>涂装废气污染物</w:t>
            </w:r>
            <w:r>
              <w:rPr>
                <w:rFonts w:hint="eastAsia"/>
                <w:b/>
                <w:bCs/>
                <w:color w:val="000000" w:themeColor="text1"/>
                <w:sz w:val="24"/>
                <w:highlight w:val="none"/>
                <w14:textFill>
                  <w14:solidFill>
                    <w14:schemeClr w14:val="tx1"/>
                  </w14:solidFill>
                </w14:textFill>
              </w:rPr>
              <w:t>产生情况一览表</w:t>
            </w:r>
          </w:p>
          <w:tbl>
            <w:tblPr>
              <w:tblStyle w:val="21"/>
              <w:tblW w:w="4815" w:type="pct"/>
              <w:jc w:val="center"/>
              <w:tblLayout w:type="fixed"/>
              <w:tblCellMar>
                <w:top w:w="0" w:type="dxa"/>
                <w:left w:w="108" w:type="dxa"/>
                <w:bottom w:w="0" w:type="dxa"/>
                <w:right w:w="108" w:type="dxa"/>
              </w:tblCellMar>
            </w:tblPr>
            <w:tblGrid>
              <w:gridCol w:w="672"/>
              <w:gridCol w:w="750"/>
              <w:gridCol w:w="823"/>
              <w:gridCol w:w="1025"/>
              <w:gridCol w:w="897"/>
              <w:gridCol w:w="1017"/>
              <w:gridCol w:w="1049"/>
              <w:gridCol w:w="892"/>
              <w:gridCol w:w="893"/>
            </w:tblGrid>
            <w:tr w14:paraId="7489254E">
              <w:trPr>
                <w:trHeight w:val="272" w:hRule="atLeast"/>
                <w:tblHeader/>
                <w:jc w:val="center"/>
              </w:trPr>
              <w:tc>
                <w:tcPr>
                  <w:tcW w:w="418" w:type="pct"/>
                  <w:vMerge w:val="restart"/>
                  <w:tcBorders>
                    <w:top w:val="single" w:color="000000" w:sz="4" w:space="0"/>
                    <w:left w:val="single" w:color="000000" w:sz="4" w:space="0"/>
                    <w:bottom w:val="single" w:color="000000" w:sz="4" w:space="0"/>
                    <w:right w:val="single" w:color="000000" w:sz="4" w:space="0"/>
                  </w:tcBorders>
                  <w:noWrap w:val="0"/>
                  <w:vAlign w:val="center"/>
                </w:tcPr>
                <w:p w14:paraId="73980527">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工序</w:t>
                  </w:r>
                </w:p>
              </w:tc>
              <w:tc>
                <w:tcPr>
                  <w:tcW w:w="467" w:type="pct"/>
                  <w:vMerge w:val="restart"/>
                  <w:tcBorders>
                    <w:top w:val="single" w:color="000000" w:sz="4" w:space="0"/>
                    <w:left w:val="single" w:color="000000" w:sz="4" w:space="0"/>
                    <w:bottom w:val="single" w:color="000000" w:sz="4" w:space="0"/>
                    <w:right w:val="single" w:color="000000" w:sz="4" w:space="0"/>
                  </w:tcBorders>
                  <w:noWrap w:val="0"/>
                  <w:vAlign w:val="center"/>
                </w:tcPr>
                <w:p w14:paraId="684A9DAB">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涂料</w:t>
                  </w:r>
                </w:p>
              </w:tc>
              <w:tc>
                <w:tcPr>
                  <w:tcW w:w="513" w:type="pct"/>
                  <w:vMerge w:val="restart"/>
                  <w:tcBorders>
                    <w:top w:val="single" w:color="000000" w:sz="4" w:space="0"/>
                    <w:left w:val="single" w:color="000000" w:sz="4" w:space="0"/>
                    <w:bottom w:val="single" w:color="000000" w:sz="4" w:space="0"/>
                    <w:right w:val="single" w:color="000000" w:sz="4" w:space="0"/>
                  </w:tcBorders>
                  <w:noWrap w:val="0"/>
                  <w:vAlign w:val="center"/>
                </w:tcPr>
                <w:p w14:paraId="6232D7F0">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用量（t/a）</w:t>
                  </w:r>
                </w:p>
              </w:tc>
              <w:tc>
                <w:tcPr>
                  <w:tcW w:w="1198" w:type="pct"/>
                  <w:gridSpan w:val="2"/>
                  <w:tcBorders>
                    <w:top w:val="single" w:color="000000" w:sz="4" w:space="0"/>
                    <w:left w:val="single" w:color="000000" w:sz="4" w:space="0"/>
                    <w:bottom w:val="single" w:color="000000" w:sz="4" w:space="0"/>
                    <w:right w:val="single" w:color="000000" w:sz="4" w:space="0"/>
                  </w:tcBorders>
                  <w:noWrap w:val="0"/>
                  <w:vAlign w:val="center"/>
                </w:tcPr>
                <w:p w14:paraId="7F7791C2">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固形物</w:t>
                  </w:r>
                </w:p>
              </w:tc>
              <w:tc>
                <w:tcPr>
                  <w:tcW w:w="1288" w:type="pct"/>
                  <w:gridSpan w:val="2"/>
                  <w:tcBorders>
                    <w:top w:val="single" w:color="000000" w:sz="4" w:space="0"/>
                    <w:left w:val="single" w:color="000000" w:sz="4" w:space="0"/>
                    <w:bottom w:val="single" w:color="000000" w:sz="4" w:space="0"/>
                    <w:right w:val="single" w:color="000000" w:sz="4" w:space="0"/>
                  </w:tcBorders>
                  <w:noWrap w:val="0"/>
                  <w:vAlign w:val="center"/>
                </w:tcPr>
                <w:p w14:paraId="29008411">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非甲烷总烃</w:t>
                  </w:r>
                </w:p>
              </w:tc>
              <w:tc>
                <w:tcPr>
                  <w:tcW w:w="1113" w:type="pct"/>
                  <w:gridSpan w:val="2"/>
                  <w:tcBorders>
                    <w:top w:val="single" w:color="000000" w:sz="4" w:space="0"/>
                    <w:left w:val="single" w:color="000000" w:sz="4" w:space="0"/>
                    <w:bottom w:val="single" w:color="000000" w:sz="4" w:space="0"/>
                    <w:right w:val="single" w:color="000000" w:sz="4" w:space="0"/>
                  </w:tcBorders>
                  <w:noWrap w:val="0"/>
                  <w:vAlign w:val="center"/>
                </w:tcPr>
                <w:p w14:paraId="11E19A3A">
                  <w:pPr>
                    <w:keepNext w:val="0"/>
                    <w:keepLines w:val="0"/>
                    <w:suppressLineNumbers w:val="0"/>
                    <w:shd w:val="clear" w:color="auto" w:fill="auto"/>
                    <w:spacing w:before="0" w:beforeAutospacing="0" w:after="0" w:afterAutospacing="0"/>
                    <w:ind w:left="0" w:right="0"/>
                    <w:jc w:val="center"/>
                    <w:rPr>
                      <w:rFonts w:hint="eastAsia" w:eastAsia="宋体"/>
                      <w:b/>
                      <w:bCs/>
                      <w:color w:val="000000" w:themeColor="text1"/>
                      <w:szCs w:val="21"/>
                      <w:highlight w:val="none"/>
                      <w:lang w:eastAsia="zh-CN"/>
                      <w14:textFill>
                        <w14:solidFill>
                          <w14:schemeClr w14:val="tx1"/>
                        </w14:solidFill>
                      </w14:textFill>
                    </w:rPr>
                  </w:pPr>
                  <w:r>
                    <w:rPr>
                      <w:rFonts w:hint="eastAsia"/>
                      <w:b/>
                      <w:bCs/>
                      <w:color w:val="000000" w:themeColor="text1"/>
                      <w:szCs w:val="21"/>
                      <w:highlight w:val="none"/>
                      <w:lang w:eastAsia="zh-CN"/>
                      <w14:textFill>
                        <w14:solidFill>
                          <w14:schemeClr w14:val="tx1"/>
                        </w14:solidFill>
                      </w14:textFill>
                    </w:rPr>
                    <w:t>水分</w:t>
                  </w:r>
                </w:p>
              </w:tc>
            </w:tr>
            <w:tr w14:paraId="07BBEC1D">
              <w:tblPrEx>
                <w:tblCellMar>
                  <w:top w:w="0" w:type="dxa"/>
                  <w:left w:w="108" w:type="dxa"/>
                  <w:bottom w:w="0" w:type="dxa"/>
                  <w:right w:w="108" w:type="dxa"/>
                </w:tblCellMar>
              </w:tblPrEx>
              <w:trPr>
                <w:trHeight w:val="510" w:hRule="atLeast"/>
                <w:tblHeader/>
                <w:jc w:val="center"/>
              </w:trPr>
              <w:tc>
                <w:tcPr>
                  <w:tcW w:w="418" w:type="pct"/>
                  <w:vMerge w:val="continue"/>
                  <w:tcBorders>
                    <w:top w:val="single" w:color="000000" w:sz="4" w:space="0"/>
                    <w:left w:val="single" w:color="000000" w:sz="4" w:space="0"/>
                    <w:bottom w:val="single" w:color="000000" w:sz="4" w:space="0"/>
                    <w:right w:val="single" w:color="000000" w:sz="4" w:space="0"/>
                  </w:tcBorders>
                  <w:noWrap w:val="0"/>
                  <w:vAlign w:val="center"/>
                </w:tcPr>
                <w:p w14:paraId="2E3150DD">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p>
              </w:tc>
              <w:tc>
                <w:tcPr>
                  <w:tcW w:w="467" w:type="pct"/>
                  <w:vMerge w:val="continue"/>
                  <w:tcBorders>
                    <w:top w:val="single" w:color="000000" w:sz="4" w:space="0"/>
                    <w:left w:val="single" w:color="000000" w:sz="4" w:space="0"/>
                    <w:bottom w:val="single" w:color="000000" w:sz="4" w:space="0"/>
                    <w:right w:val="single" w:color="000000" w:sz="4" w:space="0"/>
                  </w:tcBorders>
                  <w:noWrap w:val="0"/>
                  <w:vAlign w:val="center"/>
                </w:tcPr>
                <w:p w14:paraId="5126E862">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p>
              </w:tc>
              <w:tc>
                <w:tcPr>
                  <w:tcW w:w="513" w:type="pct"/>
                  <w:vMerge w:val="continue"/>
                  <w:tcBorders>
                    <w:top w:val="single" w:color="000000" w:sz="4" w:space="0"/>
                    <w:left w:val="single" w:color="000000" w:sz="4" w:space="0"/>
                    <w:bottom w:val="single" w:color="000000" w:sz="4" w:space="0"/>
                    <w:right w:val="single" w:color="000000" w:sz="4" w:space="0"/>
                  </w:tcBorders>
                  <w:noWrap w:val="0"/>
                  <w:vAlign w:val="center"/>
                </w:tcPr>
                <w:p w14:paraId="694A3836">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p>
              </w:tc>
              <w:tc>
                <w:tcPr>
                  <w:tcW w:w="639" w:type="pct"/>
                  <w:tcBorders>
                    <w:top w:val="single" w:color="000000" w:sz="4" w:space="0"/>
                    <w:left w:val="single" w:color="000000" w:sz="4" w:space="0"/>
                    <w:bottom w:val="single" w:color="000000" w:sz="4" w:space="0"/>
                    <w:right w:val="single" w:color="000000" w:sz="4" w:space="0"/>
                  </w:tcBorders>
                  <w:noWrap w:val="0"/>
                  <w:vAlign w:val="center"/>
                </w:tcPr>
                <w:p w14:paraId="08B1D233">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含量百分比</w:t>
                  </w:r>
                </w:p>
              </w:tc>
              <w:tc>
                <w:tcPr>
                  <w:tcW w:w="559" w:type="pct"/>
                  <w:tcBorders>
                    <w:top w:val="single" w:color="000000" w:sz="4" w:space="0"/>
                    <w:left w:val="single" w:color="000000" w:sz="4" w:space="0"/>
                    <w:bottom w:val="single" w:color="000000" w:sz="4" w:space="0"/>
                    <w:right w:val="single" w:color="000000" w:sz="4" w:space="0"/>
                  </w:tcBorders>
                  <w:noWrap w:val="0"/>
                  <w:vAlign w:val="center"/>
                </w:tcPr>
                <w:p w14:paraId="4411C90B">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含量（t/a）</w:t>
                  </w:r>
                </w:p>
              </w:tc>
              <w:tc>
                <w:tcPr>
                  <w:tcW w:w="634" w:type="pct"/>
                  <w:tcBorders>
                    <w:top w:val="single" w:color="000000" w:sz="4" w:space="0"/>
                    <w:left w:val="single" w:color="000000" w:sz="4" w:space="0"/>
                    <w:bottom w:val="single" w:color="000000" w:sz="4" w:space="0"/>
                    <w:right w:val="single" w:color="000000" w:sz="4" w:space="0"/>
                  </w:tcBorders>
                  <w:noWrap w:val="0"/>
                  <w:vAlign w:val="center"/>
                </w:tcPr>
                <w:p w14:paraId="73485247">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含量百分比</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14:paraId="0C5615A2">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含量（t/a）</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004941">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b/>
                      <w:bCs/>
                      <w:color w:val="000000" w:themeColor="text1"/>
                      <w:szCs w:val="21"/>
                      <w:highlight w:val="none"/>
                      <w14:textFill>
                        <w14:solidFill>
                          <w14:schemeClr w14:val="tx1"/>
                        </w14:solidFill>
                      </w14:textFill>
                    </w:rPr>
                    <w:t>含量百分比</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DE0781B">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b/>
                      <w:bCs/>
                      <w:color w:val="000000" w:themeColor="text1"/>
                      <w:szCs w:val="21"/>
                      <w:highlight w:val="none"/>
                      <w14:textFill>
                        <w14:solidFill>
                          <w14:schemeClr w14:val="tx1"/>
                        </w14:solidFill>
                      </w14:textFill>
                    </w:rPr>
                    <w:t>含量（t/a）</w:t>
                  </w:r>
                </w:p>
              </w:tc>
            </w:tr>
            <w:tr w14:paraId="79DFB6E1">
              <w:tblPrEx>
                <w:tblCellMar>
                  <w:top w:w="0" w:type="dxa"/>
                  <w:left w:w="108" w:type="dxa"/>
                  <w:bottom w:w="0" w:type="dxa"/>
                  <w:right w:w="108" w:type="dxa"/>
                </w:tblCellMar>
              </w:tblPrEx>
              <w:trPr>
                <w:trHeight w:val="247"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val="0"/>
                  <w:vAlign w:val="center"/>
                </w:tcPr>
                <w:p w14:paraId="6F8063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1#生产线</w:t>
                  </w:r>
                </w:p>
              </w:tc>
            </w:tr>
            <w:tr w14:paraId="3660CF07">
              <w:tblPrEx>
                <w:tblCellMar>
                  <w:top w:w="0" w:type="dxa"/>
                  <w:left w:w="108" w:type="dxa"/>
                  <w:bottom w:w="0" w:type="dxa"/>
                  <w:right w:w="108" w:type="dxa"/>
                </w:tblCellMar>
              </w:tblPrEx>
              <w:trPr>
                <w:trHeight w:val="247" w:hRule="atLeast"/>
                <w:jc w:val="center"/>
              </w:trPr>
              <w:tc>
                <w:tcPr>
                  <w:tcW w:w="418" w:type="pct"/>
                  <w:tcBorders>
                    <w:top w:val="single" w:color="000000" w:sz="4" w:space="0"/>
                    <w:left w:val="single" w:color="000000" w:sz="4" w:space="0"/>
                    <w:bottom w:val="single" w:color="000000" w:sz="4" w:space="0"/>
                    <w:right w:val="single" w:color="000000" w:sz="4" w:space="0"/>
                  </w:tcBorders>
                  <w:noWrap w:val="0"/>
                  <w:vAlign w:val="center"/>
                </w:tcPr>
                <w:p w14:paraId="64061774">
                  <w:pPr>
                    <w:keepNext w:val="0"/>
                    <w:keepLines w:val="0"/>
                    <w:suppressLineNumbers w:val="0"/>
                    <w:shd w:val="clear" w:color="auto" w:fill="auto"/>
                    <w:spacing w:before="0" w:beforeAutospacing="0" w:after="0" w:afterAutospacing="0"/>
                    <w:ind w:left="0" w:right="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喷</w:t>
                  </w:r>
                  <w:r>
                    <w:rPr>
                      <w:rFonts w:hint="eastAsia"/>
                      <w:color w:val="000000" w:themeColor="text1"/>
                      <w:szCs w:val="21"/>
                      <w:highlight w:val="none"/>
                      <w:lang w:val="en-US" w:eastAsia="zh-CN"/>
                      <w14:textFill>
                        <w14:solidFill>
                          <w14:schemeClr w14:val="tx1"/>
                        </w14:solidFill>
                      </w14:textFill>
                    </w:rPr>
                    <w:t>底</w:t>
                  </w:r>
                  <w:r>
                    <w:rPr>
                      <w:rFonts w:hint="eastAsia"/>
                      <w:color w:val="000000" w:themeColor="text1"/>
                      <w:szCs w:val="21"/>
                      <w:highlight w:val="none"/>
                      <w:lang w:eastAsia="zh-CN"/>
                      <w14:textFill>
                        <w14:solidFill>
                          <w14:schemeClr w14:val="tx1"/>
                        </w14:solidFill>
                      </w14:textFill>
                    </w:rPr>
                    <w:t>漆</w:t>
                  </w:r>
                </w:p>
              </w:tc>
              <w:tc>
                <w:tcPr>
                  <w:tcW w:w="467" w:type="pct"/>
                  <w:vMerge w:val="restart"/>
                  <w:tcBorders>
                    <w:top w:val="single" w:color="000000" w:sz="4" w:space="0"/>
                    <w:left w:val="single" w:color="000000" w:sz="4" w:space="0"/>
                    <w:right w:val="single" w:color="000000" w:sz="4" w:space="0"/>
                  </w:tcBorders>
                  <w:noWrap w:val="0"/>
                  <w:vAlign w:val="center"/>
                </w:tcPr>
                <w:p w14:paraId="6A1707B4">
                  <w:pPr>
                    <w:keepNext w:val="0"/>
                    <w:keepLines w:val="0"/>
                    <w:suppressLineNumbers w:val="0"/>
                    <w:shd w:val="clear" w:color="auto" w:fill="auto"/>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水性漆（</w:t>
                  </w:r>
                  <w:r>
                    <w:rPr>
                      <w:rFonts w:hint="eastAsia"/>
                      <w:color w:val="000000" w:themeColor="text1"/>
                      <w:szCs w:val="21"/>
                      <w:highlight w:val="none"/>
                      <w:lang w:val="en-US" w:eastAsia="zh-CN"/>
                      <w14:textFill>
                        <w14:solidFill>
                          <w14:schemeClr w14:val="tx1"/>
                        </w14:solidFill>
                      </w14:textFill>
                    </w:rPr>
                    <w:t>调配前</w:t>
                  </w:r>
                  <w:r>
                    <w:rPr>
                      <w:rFonts w:hint="eastAsia"/>
                      <w:color w:val="000000" w:themeColor="text1"/>
                      <w:szCs w:val="21"/>
                      <w:highlight w:val="none"/>
                      <w:lang w:eastAsia="zh-CN"/>
                      <w14:textFill>
                        <w14:solidFill>
                          <w14:schemeClr w14:val="tx1"/>
                        </w14:solidFill>
                      </w14:textFill>
                    </w:rPr>
                    <w:t>）</w:t>
                  </w:r>
                </w:p>
              </w:tc>
              <w:tc>
                <w:tcPr>
                  <w:tcW w:w="823" w:type="dxa"/>
                  <w:tcBorders>
                    <w:top w:val="single" w:color="000000" w:sz="4" w:space="0"/>
                    <w:left w:val="single" w:color="000000" w:sz="4" w:space="0"/>
                    <w:bottom w:val="single" w:color="000000" w:sz="4" w:space="0"/>
                    <w:right w:val="single" w:color="000000" w:sz="4" w:space="0"/>
                  </w:tcBorders>
                  <w:noWrap w:val="0"/>
                  <w:vAlign w:val="center"/>
                </w:tcPr>
                <w:p w14:paraId="1F2C5EEB">
                  <w:pPr>
                    <w:keepNext w:val="0"/>
                    <w:keepLines w:val="0"/>
                    <w:widowControl/>
                    <w:suppressLineNumbers w:val="0"/>
                    <w:jc w:val="center"/>
                    <w:textAlignment w:val="center"/>
                    <w:rPr>
                      <w:rFonts w:hint="default" w:eastAsia="等线"/>
                      <w:color w:val="000000" w:themeColor="text1"/>
                      <w:kern w:val="0"/>
                      <w:sz w:val="22"/>
                      <w:szCs w:val="22"/>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7.35</w:t>
                  </w:r>
                </w:p>
              </w:tc>
              <w:tc>
                <w:tcPr>
                  <w:tcW w:w="1025" w:type="dxa"/>
                  <w:tcBorders>
                    <w:top w:val="single" w:color="000000" w:sz="4" w:space="0"/>
                    <w:left w:val="single" w:color="000000" w:sz="4" w:space="0"/>
                    <w:bottom w:val="single" w:color="000000" w:sz="4" w:space="0"/>
                    <w:right w:val="single" w:color="000000" w:sz="4" w:space="0"/>
                  </w:tcBorders>
                  <w:noWrap/>
                  <w:vAlign w:val="center"/>
                </w:tcPr>
                <w:p w14:paraId="34CB7B5F">
                  <w:pPr>
                    <w:keepNext w:val="0"/>
                    <w:keepLines w:val="0"/>
                    <w:widowControl/>
                    <w:suppressLineNumbers w:val="0"/>
                    <w:jc w:val="center"/>
                    <w:textAlignment w:val="center"/>
                    <w:rPr>
                      <w:rFonts w:hint="default" w:eastAsia="等线"/>
                      <w:color w:val="000000" w:themeColor="text1"/>
                      <w:kern w:val="0"/>
                      <w:sz w:val="22"/>
                      <w:szCs w:val="22"/>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75%</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14:paraId="533D77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5.51 </w:t>
                  </w:r>
                </w:p>
              </w:tc>
              <w:tc>
                <w:tcPr>
                  <w:tcW w:w="1017" w:type="dxa"/>
                  <w:tcBorders>
                    <w:top w:val="single" w:color="000000" w:sz="4" w:space="0"/>
                    <w:left w:val="single" w:color="000000" w:sz="4" w:space="0"/>
                    <w:bottom w:val="single" w:color="000000" w:sz="4" w:space="0"/>
                    <w:right w:val="single" w:color="000000" w:sz="4" w:space="0"/>
                  </w:tcBorders>
                  <w:noWrap/>
                  <w:vAlign w:val="center"/>
                </w:tcPr>
                <w:p w14:paraId="6C59C5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10%</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721BE5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0.74 </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2A1B58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15%</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010716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1.10 </w:t>
                  </w:r>
                </w:p>
              </w:tc>
            </w:tr>
            <w:tr w14:paraId="7A5F573A">
              <w:tblPrEx>
                <w:tblCellMar>
                  <w:top w:w="0" w:type="dxa"/>
                  <w:left w:w="108" w:type="dxa"/>
                  <w:bottom w:w="0" w:type="dxa"/>
                  <w:right w:w="108" w:type="dxa"/>
                </w:tblCellMar>
              </w:tblPrEx>
              <w:trPr>
                <w:trHeight w:val="90"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73787A">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喷面漆</w:t>
                  </w:r>
                </w:p>
              </w:tc>
              <w:tc>
                <w:tcPr>
                  <w:tcW w:w="467" w:type="pct"/>
                  <w:vMerge w:val="continue"/>
                  <w:tcBorders>
                    <w:left w:val="single" w:color="000000" w:sz="4" w:space="0"/>
                    <w:bottom w:val="single" w:color="000000" w:sz="4" w:space="0"/>
                    <w:right w:val="single" w:color="000000" w:sz="4" w:space="0"/>
                  </w:tcBorders>
                  <w:shd w:val="clear" w:color="auto" w:fill="auto"/>
                  <w:noWrap w:val="0"/>
                  <w:vAlign w:val="center"/>
                </w:tcPr>
                <w:p w14:paraId="03723EAC">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D23D81">
                  <w:pPr>
                    <w:keepNext w:val="0"/>
                    <w:keepLines w:val="0"/>
                    <w:widowControl/>
                    <w:suppressLineNumbers w:val="0"/>
                    <w:jc w:val="center"/>
                    <w:textAlignment w:val="center"/>
                    <w:rPr>
                      <w:rFonts w:hint="default"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4.89</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90785">
                  <w:pPr>
                    <w:keepNext w:val="0"/>
                    <w:keepLines w:val="0"/>
                    <w:widowControl/>
                    <w:suppressLineNumbers w:val="0"/>
                    <w:jc w:val="center"/>
                    <w:textAlignment w:val="center"/>
                    <w:rPr>
                      <w:rFonts w:hint="eastAsia"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75%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FE1DE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3.67 </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07C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10%</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B061B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0.49 </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6D5B1F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15%</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4A4E18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0.73 </w:t>
                  </w:r>
                </w:p>
              </w:tc>
            </w:tr>
            <w:tr w14:paraId="32219408">
              <w:tblPrEx>
                <w:tblCellMar>
                  <w:top w:w="0" w:type="dxa"/>
                  <w:left w:w="108" w:type="dxa"/>
                  <w:bottom w:w="0" w:type="dxa"/>
                  <w:right w:w="108" w:type="dxa"/>
                </w:tblCellMar>
              </w:tblPrEx>
              <w:trPr>
                <w:trHeight w:val="247"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A729801">
                  <w:pPr>
                    <w:keepNext w:val="0"/>
                    <w:keepLines w:val="0"/>
                    <w:suppressLineNumbers w:val="0"/>
                    <w:shd w:val="clear" w:color="auto" w:fill="auto"/>
                    <w:spacing w:before="0" w:beforeAutospacing="0" w:after="0" w:afterAutospacing="0"/>
                    <w:ind w:left="0" w:leftChars="0" w:right="0" w:rightChars="0"/>
                    <w:jc w:val="center"/>
                    <w:rPr>
                      <w:rFonts w:hint="default"/>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合计</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9ED7D1">
                  <w:pPr>
                    <w:keepNext w:val="0"/>
                    <w:keepLines w:val="0"/>
                    <w:suppressLineNumbers w:val="0"/>
                    <w:shd w:val="clear" w:color="auto" w:fill="auto"/>
                    <w:spacing w:before="0" w:beforeAutospacing="0" w:after="0" w:afterAutospacing="0"/>
                    <w:ind w:left="0" w:leftChars="0" w:right="0" w:rightChars="0"/>
                    <w:jc w:val="center"/>
                    <w:rPr>
                      <w:rFonts w:hint="eastAsia"/>
                      <w:color w:val="000000" w:themeColor="text1"/>
                      <w:szCs w:val="21"/>
                      <w:highlight w:val="none"/>
                      <w:lang w:eastAsia="zh-CN"/>
                      <w14:textFill>
                        <w14:solidFill>
                          <w14:schemeClr w14:val="tx1"/>
                        </w14:solidFill>
                      </w14:textFill>
                    </w:rPr>
                  </w:pPr>
                  <w:r>
                    <w:rPr>
                      <w:rFonts w:hint="default"/>
                      <w:color w:val="000000" w:themeColor="text1"/>
                      <w:szCs w:val="21"/>
                      <w:highlight w:val="none"/>
                      <w14:textFill>
                        <w14:solidFill>
                          <w14:schemeClr w14:val="tx1"/>
                        </w14:solidFill>
                      </w14:textFill>
                    </w:rPr>
                    <w:t>/</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61EE62">
                  <w:pPr>
                    <w:keepNext w:val="0"/>
                    <w:keepLines w:val="0"/>
                    <w:widowControl/>
                    <w:suppressLineNumbers w:val="0"/>
                    <w:jc w:val="center"/>
                    <w:textAlignment w:val="center"/>
                    <w:rPr>
                      <w:rFonts w:hint="default"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12.24</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87CE4">
                  <w:pPr>
                    <w:keepNext w:val="0"/>
                    <w:keepLines w:val="0"/>
                    <w:widowControl/>
                    <w:suppressLineNumbers w:val="0"/>
                    <w:jc w:val="center"/>
                    <w:textAlignment w:val="center"/>
                    <w:rPr>
                      <w:rFonts w:hint="eastAsia" w:eastAsia="等线"/>
                      <w:color w:val="000000" w:themeColor="text1"/>
                      <w:kern w:val="0"/>
                      <w:sz w:val="22"/>
                      <w:szCs w:val="22"/>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3C7F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9.18</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356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7F4A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1.23</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5228A0B3">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6C84DF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1.83 </w:t>
                  </w:r>
                </w:p>
              </w:tc>
            </w:tr>
            <w:tr w14:paraId="2FD1F879">
              <w:tblPrEx>
                <w:tblCellMar>
                  <w:top w:w="0" w:type="dxa"/>
                  <w:left w:w="108" w:type="dxa"/>
                  <w:bottom w:w="0" w:type="dxa"/>
                  <w:right w:w="108" w:type="dxa"/>
                </w:tblCellMar>
              </w:tblPrEx>
              <w:trPr>
                <w:trHeight w:val="247"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noWrap w:val="0"/>
                  <w:vAlign w:val="center"/>
                </w:tcPr>
                <w:p w14:paraId="42EBAB1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eastAsia" w:cs="Times New Roman"/>
                      <w:i w:val="0"/>
                      <w:iCs w:val="0"/>
                      <w:color w:val="000000" w:themeColor="text1"/>
                      <w:kern w:val="0"/>
                      <w:sz w:val="22"/>
                      <w:szCs w:val="22"/>
                      <w:u w:val="none"/>
                      <w:lang w:val="en-US" w:eastAsia="zh-CN" w:bidi="ar"/>
                      <w14:textFill>
                        <w14:solidFill>
                          <w14:schemeClr w14:val="tx1"/>
                        </w14:solidFill>
                      </w14:textFill>
                    </w:rPr>
                    <w:t>2#生产线</w:t>
                  </w:r>
                </w:p>
              </w:tc>
            </w:tr>
            <w:tr w14:paraId="28C4A9AD">
              <w:tblPrEx>
                <w:tblCellMar>
                  <w:top w:w="0" w:type="dxa"/>
                  <w:left w:w="108" w:type="dxa"/>
                  <w:bottom w:w="0" w:type="dxa"/>
                  <w:right w:w="108" w:type="dxa"/>
                </w:tblCellMar>
              </w:tblPrEx>
              <w:trPr>
                <w:trHeight w:val="247"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C20244">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喷</w:t>
                  </w:r>
                  <w:r>
                    <w:rPr>
                      <w:rFonts w:hint="eastAsia"/>
                      <w:color w:val="000000" w:themeColor="text1"/>
                      <w:szCs w:val="21"/>
                      <w:highlight w:val="none"/>
                      <w:lang w:val="en-US" w:eastAsia="zh-CN"/>
                      <w14:textFill>
                        <w14:solidFill>
                          <w14:schemeClr w14:val="tx1"/>
                        </w14:solidFill>
                      </w14:textFill>
                    </w:rPr>
                    <w:t>底</w:t>
                  </w:r>
                  <w:r>
                    <w:rPr>
                      <w:rFonts w:hint="eastAsia"/>
                      <w:color w:val="000000" w:themeColor="text1"/>
                      <w:szCs w:val="21"/>
                      <w:highlight w:val="none"/>
                      <w:lang w:eastAsia="zh-CN"/>
                      <w14:textFill>
                        <w14:solidFill>
                          <w14:schemeClr w14:val="tx1"/>
                        </w14:solidFill>
                      </w14:textFill>
                    </w:rPr>
                    <w:t>漆</w:t>
                  </w:r>
                </w:p>
              </w:tc>
              <w:tc>
                <w:tcPr>
                  <w:tcW w:w="467" w:type="pct"/>
                  <w:vMerge w:val="restart"/>
                  <w:tcBorders>
                    <w:top w:val="single" w:color="000000" w:sz="4" w:space="0"/>
                    <w:left w:val="single" w:color="000000" w:sz="4" w:space="0"/>
                    <w:right w:val="single" w:color="000000" w:sz="4" w:space="0"/>
                  </w:tcBorders>
                  <w:shd w:val="clear" w:color="auto" w:fill="auto"/>
                  <w:noWrap w:val="0"/>
                  <w:vAlign w:val="center"/>
                </w:tcPr>
                <w:p w14:paraId="366AB11B">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水性漆（</w:t>
                  </w:r>
                  <w:r>
                    <w:rPr>
                      <w:rFonts w:hint="eastAsia"/>
                      <w:color w:val="000000" w:themeColor="text1"/>
                      <w:szCs w:val="21"/>
                      <w:highlight w:val="none"/>
                      <w:lang w:val="en-US" w:eastAsia="zh-CN"/>
                      <w14:textFill>
                        <w14:solidFill>
                          <w14:schemeClr w14:val="tx1"/>
                        </w14:solidFill>
                      </w14:textFill>
                    </w:rPr>
                    <w:t>调配前</w:t>
                  </w:r>
                  <w:r>
                    <w:rPr>
                      <w:rFonts w:hint="eastAsia"/>
                      <w:color w:val="000000" w:themeColor="text1"/>
                      <w:szCs w:val="21"/>
                      <w:highlight w:val="none"/>
                      <w:lang w:eastAsia="zh-CN"/>
                      <w14:textFill>
                        <w14:solidFill>
                          <w14:schemeClr w14:val="tx1"/>
                        </w14:solidFill>
                      </w14:textFill>
                    </w:rPr>
                    <w:t>）</w:t>
                  </w:r>
                </w:p>
              </w:tc>
              <w:tc>
                <w:tcPr>
                  <w:tcW w:w="823" w:type="dxa"/>
                  <w:tcBorders>
                    <w:top w:val="single" w:color="000000" w:sz="4" w:space="0"/>
                    <w:left w:val="single" w:color="000000" w:sz="4" w:space="0"/>
                    <w:bottom w:val="single" w:color="000000" w:sz="4" w:space="0"/>
                    <w:right w:val="single" w:color="000000" w:sz="4" w:space="0"/>
                  </w:tcBorders>
                  <w:noWrap w:val="0"/>
                  <w:vAlign w:val="center"/>
                </w:tcPr>
                <w:p w14:paraId="74F0345F">
                  <w:pPr>
                    <w:keepNext w:val="0"/>
                    <w:keepLines w:val="0"/>
                    <w:widowControl/>
                    <w:suppressLineNumbers w:val="0"/>
                    <w:jc w:val="center"/>
                    <w:textAlignment w:val="center"/>
                    <w:rPr>
                      <w:rFonts w:hint="default" w:eastAsia="等线"/>
                      <w:color w:val="000000" w:themeColor="text1"/>
                      <w:kern w:val="0"/>
                      <w:sz w:val="22"/>
                      <w:szCs w:val="22"/>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7.35</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A2AA">
                  <w:pPr>
                    <w:keepNext w:val="0"/>
                    <w:keepLines w:val="0"/>
                    <w:widowControl/>
                    <w:suppressLineNumbers w:val="0"/>
                    <w:jc w:val="center"/>
                    <w:textAlignment w:val="center"/>
                    <w:rPr>
                      <w:rFonts w:hint="eastAsia"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75%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9456CF">
                  <w:pPr>
                    <w:keepNext w:val="0"/>
                    <w:keepLines w:val="0"/>
                    <w:widowControl/>
                    <w:suppressLineNumbers w:val="0"/>
                    <w:jc w:val="center"/>
                    <w:textAlignment w:val="center"/>
                    <w:rPr>
                      <w:rFonts w:hint="default"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5.51 </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40B89">
                  <w:pPr>
                    <w:keepNext w:val="0"/>
                    <w:keepLines w:val="0"/>
                    <w:widowControl/>
                    <w:suppressLineNumbers w:val="0"/>
                    <w:jc w:val="center"/>
                    <w:textAlignment w:val="center"/>
                    <w:rPr>
                      <w:rFonts w:hint="default"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10%</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83AFAFD">
                  <w:pPr>
                    <w:keepNext w:val="0"/>
                    <w:keepLines w:val="0"/>
                    <w:widowControl/>
                    <w:suppressLineNumbers w:val="0"/>
                    <w:jc w:val="center"/>
                    <w:textAlignment w:val="center"/>
                    <w:rPr>
                      <w:rFonts w:hint="default"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0.74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A285B36">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15%</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1B33DC1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1.10 </w:t>
                  </w:r>
                </w:p>
              </w:tc>
            </w:tr>
            <w:tr w14:paraId="318C3403">
              <w:tblPrEx>
                <w:tblCellMar>
                  <w:top w:w="0" w:type="dxa"/>
                  <w:left w:w="108" w:type="dxa"/>
                  <w:bottom w:w="0" w:type="dxa"/>
                  <w:right w:w="108" w:type="dxa"/>
                </w:tblCellMar>
              </w:tblPrEx>
              <w:trPr>
                <w:trHeight w:val="247" w:hRule="atLeast"/>
                <w:jc w:val="center"/>
              </w:trPr>
              <w:tc>
                <w:tcPr>
                  <w:tcW w:w="418"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3D98EF">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喷面漆</w:t>
                  </w:r>
                </w:p>
              </w:tc>
              <w:tc>
                <w:tcPr>
                  <w:tcW w:w="467" w:type="pct"/>
                  <w:vMerge w:val="continue"/>
                  <w:tcBorders>
                    <w:left w:val="single" w:color="000000" w:sz="4" w:space="0"/>
                    <w:bottom w:val="single" w:color="000000" w:sz="4" w:space="0"/>
                    <w:right w:val="single" w:color="000000" w:sz="4" w:space="0"/>
                  </w:tcBorders>
                  <w:shd w:val="clear" w:color="auto" w:fill="auto"/>
                  <w:noWrap w:val="0"/>
                  <w:vAlign w:val="center"/>
                </w:tcPr>
                <w:p w14:paraId="6FF7DED8">
                  <w:pPr>
                    <w:keepNext w:val="0"/>
                    <w:keepLines w:val="0"/>
                    <w:suppressLineNumbers w:val="0"/>
                    <w:shd w:val="clear" w:color="auto" w:fill="auto"/>
                    <w:spacing w:before="0" w:beforeAutospacing="0" w:after="0" w:afterAutospacing="0"/>
                    <w:ind w:left="0" w:leftChars="0" w:right="0" w:rightChars="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823" w:type="dxa"/>
                  <w:tcBorders>
                    <w:top w:val="single" w:color="000000" w:sz="4" w:space="0"/>
                    <w:left w:val="single" w:color="000000" w:sz="4" w:space="0"/>
                    <w:bottom w:val="single" w:color="000000" w:sz="4" w:space="0"/>
                    <w:right w:val="single" w:color="000000" w:sz="4" w:space="0"/>
                  </w:tcBorders>
                  <w:noWrap w:val="0"/>
                  <w:vAlign w:val="center"/>
                </w:tcPr>
                <w:p w14:paraId="04E5AD30">
                  <w:pPr>
                    <w:keepNext w:val="0"/>
                    <w:keepLines w:val="0"/>
                    <w:widowControl/>
                    <w:suppressLineNumbers w:val="0"/>
                    <w:jc w:val="center"/>
                    <w:textAlignment w:val="center"/>
                    <w:rPr>
                      <w:rFonts w:hint="default" w:eastAsia="等线"/>
                      <w:color w:val="000000" w:themeColor="text1"/>
                      <w:kern w:val="0"/>
                      <w:sz w:val="22"/>
                      <w:szCs w:val="22"/>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4.89</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61218">
                  <w:pPr>
                    <w:keepNext w:val="0"/>
                    <w:keepLines w:val="0"/>
                    <w:widowControl/>
                    <w:suppressLineNumbers w:val="0"/>
                    <w:jc w:val="center"/>
                    <w:textAlignment w:val="center"/>
                    <w:rPr>
                      <w:rFonts w:hint="eastAsia"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75%</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2F8016">
                  <w:pPr>
                    <w:keepNext w:val="0"/>
                    <w:keepLines w:val="0"/>
                    <w:widowControl/>
                    <w:suppressLineNumbers w:val="0"/>
                    <w:jc w:val="center"/>
                    <w:textAlignment w:val="center"/>
                    <w:rPr>
                      <w:rFonts w:hint="default"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3.67 </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EAD16">
                  <w:pPr>
                    <w:keepNext w:val="0"/>
                    <w:keepLines w:val="0"/>
                    <w:widowControl/>
                    <w:suppressLineNumbers w:val="0"/>
                    <w:jc w:val="center"/>
                    <w:textAlignment w:val="center"/>
                    <w:rPr>
                      <w:rFonts w:hint="eastAsia"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10%</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B124C">
                  <w:pPr>
                    <w:keepNext w:val="0"/>
                    <w:keepLines w:val="0"/>
                    <w:widowControl/>
                    <w:suppressLineNumbers w:val="0"/>
                    <w:jc w:val="center"/>
                    <w:textAlignment w:val="center"/>
                    <w:rPr>
                      <w:rFonts w:hint="default"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0.49 </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51EB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15%</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41E66F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0.73 </w:t>
                  </w:r>
                </w:p>
              </w:tc>
            </w:tr>
            <w:tr w14:paraId="672F47D6">
              <w:tblPrEx>
                <w:tblCellMar>
                  <w:top w:w="0" w:type="dxa"/>
                  <w:left w:w="108" w:type="dxa"/>
                  <w:bottom w:w="0" w:type="dxa"/>
                  <w:right w:w="108" w:type="dxa"/>
                </w:tblCellMar>
              </w:tblPrEx>
              <w:trPr>
                <w:trHeight w:val="270" w:hRule="atLeast"/>
                <w:jc w:val="center"/>
              </w:trPr>
              <w:tc>
                <w:tcPr>
                  <w:tcW w:w="418" w:type="pct"/>
                  <w:tcBorders>
                    <w:top w:val="single" w:color="000000" w:sz="4" w:space="0"/>
                    <w:left w:val="single" w:color="000000" w:sz="4" w:space="0"/>
                    <w:bottom w:val="single" w:color="000000" w:sz="4" w:space="0"/>
                    <w:right w:val="single" w:color="000000" w:sz="4" w:space="0"/>
                  </w:tcBorders>
                  <w:noWrap w:val="0"/>
                  <w:vAlign w:val="center"/>
                </w:tcPr>
                <w:p w14:paraId="5F049E00">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合计</w:t>
                  </w:r>
                </w:p>
              </w:tc>
              <w:tc>
                <w:tcPr>
                  <w:tcW w:w="467" w:type="pct"/>
                  <w:tcBorders>
                    <w:top w:val="single" w:color="000000" w:sz="4" w:space="0"/>
                    <w:left w:val="single" w:color="000000" w:sz="4" w:space="0"/>
                    <w:bottom w:val="single" w:color="000000" w:sz="4" w:space="0"/>
                    <w:right w:val="single" w:color="000000" w:sz="4" w:space="0"/>
                  </w:tcBorders>
                  <w:noWrap w:val="0"/>
                  <w:vAlign w:val="center"/>
                </w:tcPr>
                <w:p w14:paraId="273B37D3">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w:t>
                  </w:r>
                </w:p>
              </w:tc>
              <w:tc>
                <w:tcPr>
                  <w:tcW w:w="823" w:type="dxa"/>
                  <w:tcBorders>
                    <w:top w:val="single" w:color="000000" w:sz="4" w:space="0"/>
                    <w:left w:val="single" w:color="000000" w:sz="4" w:space="0"/>
                    <w:bottom w:val="single" w:color="000000" w:sz="4" w:space="0"/>
                    <w:right w:val="single" w:color="000000" w:sz="4" w:space="0"/>
                  </w:tcBorders>
                  <w:noWrap w:val="0"/>
                  <w:vAlign w:val="center"/>
                </w:tcPr>
                <w:p w14:paraId="556CF946">
                  <w:pPr>
                    <w:keepNext w:val="0"/>
                    <w:keepLines w:val="0"/>
                    <w:widowControl/>
                    <w:suppressLineNumbers w:val="0"/>
                    <w:jc w:val="center"/>
                    <w:textAlignment w:val="center"/>
                    <w:rPr>
                      <w:rFonts w:hint="default" w:eastAsia="等线"/>
                      <w:color w:val="000000" w:themeColor="text1"/>
                      <w:kern w:val="0"/>
                      <w:sz w:val="22"/>
                      <w:szCs w:val="22"/>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12.24</w:t>
                  </w:r>
                </w:p>
              </w:tc>
              <w:tc>
                <w:tcPr>
                  <w:tcW w:w="1025" w:type="dxa"/>
                  <w:tcBorders>
                    <w:top w:val="single" w:color="000000" w:sz="4" w:space="0"/>
                    <w:left w:val="single" w:color="000000" w:sz="4" w:space="0"/>
                    <w:bottom w:val="single" w:color="000000" w:sz="4" w:space="0"/>
                    <w:right w:val="single" w:color="000000" w:sz="4" w:space="0"/>
                  </w:tcBorders>
                  <w:noWrap w:val="0"/>
                  <w:vAlign w:val="center"/>
                </w:tcPr>
                <w:p w14:paraId="6148701C">
                  <w:pPr>
                    <w:keepNext w:val="0"/>
                    <w:keepLines w:val="0"/>
                    <w:widowControl/>
                    <w:suppressLineNumbers w:val="0"/>
                    <w:jc w:val="center"/>
                    <w:textAlignment w:val="center"/>
                    <w:rPr>
                      <w:rFonts w:hint="default" w:eastAsia="等线"/>
                      <w:color w:val="000000" w:themeColor="text1"/>
                      <w:kern w:val="0"/>
                      <w:sz w:val="22"/>
                      <w:szCs w:val="22"/>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w:t>
                  </w:r>
                </w:p>
              </w:tc>
              <w:tc>
                <w:tcPr>
                  <w:tcW w:w="897" w:type="dxa"/>
                  <w:tcBorders>
                    <w:top w:val="single" w:color="000000" w:sz="4" w:space="0"/>
                    <w:left w:val="single" w:color="000000" w:sz="4" w:space="0"/>
                    <w:bottom w:val="single" w:color="000000" w:sz="4" w:space="0"/>
                    <w:right w:val="single" w:color="000000" w:sz="4" w:space="0"/>
                  </w:tcBorders>
                  <w:noWrap w:val="0"/>
                  <w:vAlign w:val="center"/>
                </w:tcPr>
                <w:p w14:paraId="714F54A6">
                  <w:pPr>
                    <w:keepNext w:val="0"/>
                    <w:keepLines w:val="0"/>
                    <w:widowControl/>
                    <w:suppressLineNumbers w:val="0"/>
                    <w:jc w:val="center"/>
                    <w:textAlignment w:val="center"/>
                    <w:rPr>
                      <w:rFonts w:hint="default" w:eastAsia="等线"/>
                      <w:color w:val="000000" w:themeColor="text1"/>
                      <w:kern w:val="0"/>
                      <w:sz w:val="22"/>
                      <w:szCs w:val="22"/>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9.18</w:t>
                  </w:r>
                </w:p>
              </w:tc>
              <w:tc>
                <w:tcPr>
                  <w:tcW w:w="1017" w:type="dxa"/>
                  <w:tcBorders>
                    <w:top w:val="single" w:color="000000" w:sz="4" w:space="0"/>
                    <w:left w:val="single" w:color="000000" w:sz="4" w:space="0"/>
                    <w:bottom w:val="single" w:color="000000" w:sz="4" w:space="0"/>
                    <w:right w:val="single" w:color="000000" w:sz="4" w:space="0"/>
                  </w:tcBorders>
                  <w:noWrap w:val="0"/>
                  <w:vAlign w:val="center"/>
                </w:tcPr>
                <w:p w14:paraId="5AD05FFE">
                  <w:pPr>
                    <w:keepNext w:val="0"/>
                    <w:keepLines w:val="0"/>
                    <w:widowControl/>
                    <w:suppressLineNumbers w:val="0"/>
                    <w:jc w:val="center"/>
                    <w:textAlignment w:val="center"/>
                    <w:rPr>
                      <w:rFonts w:hint="default" w:eastAsia="等线"/>
                      <w:color w:val="000000" w:themeColor="text1"/>
                      <w:kern w:val="0"/>
                      <w:sz w:val="22"/>
                      <w:szCs w:val="22"/>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w:t>
                  </w:r>
                </w:p>
              </w:tc>
              <w:tc>
                <w:tcPr>
                  <w:tcW w:w="1049" w:type="dxa"/>
                  <w:tcBorders>
                    <w:top w:val="single" w:color="000000" w:sz="4" w:space="0"/>
                    <w:left w:val="single" w:color="000000" w:sz="4" w:space="0"/>
                    <w:bottom w:val="single" w:color="000000" w:sz="4" w:space="0"/>
                    <w:right w:val="single" w:color="000000" w:sz="4" w:space="0"/>
                  </w:tcBorders>
                  <w:noWrap w:val="0"/>
                  <w:vAlign w:val="center"/>
                </w:tcPr>
                <w:p w14:paraId="5D52D74E">
                  <w:pPr>
                    <w:keepNext w:val="0"/>
                    <w:keepLines w:val="0"/>
                    <w:widowControl/>
                    <w:suppressLineNumbers w:val="0"/>
                    <w:jc w:val="center"/>
                    <w:textAlignment w:val="center"/>
                    <w:rPr>
                      <w:rFonts w:hint="default" w:eastAsia="等线"/>
                      <w:color w:val="000000" w:themeColor="text1"/>
                      <w:kern w:val="0"/>
                      <w:sz w:val="22"/>
                      <w:szCs w:val="22"/>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1.23</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0AB88A91">
                  <w:pPr>
                    <w:keepNext w:val="0"/>
                    <w:keepLines w:val="0"/>
                    <w:widowControl/>
                    <w:suppressLineNumbers w:val="0"/>
                    <w:jc w:val="center"/>
                    <w:textAlignment w:val="center"/>
                    <w:rPr>
                      <w:rFonts w:hint="default" w:eastAsia="等线"/>
                      <w:color w:val="000000" w:themeColor="text1"/>
                      <w:kern w:val="0"/>
                      <w:sz w:val="22"/>
                      <w:szCs w:val="22"/>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w:t>
                  </w:r>
                </w:p>
              </w:tc>
              <w:tc>
                <w:tcPr>
                  <w:tcW w:w="893" w:type="dxa"/>
                  <w:tcBorders>
                    <w:top w:val="single" w:color="000000" w:sz="4" w:space="0"/>
                    <w:left w:val="single" w:color="000000" w:sz="4" w:space="0"/>
                    <w:bottom w:val="single" w:color="000000" w:sz="4" w:space="0"/>
                    <w:right w:val="single" w:color="000000" w:sz="4" w:space="0"/>
                  </w:tcBorders>
                  <w:noWrap w:val="0"/>
                  <w:vAlign w:val="center"/>
                </w:tcPr>
                <w:p w14:paraId="4B2689B8">
                  <w:pPr>
                    <w:keepNext w:val="0"/>
                    <w:keepLines w:val="0"/>
                    <w:widowControl/>
                    <w:suppressLineNumbers w:val="0"/>
                    <w:jc w:val="center"/>
                    <w:textAlignment w:val="center"/>
                    <w:rPr>
                      <w:rFonts w:hint="default" w:eastAsia="等线"/>
                      <w:color w:val="000000" w:themeColor="text1"/>
                      <w:kern w:val="0"/>
                      <w:sz w:val="22"/>
                      <w:szCs w:val="22"/>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 xml:space="preserve">1.83 </w:t>
                  </w:r>
                </w:p>
              </w:tc>
            </w:tr>
            <w:tr w14:paraId="4FFCC133">
              <w:tblPrEx>
                <w:tblCellMar>
                  <w:top w:w="0" w:type="dxa"/>
                  <w:left w:w="108" w:type="dxa"/>
                  <w:bottom w:w="0" w:type="dxa"/>
                  <w:right w:w="108" w:type="dxa"/>
                </w:tblCellMar>
              </w:tblPrEx>
              <w:trPr>
                <w:trHeight w:val="270" w:hRule="atLeast"/>
                <w:jc w:val="center"/>
              </w:trPr>
              <w:tc>
                <w:tcPr>
                  <w:tcW w:w="886" w:type="pct"/>
                  <w:gridSpan w:val="2"/>
                  <w:tcBorders>
                    <w:top w:val="single" w:color="000000" w:sz="4" w:space="0"/>
                    <w:left w:val="single" w:color="000000" w:sz="4" w:space="0"/>
                    <w:bottom w:val="single" w:color="000000" w:sz="4" w:space="0"/>
                    <w:right w:val="single" w:color="000000" w:sz="4" w:space="0"/>
                  </w:tcBorders>
                  <w:noWrap w:val="0"/>
                  <w:vAlign w:val="center"/>
                </w:tcPr>
                <w:p w14:paraId="5C47A0F8">
                  <w:pPr>
                    <w:keepNext w:val="0"/>
                    <w:keepLines w:val="0"/>
                    <w:suppressLineNumbers w:val="0"/>
                    <w:shd w:val="clear" w:color="auto" w:fill="auto"/>
                    <w:spacing w:before="0" w:beforeAutospacing="0" w:after="0" w:afterAutospacing="0"/>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2条线合计</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08CBF6">
                  <w:pPr>
                    <w:keepNext w:val="0"/>
                    <w:keepLines w:val="0"/>
                    <w:widowControl/>
                    <w:suppressLineNumbers w:val="0"/>
                    <w:jc w:val="center"/>
                    <w:textAlignment w:val="center"/>
                    <w:rPr>
                      <w:rFonts w:hint="default"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24.48</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2B6E97">
                  <w:pPr>
                    <w:keepNext w:val="0"/>
                    <w:keepLines w:val="0"/>
                    <w:widowControl/>
                    <w:suppressLineNumbers w:val="0"/>
                    <w:jc w:val="center"/>
                    <w:textAlignment w:val="center"/>
                    <w:rPr>
                      <w:rFonts w:hint="default"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w:t>
                  </w:r>
                </w:p>
              </w:tc>
              <w:tc>
                <w:tcPr>
                  <w:tcW w:w="89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7252A4">
                  <w:pPr>
                    <w:keepNext w:val="0"/>
                    <w:keepLines w:val="0"/>
                    <w:widowControl/>
                    <w:suppressLineNumbers w:val="0"/>
                    <w:jc w:val="center"/>
                    <w:textAlignment w:val="center"/>
                    <w:rPr>
                      <w:rFonts w:hint="default"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18.36</w:t>
                  </w:r>
                </w:p>
              </w:tc>
              <w:tc>
                <w:tcPr>
                  <w:tcW w:w="1017"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0B72FC">
                  <w:pPr>
                    <w:keepNext w:val="0"/>
                    <w:keepLines w:val="0"/>
                    <w:widowControl/>
                    <w:suppressLineNumbers w:val="0"/>
                    <w:jc w:val="center"/>
                    <w:textAlignment w:val="center"/>
                    <w:rPr>
                      <w:rFonts w:hint="default"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w:t>
                  </w:r>
                </w:p>
              </w:tc>
              <w:tc>
                <w:tcPr>
                  <w:tcW w:w="104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E726714">
                  <w:pPr>
                    <w:keepNext w:val="0"/>
                    <w:keepLines w:val="0"/>
                    <w:widowControl/>
                    <w:suppressLineNumbers w:val="0"/>
                    <w:jc w:val="center"/>
                    <w:textAlignment w:val="center"/>
                    <w:rPr>
                      <w:rFonts w:hint="default"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2.46</w:t>
                  </w:r>
                </w:p>
              </w:tc>
              <w:tc>
                <w:tcPr>
                  <w:tcW w:w="89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A5BF72F">
                  <w:pPr>
                    <w:keepNext w:val="0"/>
                    <w:keepLines w:val="0"/>
                    <w:widowControl/>
                    <w:suppressLineNumbers w:val="0"/>
                    <w:jc w:val="center"/>
                    <w:textAlignment w:val="center"/>
                    <w:rPr>
                      <w:rFonts w:hint="eastAsia"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w:t>
                  </w:r>
                </w:p>
              </w:tc>
              <w:tc>
                <w:tcPr>
                  <w:tcW w:w="89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D10CF7">
                  <w:pPr>
                    <w:keepNext w:val="0"/>
                    <w:keepLines w:val="0"/>
                    <w:widowControl/>
                    <w:suppressLineNumbers w:val="0"/>
                    <w:jc w:val="center"/>
                    <w:textAlignment w:val="center"/>
                    <w:rPr>
                      <w:rFonts w:hint="eastAsia" w:ascii="Times New Roman" w:hAnsi="Times New Roman" w:eastAsia="等线" w:cs="Times New Roman"/>
                      <w:color w:val="000000" w:themeColor="text1"/>
                      <w:kern w:val="0"/>
                      <w:sz w:val="22"/>
                      <w:szCs w:val="22"/>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3.6</w:t>
                  </w:r>
                  <w:r>
                    <w:rPr>
                      <w:rFonts w:hint="eastAsia"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6</w:t>
                  </w:r>
                </w:p>
              </w:tc>
            </w:tr>
          </w:tbl>
          <w:p w14:paraId="722C9E57">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eastAsia="宋体"/>
                <w:color w:val="000000" w:themeColor="text1"/>
                <w:sz w:val="24"/>
                <w:szCs w:val="26"/>
                <w:highlight w:val="none"/>
                <w:lang w:eastAsia="zh-CN"/>
                <w14:textFill>
                  <w14:solidFill>
                    <w14:schemeClr w14:val="tx1"/>
                  </w14:solidFill>
                </w14:textFill>
              </w:rPr>
            </w:pPr>
            <w:r>
              <w:rPr>
                <w:rFonts w:hint="eastAsia"/>
                <w:color w:val="000000" w:themeColor="text1"/>
                <w:sz w:val="24"/>
                <w:szCs w:val="26"/>
                <w:highlight w:val="none"/>
                <w14:textFill>
                  <w14:solidFill>
                    <w14:schemeClr w14:val="tx1"/>
                  </w14:solidFill>
                </w14:textFill>
              </w:rPr>
              <w:t>本项目</w:t>
            </w:r>
            <w:r>
              <w:rPr>
                <w:rFonts w:hint="eastAsia"/>
                <w:color w:val="000000" w:themeColor="text1"/>
                <w:sz w:val="24"/>
                <w:szCs w:val="26"/>
                <w:highlight w:val="none"/>
                <w:lang w:val="en-US" w:eastAsia="zh-CN"/>
                <w14:textFill>
                  <w14:solidFill>
                    <w14:schemeClr w14:val="tx1"/>
                  </w14:solidFill>
                </w14:textFill>
              </w:rPr>
              <w:t>喷涂</w:t>
            </w:r>
            <w:r>
              <w:rPr>
                <w:rFonts w:hint="eastAsia"/>
                <w:color w:val="000000" w:themeColor="text1"/>
                <w:sz w:val="24"/>
                <w:szCs w:val="26"/>
                <w:highlight w:val="none"/>
                <w14:textFill>
                  <w14:solidFill>
                    <w14:schemeClr w14:val="tx1"/>
                  </w14:solidFill>
                </w14:textFill>
              </w:rPr>
              <w:t>室全密闭设置，涂装工位上进风下出风方式对废气进行收集，同时</w:t>
            </w:r>
            <w:r>
              <w:rPr>
                <w:rFonts w:hint="eastAsia"/>
                <w:color w:val="000000" w:themeColor="text1"/>
                <w:sz w:val="24"/>
                <w:szCs w:val="26"/>
                <w:highlight w:val="none"/>
                <w:lang w:val="en-US" w:eastAsia="zh-CN"/>
                <w14:textFill>
                  <w14:solidFill>
                    <w14:schemeClr w14:val="tx1"/>
                  </w14:solidFill>
                </w14:textFill>
              </w:rPr>
              <w:t>喷涂</w:t>
            </w:r>
            <w:r>
              <w:rPr>
                <w:rFonts w:hint="eastAsia"/>
                <w:color w:val="000000" w:themeColor="text1"/>
                <w:sz w:val="24"/>
                <w:szCs w:val="26"/>
                <w:highlight w:val="none"/>
                <w14:textFill>
                  <w14:solidFill>
                    <w14:schemeClr w14:val="tx1"/>
                  </w14:solidFill>
                </w14:textFill>
              </w:rPr>
              <w:t>室保持微负压。房间仅有设人员进出口</w:t>
            </w:r>
            <w:r>
              <w:rPr>
                <w:rFonts w:hint="eastAsia"/>
                <w:color w:val="000000" w:themeColor="text1"/>
                <w:sz w:val="24"/>
                <w:szCs w:val="26"/>
                <w:highlight w:val="none"/>
                <w:lang w:val="en-US" w:eastAsia="zh-CN"/>
                <w14:textFill>
                  <w14:solidFill>
                    <w14:schemeClr w14:val="tx1"/>
                  </w14:solidFill>
                </w14:textFill>
              </w:rPr>
              <w:t>、传送带进出口</w:t>
            </w:r>
            <w:r>
              <w:rPr>
                <w:rFonts w:hint="eastAsia"/>
                <w:color w:val="000000" w:themeColor="text1"/>
                <w:sz w:val="24"/>
                <w:szCs w:val="26"/>
                <w:highlight w:val="none"/>
                <w14:textFill>
                  <w14:solidFill>
                    <w14:schemeClr w14:val="tx1"/>
                  </w14:solidFill>
                </w14:textFill>
              </w:rPr>
              <w:t>，可有效减少有机废气外溢形成无组织排放，</w:t>
            </w:r>
            <w:r>
              <w:rPr>
                <w:rFonts w:hint="eastAsia"/>
                <w:color w:val="000000" w:themeColor="text1"/>
                <w:sz w:val="24"/>
                <w:szCs w:val="26"/>
                <w:highlight w:val="none"/>
                <w:lang w:val="en-US" w:eastAsia="zh-CN"/>
                <w14:textFill>
                  <w14:solidFill>
                    <w14:schemeClr w14:val="tx1"/>
                  </w14:solidFill>
                </w14:textFill>
              </w:rPr>
              <w:t>喷涂</w:t>
            </w:r>
            <w:r>
              <w:rPr>
                <w:rFonts w:hint="eastAsia"/>
                <w:color w:val="000000" w:themeColor="text1"/>
                <w:sz w:val="24"/>
                <w:szCs w:val="26"/>
                <w:highlight w:val="none"/>
                <w14:textFill>
                  <w14:solidFill>
                    <w14:schemeClr w14:val="tx1"/>
                  </w14:solidFill>
                </w14:textFill>
              </w:rPr>
              <w:t>工序有机废气收集效率以90%计。本次评价参照《污染源源强核算技术指南 汽车制造》（HJ 1097—2020）水性涂料喷涂中空气喷涂，零部件喷涂物料中固体分附着率为40%，本项目水性漆上漆率取40%。各个工序污染物排放占比统计</w:t>
            </w:r>
            <w:r>
              <w:rPr>
                <w:rFonts w:hint="eastAsia"/>
                <w:color w:val="000000" w:themeColor="text1"/>
                <w:sz w:val="24"/>
                <w:szCs w:val="26"/>
                <w:highlight w:val="none"/>
                <w:lang w:val="en-US" w:eastAsia="zh-CN"/>
                <w14:textFill>
                  <w14:solidFill>
                    <w14:schemeClr w14:val="tx1"/>
                  </w14:solidFill>
                </w14:textFill>
              </w:rPr>
              <w:t>见下表</w:t>
            </w:r>
            <w:r>
              <w:rPr>
                <w:rFonts w:hint="eastAsia"/>
                <w:color w:val="000000" w:themeColor="text1"/>
                <w:sz w:val="24"/>
                <w:szCs w:val="26"/>
                <w:highlight w:val="none"/>
                <w:lang w:eastAsia="zh-CN"/>
                <w14:textFill>
                  <w14:solidFill>
                    <w14:schemeClr w14:val="tx1"/>
                  </w14:solidFill>
                </w14:textFill>
              </w:rPr>
              <w:t>。</w:t>
            </w:r>
          </w:p>
          <w:p w14:paraId="34E1EFF9">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b/>
                <w:bCs/>
                <w:color w:val="000000" w:themeColor="text1"/>
                <w:sz w:val="24"/>
                <w:highlight w:val="none"/>
                <w14:textFill>
                  <w14:solidFill>
                    <w14:schemeClr w14:val="tx1"/>
                  </w14:solidFill>
                </w14:textFill>
              </w:rPr>
            </w:pPr>
            <w:r>
              <w:rPr>
                <w:rFonts w:hint="default"/>
                <w:b/>
                <w:bCs/>
                <w:color w:val="000000" w:themeColor="text1"/>
                <w:sz w:val="24"/>
                <w:highlight w:val="none"/>
                <w14:textFill>
                  <w14:solidFill>
                    <w14:schemeClr w14:val="tx1"/>
                  </w14:solidFill>
                </w14:textFill>
              </w:rPr>
              <w:t>表2-</w:t>
            </w:r>
            <w:r>
              <w:rPr>
                <w:rFonts w:hint="eastAsia"/>
                <w:b/>
                <w:bCs/>
                <w:color w:val="000000" w:themeColor="text1"/>
                <w:sz w:val="24"/>
                <w:highlight w:val="none"/>
                <w:lang w:val="en-US" w:eastAsia="zh-CN"/>
                <w14:textFill>
                  <w14:solidFill>
                    <w14:schemeClr w14:val="tx1"/>
                  </w14:solidFill>
                </w14:textFill>
              </w:rPr>
              <w:t>13</w:t>
            </w:r>
            <w:r>
              <w:rPr>
                <w:rFonts w:hint="default"/>
                <w:b/>
                <w:bCs/>
                <w:color w:val="000000" w:themeColor="text1"/>
                <w:sz w:val="24"/>
                <w:highlight w:val="none"/>
                <w14:textFill>
                  <w14:solidFill>
                    <w14:schemeClr w14:val="tx1"/>
                  </w14:solidFill>
                </w14:textFill>
              </w:rPr>
              <w:t xml:space="preserve"> 各个工序污染物排放占比统计</w:t>
            </w:r>
          </w:p>
          <w:tbl>
            <w:tblPr>
              <w:tblStyle w:val="21"/>
              <w:tblW w:w="7937" w:type="dxa"/>
              <w:jc w:val="center"/>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17"/>
              <w:gridCol w:w="2165"/>
              <w:gridCol w:w="2855"/>
            </w:tblGrid>
            <w:tr w14:paraId="663BBDC5">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PrEx>
              <w:trPr>
                <w:trHeight w:val="306" w:hRule="atLeast"/>
                <w:jc w:val="center"/>
              </w:trPr>
              <w:tc>
                <w:tcPr>
                  <w:tcW w:w="1837" w:type="pct"/>
                  <w:vMerge w:val="restart"/>
                  <w:tcBorders>
                    <w:top w:val="single" w:color="auto" w:sz="4" w:space="0"/>
                    <w:left w:val="single" w:color="auto" w:sz="4" w:space="0"/>
                    <w:right w:val="single" w:color="auto" w:sz="4" w:space="0"/>
                  </w:tcBorders>
                  <w:noWrap w:val="0"/>
                  <w:vAlign w:val="center"/>
                </w:tcPr>
                <w:p w14:paraId="2A49BEF4">
                  <w:pPr>
                    <w:pStyle w:val="40"/>
                    <w:keepNext w:val="0"/>
                    <w:keepLines w:val="0"/>
                    <w:suppressLineNumbers w:val="0"/>
                    <w:shd w:val="clear" w:color="auto" w:fill="auto"/>
                    <w:spacing w:before="24" w:beforeAutospacing="0" w:after="24" w:afterAutospacing="0" w:line="240" w:lineRule="auto"/>
                    <w:ind w:left="0" w:firstLine="210"/>
                    <w:rPr>
                      <w:rFonts w:hint="default" w:ascii="Times New Roman"/>
                      <w:b/>
                      <w:bCs/>
                      <w:color w:val="000000" w:themeColor="text1"/>
                      <w:kern w:val="2"/>
                      <w:sz w:val="21"/>
                      <w:szCs w:val="21"/>
                      <w:highlight w:val="none"/>
                      <w:lang w:val="zh-CN" w:eastAsia="zh-CN" w:bidi="zh-CN"/>
                      <w14:textFill>
                        <w14:solidFill>
                          <w14:schemeClr w14:val="tx1"/>
                        </w14:solidFill>
                      </w14:textFill>
                    </w:rPr>
                  </w:pPr>
                  <w:r>
                    <w:rPr>
                      <w:rFonts w:hint="default" w:ascii="Times New Roman"/>
                      <w:b/>
                      <w:bCs/>
                      <w:color w:val="000000" w:themeColor="text1"/>
                      <w:kern w:val="2"/>
                      <w:sz w:val="21"/>
                      <w:szCs w:val="21"/>
                      <w:highlight w:val="none"/>
                      <w:lang w:val="zh-CN" w:eastAsia="zh-CN" w:bidi="zh-CN"/>
                      <w14:textFill>
                        <w14:solidFill>
                          <w14:schemeClr w14:val="tx1"/>
                        </w14:solidFill>
                      </w14:textFill>
                    </w:rPr>
                    <w:t>工序</w:t>
                  </w:r>
                </w:p>
              </w:tc>
              <w:tc>
                <w:tcPr>
                  <w:tcW w:w="3162" w:type="pct"/>
                  <w:gridSpan w:val="2"/>
                  <w:tcBorders>
                    <w:top w:val="single" w:color="auto" w:sz="4" w:space="0"/>
                    <w:left w:val="single" w:color="auto" w:sz="4" w:space="0"/>
                    <w:bottom w:val="single" w:color="auto" w:sz="4" w:space="0"/>
                    <w:right w:val="single" w:color="auto" w:sz="4" w:space="0"/>
                  </w:tcBorders>
                  <w:noWrap w:val="0"/>
                  <w:vAlign w:val="center"/>
                </w:tcPr>
                <w:p w14:paraId="3AE8D2DE">
                  <w:pPr>
                    <w:pStyle w:val="40"/>
                    <w:keepNext w:val="0"/>
                    <w:keepLines w:val="0"/>
                    <w:suppressLineNumbers w:val="0"/>
                    <w:shd w:val="clear" w:color="auto" w:fill="auto"/>
                    <w:spacing w:before="24" w:beforeAutospacing="0" w:after="24" w:afterAutospacing="0" w:line="240" w:lineRule="auto"/>
                    <w:ind w:left="0" w:firstLine="210"/>
                    <w:rPr>
                      <w:rFonts w:hint="default" w:ascii="Times New Roman"/>
                      <w:b/>
                      <w:bCs/>
                      <w:color w:val="000000" w:themeColor="text1"/>
                      <w:kern w:val="2"/>
                      <w:sz w:val="21"/>
                      <w:szCs w:val="21"/>
                      <w:highlight w:val="none"/>
                      <w:lang w:val="zh-CN" w:eastAsia="zh-CN" w:bidi="zh-CN"/>
                      <w14:textFill>
                        <w14:solidFill>
                          <w14:schemeClr w14:val="tx1"/>
                        </w14:solidFill>
                      </w14:textFill>
                    </w:rPr>
                  </w:pPr>
                  <w:r>
                    <w:rPr>
                      <w:rFonts w:hint="default" w:ascii="Times New Roman"/>
                      <w:b/>
                      <w:bCs/>
                      <w:color w:val="000000" w:themeColor="text1"/>
                      <w:kern w:val="2"/>
                      <w:sz w:val="21"/>
                      <w:szCs w:val="21"/>
                      <w:highlight w:val="none"/>
                      <w:lang w:val="zh-CN" w:eastAsia="zh-CN" w:bidi="zh-CN"/>
                      <w14:textFill>
                        <w14:solidFill>
                          <w14:schemeClr w14:val="tx1"/>
                        </w14:solidFill>
                      </w14:textFill>
                    </w:rPr>
                    <w:t>各个工序污染物排放占比</w:t>
                  </w:r>
                </w:p>
              </w:tc>
            </w:tr>
            <w:tr w14:paraId="554BB989">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837" w:type="pct"/>
                  <w:vMerge w:val="continue"/>
                  <w:tcBorders>
                    <w:left w:val="single" w:color="auto" w:sz="4" w:space="0"/>
                    <w:bottom w:val="single" w:color="auto" w:sz="4" w:space="0"/>
                    <w:right w:val="single" w:color="auto" w:sz="4" w:space="0"/>
                  </w:tcBorders>
                  <w:noWrap w:val="0"/>
                  <w:vAlign w:val="center"/>
                </w:tcPr>
                <w:p w14:paraId="2579AB5B">
                  <w:pPr>
                    <w:pStyle w:val="40"/>
                    <w:keepNext w:val="0"/>
                    <w:keepLines w:val="0"/>
                    <w:suppressLineNumbers w:val="0"/>
                    <w:shd w:val="clear" w:color="auto" w:fill="auto"/>
                    <w:spacing w:before="24" w:beforeAutospacing="0" w:after="24" w:afterAutospacing="0" w:line="240" w:lineRule="auto"/>
                    <w:ind w:left="0" w:firstLine="210"/>
                    <w:rPr>
                      <w:rFonts w:hint="default" w:ascii="Times New Roman"/>
                      <w:b/>
                      <w:bCs/>
                      <w:color w:val="000000" w:themeColor="text1"/>
                      <w:kern w:val="2"/>
                      <w:sz w:val="21"/>
                      <w:szCs w:val="21"/>
                      <w:highlight w:val="none"/>
                      <w:lang w:val="zh-CN" w:eastAsia="zh-CN" w:bidi="zh-CN"/>
                      <w14:textFill>
                        <w14:solidFill>
                          <w14:schemeClr w14:val="tx1"/>
                        </w14:solidFill>
                      </w14:textFill>
                    </w:rPr>
                  </w:pPr>
                </w:p>
              </w:tc>
              <w:tc>
                <w:tcPr>
                  <w:tcW w:w="3162" w:type="pct"/>
                  <w:gridSpan w:val="2"/>
                  <w:tcBorders>
                    <w:top w:val="single" w:color="auto" w:sz="4" w:space="0"/>
                    <w:left w:val="single" w:color="auto" w:sz="4" w:space="0"/>
                    <w:bottom w:val="single" w:color="auto" w:sz="4" w:space="0"/>
                    <w:right w:val="single" w:color="auto" w:sz="4" w:space="0"/>
                  </w:tcBorders>
                  <w:noWrap w:val="0"/>
                  <w:vAlign w:val="center"/>
                </w:tcPr>
                <w:p w14:paraId="6175B360">
                  <w:pPr>
                    <w:pStyle w:val="40"/>
                    <w:keepNext w:val="0"/>
                    <w:keepLines w:val="0"/>
                    <w:suppressLineNumbers w:val="0"/>
                    <w:shd w:val="clear" w:color="auto" w:fill="auto"/>
                    <w:spacing w:before="24" w:beforeAutospacing="0" w:after="24" w:afterAutospacing="0" w:line="240" w:lineRule="auto"/>
                    <w:ind w:left="0" w:firstLine="210"/>
                    <w:rPr>
                      <w:rFonts w:hint="default" w:ascii="Times New Roman"/>
                      <w:b/>
                      <w:bCs/>
                      <w:color w:val="000000" w:themeColor="text1"/>
                      <w:kern w:val="2"/>
                      <w:sz w:val="21"/>
                      <w:szCs w:val="21"/>
                      <w:highlight w:val="none"/>
                      <w:lang w:val="zh-CN" w:eastAsia="zh-CN" w:bidi="zh-CN"/>
                      <w14:textFill>
                        <w14:solidFill>
                          <w14:schemeClr w14:val="tx1"/>
                        </w14:solidFill>
                      </w14:textFill>
                    </w:rPr>
                  </w:pPr>
                  <w:r>
                    <w:rPr>
                      <w:rFonts w:hint="default" w:ascii="Times New Roman"/>
                      <w:b/>
                      <w:bCs/>
                      <w:color w:val="000000" w:themeColor="text1"/>
                      <w:kern w:val="2"/>
                      <w:sz w:val="21"/>
                      <w:szCs w:val="21"/>
                      <w:highlight w:val="none"/>
                      <w:lang w:val="zh-CN" w:eastAsia="zh-CN" w:bidi="zh-CN"/>
                      <w14:textFill>
                        <w14:solidFill>
                          <w14:schemeClr w14:val="tx1"/>
                        </w14:solidFill>
                      </w14:textFill>
                    </w:rPr>
                    <w:t>水性漆涂装</w:t>
                  </w:r>
                </w:p>
              </w:tc>
            </w:tr>
            <w:tr w14:paraId="76F73176">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837" w:type="pct"/>
                  <w:tcBorders>
                    <w:top w:val="single" w:color="auto" w:sz="4" w:space="0"/>
                    <w:left w:val="single" w:color="auto" w:sz="4" w:space="0"/>
                    <w:bottom w:val="single" w:color="auto" w:sz="4" w:space="0"/>
                    <w:right w:val="single" w:color="auto" w:sz="4" w:space="0"/>
                  </w:tcBorders>
                  <w:noWrap w:val="0"/>
                  <w:vAlign w:val="center"/>
                </w:tcPr>
                <w:p w14:paraId="78FC0884">
                  <w:pPr>
                    <w:pStyle w:val="40"/>
                    <w:keepNext w:val="0"/>
                    <w:keepLines w:val="0"/>
                    <w:suppressLineNumbers w:val="0"/>
                    <w:shd w:val="clear" w:color="auto" w:fill="auto"/>
                    <w:spacing w:before="24" w:beforeAutospacing="0" w:after="24" w:afterAutospacing="0" w:line="240" w:lineRule="auto"/>
                    <w:ind w:left="0" w:firstLine="210"/>
                    <w:rPr>
                      <w:rFonts w:hint="default" w:ascii="Times New Roman"/>
                      <w:color w:val="000000" w:themeColor="text1"/>
                      <w:kern w:val="2"/>
                      <w:sz w:val="21"/>
                      <w:szCs w:val="21"/>
                      <w:highlight w:val="none"/>
                      <w:lang w:val="zh-CN" w:eastAsia="zh-CN" w:bidi="zh-CN"/>
                      <w14:textFill>
                        <w14:solidFill>
                          <w14:schemeClr w14:val="tx1"/>
                        </w14:solidFill>
                      </w14:textFill>
                    </w:rPr>
                  </w:pPr>
                  <w:r>
                    <w:rPr>
                      <w:rFonts w:hint="eastAsia" w:ascii="Times New Roman"/>
                      <w:color w:val="000000" w:themeColor="text1"/>
                      <w:kern w:val="2"/>
                      <w:sz w:val="21"/>
                      <w:szCs w:val="21"/>
                      <w:highlight w:val="none"/>
                      <w:lang w:val="zh-CN" w:eastAsia="zh-CN" w:bidi="zh-CN"/>
                      <w14:textFill>
                        <w14:solidFill>
                          <w14:schemeClr w14:val="tx1"/>
                        </w14:solidFill>
                      </w14:textFill>
                    </w:rPr>
                    <w:t>备</w:t>
                  </w:r>
                  <w:r>
                    <w:rPr>
                      <w:rFonts w:hint="default" w:ascii="Times New Roman"/>
                      <w:color w:val="000000" w:themeColor="text1"/>
                      <w:kern w:val="2"/>
                      <w:sz w:val="21"/>
                      <w:szCs w:val="21"/>
                      <w:highlight w:val="none"/>
                      <w:lang w:val="zh-CN" w:eastAsia="zh-CN" w:bidi="zh-CN"/>
                      <w14:textFill>
                        <w14:solidFill>
                          <w14:schemeClr w14:val="tx1"/>
                        </w14:solidFill>
                      </w14:textFill>
                    </w:rPr>
                    <w:t>漆</w:t>
                  </w:r>
                </w:p>
              </w:tc>
              <w:tc>
                <w:tcPr>
                  <w:tcW w:w="3162" w:type="pct"/>
                  <w:gridSpan w:val="2"/>
                  <w:tcBorders>
                    <w:top w:val="single" w:color="auto" w:sz="4" w:space="0"/>
                    <w:left w:val="single" w:color="auto" w:sz="4" w:space="0"/>
                    <w:bottom w:val="single" w:color="auto" w:sz="4" w:space="0"/>
                    <w:right w:val="single" w:color="auto" w:sz="4" w:space="0"/>
                  </w:tcBorders>
                  <w:noWrap w:val="0"/>
                  <w:vAlign w:val="center"/>
                </w:tcPr>
                <w:p w14:paraId="0EC0762F">
                  <w:pPr>
                    <w:pStyle w:val="40"/>
                    <w:keepNext w:val="0"/>
                    <w:keepLines w:val="0"/>
                    <w:suppressLineNumbers w:val="0"/>
                    <w:shd w:val="clear" w:color="auto" w:fill="auto"/>
                    <w:spacing w:before="24" w:beforeAutospacing="0" w:after="24" w:afterAutospacing="0" w:line="240" w:lineRule="auto"/>
                    <w:ind w:left="0" w:firstLine="210"/>
                    <w:rPr>
                      <w:rFonts w:hint="default" w:ascii="Times New Roman"/>
                      <w:color w:val="000000" w:themeColor="text1"/>
                      <w:kern w:val="2"/>
                      <w:sz w:val="21"/>
                      <w:szCs w:val="21"/>
                      <w:highlight w:val="none"/>
                      <w:lang w:val="zh-CN" w:eastAsia="zh-CN" w:bidi="zh-CN"/>
                      <w14:textFill>
                        <w14:solidFill>
                          <w14:schemeClr w14:val="tx1"/>
                        </w14:solidFill>
                      </w14:textFill>
                    </w:rPr>
                  </w:pPr>
                  <w:r>
                    <w:rPr>
                      <w:rFonts w:hint="default" w:ascii="Times New Roman"/>
                      <w:color w:val="000000" w:themeColor="text1"/>
                      <w:kern w:val="2"/>
                      <w:sz w:val="21"/>
                      <w:szCs w:val="21"/>
                      <w:highlight w:val="none"/>
                      <w:lang w:val="en-US" w:eastAsia="zh-CN" w:bidi="zh-CN"/>
                      <w14:textFill>
                        <w14:solidFill>
                          <w14:schemeClr w14:val="tx1"/>
                        </w14:solidFill>
                      </w14:textFill>
                    </w:rPr>
                    <w:t>/</w:t>
                  </w:r>
                </w:p>
              </w:tc>
            </w:tr>
            <w:tr w14:paraId="1138FDC5">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837" w:type="pct"/>
                  <w:tcBorders>
                    <w:top w:val="single" w:color="auto" w:sz="4" w:space="0"/>
                    <w:left w:val="single" w:color="auto" w:sz="4" w:space="0"/>
                    <w:bottom w:val="single" w:color="auto" w:sz="4" w:space="0"/>
                    <w:right w:val="single" w:color="auto" w:sz="4" w:space="0"/>
                  </w:tcBorders>
                  <w:noWrap w:val="0"/>
                  <w:vAlign w:val="center"/>
                </w:tcPr>
                <w:p w14:paraId="0C4545F9">
                  <w:pPr>
                    <w:pStyle w:val="40"/>
                    <w:keepNext w:val="0"/>
                    <w:keepLines w:val="0"/>
                    <w:suppressLineNumbers w:val="0"/>
                    <w:shd w:val="clear" w:color="auto" w:fill="auto"/>
                    <w:spacing w:before="24" w:beforeAutospacing="0" w:after="24" w:afterAutospacing="0" w:line="240" w:lineRule="auto"/>
                    <w:ind w:left="0" w:firstLine="210"/>
                    <w:rPr>
                      <w:rFonts w:hint="default" w:ascii="Times New Roman"/>
                      <w:color w:val="000000" w:themeColor="text1"/>
                      <w:kern w:val="2"/>
                      <w:sz w:val="21"/>
                      <w:szCs w:val="21"/>
                      <w:highlight w:val="none"/>
                      <w:lang w:val="zh-CN" w:eastAsia="zh-CN" w:bidi="zh-CN"/>
                      <w14:textFill>
                        <w14:solidFill>
                          <w14:schemeClr w14:val="tx1"/>
                        </w14:solidFill>
                      </w14:textFill>
                    </w:rPr>
                  </w:pPr>
                  <w:r>
                    <w:rPr>
                      <w:rFonts w:hint="default" w:ascii="Times New Roman"/>
                      <w:color w:val="000000" w:themeColor="text1"/>
                      <w:kern w:val="2"/>
                      <w:sz w:val="21"/>
                      <w:szCs w:val="21"/>
                      <w:highlight w:val="none"/>
                      <w:lang w:val="zh-CN" w:eastAsia="zh-CN" w:bidi="zh-CN"/>
                      <w14:textFill>
                        <w14:solidFill>
                          <w14:schemeClr w14:val="tx1"/>
                        </w14:solidFill>
                      </w14:textFill>
                    </w:rPr>
                    <w:t>物料中固体分附着率</w:t>
                  </w:r>
                </w:p>
              </w:tc>
              <w:tc>
                <w:tcPr>
                  <w:tcW w:w="3162" w:type="pct"/>
                  <w:gridSpan w:val="2"/>
                  <w:tcBorders>
                    <w:top w:val="single" w:color="auto" w:sz="4" w:space="0"/>
                    <w:left w:val="single" w:color="auto" w:sz="4" w:space="0"/>
                    <w:bottom w:val="single" w:color="auto" w:sz="4" w:space="0"/>
                    <w:right w:val="single" w:color="auto" w:sz="4" w:space="0"/>
                  </w:tcBorders>
                  <w:noWrap w:val="0"/>
                  <w:vAlign w:val="center"/>
                </w:tcPr>
                <w:p w14:paraId="7BFA045E">
                  <w:pPr>
                    <w:pStyle w:val="40"/>
                    <w:keepNext w:val="0"/>
                    <w:keepLines w:val="0"/>
                    <w:suppressLineNumbers w:val="0"/>
                    <w:shd w:val="clear" w:color="auto" w:fill="auto"/>
                    <w:spacing w:before="24" w:beforeAutospacing="0" w:after="24" w:afterAutospacing="0" w:line="240" w:lineRule="auto"/>
                    <w:ind w:left="0" w:firstLine="210"/>
                    <w:rPr>
                      <w:rFonts w:hint="default" w:ascii="Times New Roman"/>
                      <w:color w:val="000000" w:themeColor="text1"/>
                      <w:kern w:val="2"/>
                      <w:sz w:val="21"/>
                      <w:szCs w:val="21"/>
                      <w:highlight w:val="none"/>
                      <w:lang w:val="en-US" w:eastAsia="zh-CN" w:bidi="zh-CN"/>
                      <w14:textFill>
                        <w14:solidFill>
                          <w14:schemeClr w14:val="tx1"/>
                        </w14:solidFill>
                      </w14:textFill>
                    </w:rPr>
                  </w:pPr>
                  <w:r>
                    <w:rPr>
                      <w:rFonts w:hint="eastAsia" w:ascii="Times New Roman"/>
                      <w:color w:val="000000" w:themeColor="text1"/>
                      <w:kern w:val="2"/>
                      <w:sz w:val="21"/>
                      <w:szCs w:val="21"/>
                      <w:highlight w:val="none"/>
                      <w:lang w:val="en-US" w:eastAsia="zh-CN" w:bidi="zh-CN"/>
                      <w14:textFill>
                        <w14:solidFill>
                          <w14:schemeClr w14:val="tx1"/>
                        </w14:solidFill>
                      </w14:textFill>
                    </w:rPr>
                    <w:t>40</w:t>
                  </w:r>
                  <w:r>
                    <w:rPr>
                      <w:rFonts w:hint="default" w:ascii="Times New Roman"/>
                      <w:color w:val="000000" w:themeColor="text1"/>
                      <w:kern w:val="2"/>
                      <w:sz w:val="21"/>
                      <w:szCs w:val="21"/>
                      <w:highlight w:val="none"/>
                      <w:lang w:val="en-US" w:eastAsia="zh-CN" w:bidi="zh-CN"/>
                      <w14:textFill>
                        <w14:solidFill>
                          <w14:schemeClr w14:val="tx1"/>
                        </w14:solidFill>
                      </w14:textFill>
                    </w:rPr>
                    <w:t>%</w:t>
                  </w:r>
                </w:p>
              </w:tc>
            </w:tr>
            <w:tr w14:paraId="093434A4">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837" w:type="pct"/>
                  <w:tcBorders>
                    <w:top w:val="single" w:color="auto" w:sz="4" w:space="0"/>
                    <w:left w:val="single" w:color="auto" w:sz="4" w:space="0"/>
                    <w:bottom w:val="single" w:color="auto" w:sz="4" w:space="0"/>
                    <w:right w:val="single" w:color="auto" w:sz="4" w:space="0"/>
                  </w:tcBorders>
                  <w:noWrap w:val="0"/>
                  <w:vAlign w:val="center"/>
                </w:tcPr>
                <w:p w14:paraId="16BBCCFB">
                  <w:pPr>
                    <w:pStyle w:val="40"/>
                    <w:keepNext w:val="0"/>
                    <w:keepLines w:val="0"/>
                    <w:suppressLineNumbers w:val="0"/>
                    <w:shd w:val="clear" w:color="auto" w:fill="auto"/>
                    <w:spacing w:before="24" w:beforeAutospacing="0" w:after="24" w:afterAutospacing="0" w:line="240" w:lineRule="auto"/>
                    <w:ind w:left="0" w:firstLine="210"/>
                    <w:rPr>
                      <w:rFonts w:hint="default" w:ascii="Times New Roman"/>
                      <w:color w:val="000000" w:themeColor="text1"/>
                      <w:kern w:val="2"/>
                      <w:sz w:val="21"/>
                      <w:szCs w:val="21"/>
                      <w:highlight w:val="none"/>
                      <w:lang w:val="en-US" w:eastAsia="zh-CN" w:bidi="zh-CN"/>
                      <w14:textFill>
                        <w14:solidFill>
                          <w14:schemeClr w14:val="tx1"/>
                        </w14:solidFill>
                      </w14:textFill>
                    </w:rPr>
                  </w:pPr>
                  <w:r>
                    <w:rPr>
                      <w:rFonts w:hint="default" w:ascii="Times New Roman"/>
                      <w:color w:val="000000" w:themeColor="text1"/>
                      <w:kern w:val="2"/>
                      <w:sz w:val="21"/>
                      <w:szCs w:val="21"/>
                      <w:highlight w:val="none"/>
                      <w:lang w:val="zh-CN" w:eastAsia="zh-CN" w:bidi="zh-CN"/>
                      <w14:textFill>
                        <w14:solidFill>
                          <w14:schemeClr w14:val="tx1"/>
                        </w14:solidFill>
                      </w14:textFill>
                    </w:rPr>
                    <w:t>喷涂</w:t>
                  </w:r>
                </w:p>
              </w:tc>
              <w:tc>
                <w:tcPr>
                  <w:tcW w:w="1363" w:type="pct"/>
                  <w:vMerge w:val="restart"/>
                  <w:tcBorders>
                    <w:top w:val="single" w:color="auto" w:sz="4" w:space="0"/>
                    <w:left w:val="single" w:color="auto" w:sz="4" w:space="0"/>
                    <w:right w:val="single" w:color="auto" w:sz="4" w:space="0"/>
                  </w:tcBorders>
                  <w:noWrap w:val="0"/>
                  <w:vAlign w:val="center"/>
                </w:tcPr>
                <w:p w14:paraId="0D13300E">
                  <w:pPr>
                    <w:pStyle w:val="40"/>
                    <w:keepNext w:val="0"/>
                    <w:keepLines w:val="0"/>
                    <w:suppressLineNumbers w:val="0"/>
                    <w:shd w:val="clear" w:color="auto" w:fill="auto"/>
                    <w:spacing w:before="24" w:beforeAutospacing="0" w:after="24" w:afterAutospacing="0" w:line="240" w:lineRule="auto"/>
                    <w:ind w:left="0" w:leftChars="0" w:firstLine="0" w:firstLineChars="0"/>
                    <w:jc w:val="center"/>
                    <w:rPr>
                      <w:rFonts w:hint="default" w:ascii="Times New Roman"/>
                      <w:color w:val="000000" w:themeColor="text1"/>
                      <w:kern w:val="2"/>
                      <w:sz w:val="21"/>
                      <w:szCs w:val="21"/>
                      <w:highlight w:val="none"/>
                      <w:lang w:val="zh-CN" w:eastAsia="zh-CN" w:bidi="zh-CN"/>
                      <w14:textFill>
                        <w14:solidFill>
                          <w14:schemeClr w14:val="tx1"/>
                        </w14:solidFill>
                      </w14:textFill>
                    </w:rPr>
                  </w:pPr>
                  <w:r>
                    <w:rPr>
                      <w:rFonts w:hint="eastAsia" w:ascii="Times New Roman"/>
                      <w:color w:val="000000" w:themeColor="text1"/>
                      <w:kern w:val="2"/>
                      <w:sz w:val="21"/>
                      <w:szCs w:val="21"/>
                      <w:highlight w:val="none"/>
                      <w:lang w:val="zh-CN" w:eastAsia="zh-CN" w:bidi="zh-CN"/>
                      <w14:textFill>
                        <w14:solidFill>
                          <w14:schemeClr w14:val="tx1"/>
                        </w14:solidFill>
                      </w14:textFill>
                    </w:rPr>
                    <w:t>挥发性有机物</w:t>
                  </w:r>
                </w:p>
              </w:tc>
              <w:tc>
                <w:tcPr>
                  <w:tcW w:w="1798" w:type="pct"/>
                  <w:tcBorders>
                    <w:top w:val="single" w:color="auto" w:sz="4" w:space="0"/>
                    <w:left w:val="single" w:color="auto" w:sz="4" w:space="0"/>
                    <w:right w:val="single" w:color="auto" w:sz="4" w:space="0"/>
                  </w:tcBorders>
                  <w:noWrap w:val="0"/>
                  <w:vAlign w:val="center"/>
                </w:tcPr>
                <w:p w14:paraId="2132AF97">
                  <w:pPr>
                    <w:pStyle w:val="40"/>
                    <w:keepNext w:val="0"/>
                    <w:keepLines w:val="0"/>
                    <w:suppressLineNumbers w:val="0"/>
                    <w:shd w:val="clear" w:color="auto" w:fill="auto"/>
                    <w:spacing w:before="24" w:beforeAutospacing="0" w:after="24" w:afterAutospacing="0" w:line="240" w:lineRule="auto"/>
                    <w:ind w:left="0" w:firstLine="210"/>
                    <w:rPr>
                      <w:rFonts w:hint="default" w:ascii="Times New Roman"/>
                      <w:color w:val="000000" w:themeColor="text1"/>
                      <w:kern w:val="2"/>
                      <w:sz w:val="21"/>
                      <w:szCs w:val="21"/>
                      <w:highlight w:val="none"/>
                      <w:lang w:val="en-US" w:eastAsia="zh-CN" w:bidi="zh-CN"/>
                      <w14:textFill>
                        <w14:solidFill>
                          <w14:schemeClr w14:val="tx1"/>
                        </w14:solidFill>
                      </w14:textFill>
                    </w:rPr>
                  </w:pPr>
                  <w:r>
                    <w:rPr>
                      <w:rFonts w:hint="eastAsia" w:ascii="Times New Roman"/>
                      <w:color w:val="000000" w:themeColor="text1"/>
                      <w:kern w:val="2"/>
                      <w:sz w:val="21"/>
                      <w:szCs w:val="21"/>
                      <w:highlight w:val="none"/>
                      <w:lang w:val="en-US" w:eastAsia="zh-CN" w:bidi="zh-CN"/>
                      <w14:textFill>
                        <w14:solidFill>
                          <w14:schemeClr w14:val="tx1"/>
                        </w14:solidFill>
                      </w14:textFill>
                    </w:rPr>
                    <w:t>80</w:t>
                  </w:r>
                  <w:r>
                    <w:rPr>
                      <w:rFonts w:hint="default" w:ascii="Times New Roman"/>
                      <w:color w:val="000000" w:themeColor="text1"/>
                      <w:kern w:val="2"/>
                      <w:sz w:val="21"/>
                      <w:szCs w:val="21"/>
                      <w:highlight w:val="none"/>
                      <w:lang w:val="zh-CN" w:eastAsia="zh-CN" w:bidi="zh-CN"/>
                      <w14:textFill>
                        <w14:solidFill>
                          <w14:schemeClr w14:val="tx1"/>
                        </w14:solidFill>
                      </w14:textFill>
                    </w:rPr>
                    <w:t>%</w:t>
                  </w:r>
                </w:p>
              </w:tc>
            </w:tr>
            <w:tr w14:paraId="7237E354">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837" w:type="pct"/>
                  <w:tcBorders>
                    <w:top w:val="single" w:color="auto" w:sz="4" w:space="0"/>
                    <w:left w:val="single" w:color="auto" w:sz="4" w:space="0"/>
                    <w:bottom w:val="single" w:color="auto" w:sz="4" w:space="0"/>
                    <w:right w:val="single" w:color="auto" w:sz="4" w:space="0"/>
                  </w:tcBorders>
                  <w:noWrap w:val="0"/>
                  <w:vAlign w:val="center"/>
                </w:tcPr>
                <w:p w14:paraId="40C60801">
                  <w:pPr>
                    <w:pStyle w:val="40"/>
                    <w:keepNext w:val="0"/>
                    <w:keepLines w:val="0"/>
                    <w:suppressLineNumbers w:val="0"/>
                    <w:shd w:val="clear" w:color="auto" w:fill="auto"/>
                    <w:spacing w:before="24" w:beforeAutospacing="0" w:after="24" w:afterAutospacing="0" w:line="240" w:lineRule="auto"/>
                    <w:ind w:left="0" w:firstLine="210"/>
                    <w:rPr>
                      <w:rFonts w:hint="default" w:ascii="Times New Roman"/>
                      <w:color w:val="000000" w:themeColor="text1"/>
                      <w:kern w:val="2"/>
                      <w:sz w:val="21"/>
                      <w:szCs w:val="21"/>
                      <w:highlight w:val="none"/>
                      <w:lang w:val="zh-CN" w:eastAsia="zh-CN" w:bidi="zh-CN"/>
                      <w14:textFill>
                        <w14:solidFill>
                          <w14:schemeClr w14:val="tx1"/>
                        </w14:solidFill>
                      </w14:textFill>
                    </w:rPr>
                  </w:pPr>
                  <w:r>
                    <w:rPr>
                      <w:rFonts w:hint="default" w:ascii="Times New Roman"/>
                      <w:color w:val="000000" w:themeColor="text1"/>
                      <w:kern w:val="2"/>
                      <w:sz w:val="21"/>
                      <w:szCs w:val="21"/>
                      <w:highlight w:val="none"/>
                      <w:lang w:val="zh-CN" w:eastAsia="zh-CN" w:bidi="zh-CN"/>
                      <w14:textFill>
                        <w14:solidFill>
                          <w14:schemeClr w14:val="tx1"/>
                        </w14:solidFill>
                      </w14:textFill>
                    </w:rPr>
                    <w:t>流平固化</w:t>
                  </w:r>
                </w:p>
              </w:tc>
              <w:tc>
                <w:tcPr>
                  <w:tcW w:w="1363" w:type="pct"/>
                  <w:vMerge w:val="continue"/>
                  <w:tcBorders>
                    <w:left w:val="single" w:color="auto" w:sz="4" w:space="0"/>
                    <w:right w:val="single" w:color="auto" w:sz="4" w:space="0"/>
                  </w:tcBorders>
                  <w:noWrap w:val="0"/>
                  <w:vAlign w:val="center"/>
                </w:tcPr>
                <w:p w14:paraId="1F40A884">
                  <w:pPr>
                    <w:pStyle w:val="40"/>
                    <w:keepNext w:val="0"/>
                    <w:keepLines w:val="0"/>
                    <w:suppressLineNumbers w:val="0"/>
                    <w:shd w:val="clear" w:color="auto" w:fill="auto"/>
                    <w:spacing w:before="24" w:beforeAutospacing="0" w:after="24" w:afterAutospacing="0" w:line="240" w:lineRule="auto"/>
                    <w:ind w:left="0" w:firstLine="210"/>
                    <w:rPr>
                      <w:rFonts w:hint="default" w:ascii="Times New Roman"/>
                      <w:color w:val="000000" w:themeColor="text1"/>
                      <w:kern w:val="2"/>
                      <w:sz w:val="21"/>
                      <w:szCs w:val="21"/>
                      <w:highlight w:val="none"/>
                      <w:lang w:val="en-US" w:eastAsia="zh-CN" w:bidi="zh-CN"/>
                      <w14:textFill>
                        <w14:solidFill>
                          <w14:schemeClr w14:val="tx1"/>
                        </w14:solidFill>
                      </w14:textFill>
                    </w:rPr>
                  </w:pPr>
                </w:p>
              </w:tc>
              <w:tc>
                <w:tcPr>
                  <w:tcW w:w="1798" w:type="pct"/>
                  <w:tcBorders>
                    <w:left w:val="single" w:color="auto" w:sz="4" w:space="0"/>
                    <w:right w:val="single" w:color="auto" w:sz="4" w:space="0"/>
                  </w:tcBorders>
                  <w:noWrap w:val="0"/>
                  <w:vAlign w:val="center"/>
                </w:tcPr>
                <w:p w14:paraId="38BAA4B8">
                  <w:pPr>
                    <w:pStyle w:val="40"/>
                    <w:keepNext w:val="0"/>
                    <w:keepLines w:val="0"/>
                    <w:suppressLineNumbers w:val="0"/>
                    <w:shd w:val="clear" w:color="auto" w:fill="auto"/>
                    <w:spacing w:before="24" w:beforeAutospacing="0" w:after="24" w:afterAutospacing="0" w:line="240" w:lineRule="auto"/>
                    <w:ind w:left="0" w:firstLine="210"/>
                    <w:rPr>
                      <w:rFonts w:hint="default" w:ascii="Times New Roman"/>
                      <w:color w:val="000000" w:themeColor="text1"/>
                      <w:kern w:val="2"/>
                      <w:sz w:val="21"/>
                      <w:szCs w:val="21"/>
                      <w:highlight w:val="none"/>
                      <w:lang w:val="en-US" w:eastAsia="zh-CN" w:bidi="zh-CN"/>
                      <w14:textFill>
                        <w14:solidFill>
                          <w14:schemeClr w14:val="tx1"/>
                        </w14:solidFill>
                      </w14:textFill>
                    </w:rPr>
                  </w:pPr>
                  <w:r>
                    <w:rPr>
                      <w:rFonts w:hint="default" w:ascii="Times New Roman"/>
                      <w:color w:val="000000" w:themeColor="text1"/>
                      <w:kern w:val="2"/>
                      <w:sz w:val="21"/>
                      <w:szCs w:val="21"/>
                      <w:highlight w:val="none"/>
                      <w:lang w:val="en-US" w:eastAsia="zh-CN" w:bidi="zh-CN"/>
                      <w14:textFill>
                        <w14:solidFill>
                          <w14:schemeClr w14:val="tx1"/>
                        </w14:solidFill>
                      </w14:textFill>
                    </w:rPr>
                    <w:t>15%</w:t>
                  </w:r>
                </w:p>
              </w:tc>
            </w:tr>
            <w:tr w14:paraId="24327E7B">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1837" w:type="pct"/>
                  <w:tcBorders>
                    <w:top w:val="single" w:color="auto" w:sz="4" w:space="0"/>
                    <w:left w:val="single" w:color="auto" w:sz="4" w:space="0"/>
                    <w:bottom w:val="single" w:color="auto" w:sz="4" w:space="0"/>
                    <w:right w:val="single" w:color="auto" w:sz="4" w:space="0"/>
                  </w:tcBorders>
                  <w:noWrap w:val="0"/>
                  <w:vAlign w:val="center"/>
                </w:tcPr>
                <w:p w14:paraId="777E6E4A">
                  <w:pPr>
                    <w:pStyle w:val="40"/>
                    <w:keepNext w:val="0"/>
                    <w:keepLines w:val="0"/>
                    <w:suppressLineNumbers w:val="0"/>
                    <w:shd w:val="clear" w:color="auto" w:fill="auto"/>
                    <w:spacing w:before="24" w:beforeAutospacing="0" w:after="24" w:afterAutospacing="0" w:line="240" w:lineRule="auto"/>
                    <w:ind w:left="0" w:firstLine="210"/>
                    <w:rPr>
                      <w:rFonts w:hint="default" w:ascii="Times New Roman"/>
                      <w:color w:val="000000" w:themeColor="text1"/>
                      <w:kern w:val="2"/>
                      <w:sz w:val="21"/>
                      <w:szCs w:val="21"/>
                      <w:highlight w:val="none"/>
                      <w:lang w:val="zh-CN" w:eastAsia="zh-CN" w:bidi="zh-CN"/>
                      <w14:textFill>
                        <w14:solidFill>
                          <w14:schemeClr w14:val="tx1"/>
                        </w14:solidFill>
                      </w14:textFill>
                    </w:rPr>
                  </w:pPr>
                  <w:r>
                    <w:rPr>
                      <w:rFonts w:hint="eastAsia" w:ascii="Times New Roman"/>
                      <w:color w:val="000000" w:themeColor="text1"/>
                      <w:kern w:val="2"/>
                      <w:sz w:val="21"/>
                      <w:szCs w:val="21"/>
                      <w:highlight w:val="none"/>
                      <w:lang w:val="en-US" w:eastAsia="zh-CN" w:bidi="zh-CN"/>
                      <w14:textFill>
                        <w14:solidFill>
                          <w14:schemeClr w14:val="tx1"/>
                        </w14:solidFill>
                      </w14:textFill>
                    </w:rPr>
                    <w:t>烘干</w:t>
                  </w:r>
                </w:p>
              </w:tc>
              <w:tc>
                <w:tcPr>
                  <w:tcW w:w="1363" w:type="pct"/>
                  <w:vMerge w:val="continue"/>
                  <w:tcBorders>
                    <w:left w:val="single" w:color="auto" w:sz="4" w:space="0"/>
                    <w:bottom w:val="single" w:color="auto" w:sz="4" w:space="0"/>
                    <w:right w:val="single" w:color="auto" w:sz="4" w:space="0"/>
                  </w:tcBorders>
                  <w:noWrap w:val="0"/>
                  <w:vAlign w:val="center"/>
                </w:tcPr>
                <w:p w14:paraId="68E0BCD2">
                  <w:pPr>
                    <w:pStyle w:val="40"/>
                    <w:keepNext w:val="0"/>
                    <w:keepLines w:val="0"/>
                    <w:suppressLineNumbers w:val="0"/>
                    <w:shd w:val="clear" w:color="auto" w:fill="auto"/>
                    <w:spacing w:before="24" w:beforeAutospacing="0" w:after="24" w:afterAutospacing="0" w:line="240" w:lineRule="auto"/>
                    <w:ind w:left="0" w:firstLine="210"/>
                    <w:rPr>
                      <w:rFonts w:hint="default" w:ascii="Times New Roman"/>
                      <w:color w:val="000000" w:themeColor="text1"/>
                      <w:kern w:val="2"/>
                      <w:sz w:val="21"/>
                      <w:szCs w:val="21"/>
                      <w:highlight w:val="none"/>
                      <w:lang w:val="zh-CN" w:eastAsia="zh-CN" w:bidi="zh-CN"/>
                      <w14:textFill>
                        <w14:solidFill>
                          <w14:schemeClr w14:val="tx1"/>
                        </w14:solidFill>
                      </w14:textFill>
                    </w:rPr>
                  </w:pPr>
                </w:p>
              </w:tc>
              <w:tc>
                <w:tcPr>
                  <w:tcW w:w="1798" w:type="pct"/>
                  <w:tcBorders>
                    <w:left w:val="single" w:color="auto" w:sz="4" w:space="0"/>
                    <w:bottom w:val="single" w:color="auto" w:sz="4" w:space="0"/>
                    <w:right w:val="single" w:color="auto" w:sz="4" w:space="0"/>
                  </w:tcBorders>
                  <w:noWrap w:val="0"/>
                  <w:vAlign w:val="center"/>
                </w:tcPr>
                <w:p w14:paraId="7D1D92A9">
                  <w:pPr>
                    <w:pStyle w:val="40"/>
                    <w:keepNext w:val="0"/>
                    <w:keepLines w:val="0"/>
                    <w:suppressLineNumbers w:val="0"/>
                    <w:shd w:val="clear" w:color="auto" w:fill="auto"/>
                    <w:spacing w:before="24" w:beforeAutospacing="0" w:after="24" w:afterAutospacing="0" w:line="240" w:lineRule="auto"/>
                    <w:ind w:left="0" w:firstLine="210"/>
                    <w:rPr>
                      <w:rFonts w:hint="default" w:ascii="Times New Roman"/>
                      <w:color w:val="000000" w:themeColor="text1"/>
                      <w:kern w:val="2"/>
                      <w:sz w:val="21"/>
                      <w:szCs w:val="21"/>
                      <w:highlight w:val="none"/>
                      <w:lang w:val="zh-CN" w:eastAsia="zh-CN" w:bidi="zh-CN"/>
                      <w14:textFill>
                        <w14:solidFill>
                          <w14:schemeClr w14:val="tx1"/>
                        </w14:solidFill>
                      </w14:textFill>
                    </w:rPr>
                  </w:pPr>
                  <w:r>
                    <w:rPr>
                      <w:rFonts w:hint="eastAsia" w:ascii="Times New Roman"/>
                      <w:color w:val="000000" w:themeColor="text1"/>
                      <w:kern w:val="2"/>
                      <w:sz w:val="21"/>
                      <w:szCs w:val="21"/>
                      <w:highlight w:val="none"/>
                      <w:lang w:val="en-US" w:eastAsia="zh-CN" w:bidi="zh-CN"/>
                      <w14:textFill>
                        <w14:solidFill>
                          <w14:schemeClr w14:val="tx1"/>
                        </w14:solidFill>
                      </w14:textFill>
                    </w:rPr>
                    <w:t>5</w:t>
                  </w:r>
                  <w:r>
                    <w:rPr>
                      <w:rFonts w:hint="default" w:ascii="Times New Roman"/>
                      <w:color w:val="000000" w:themeColor="text1"/>
                      <w:kern w:val="2"/>
                      <w:sz w:val="21"/>
                      <w:szCs w:val="21"/>
                      <w:highlight w:val="none"/>
                      <w:lang w:val="zh-CN" w:eastAsia="zh-CN" w:bidi="zh-CN"/>
                      <w14:textFill>
                        <w14:solidFill>
                          <w14:schemeClr w14:val="tx1"/>
                        </w14:solidFill>
                      </w14:textFill>
                    </w:rPr>
                    <w:t>%</w:t>
                  </w:r>
                </w:p>
              </w:tc>
            </w:tr>
            <w:tr w14:paraId="75EC4777">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jc w:val="center"/>
              </w:trPr>
              <w:tc>
                <w:tcPr>
                  <w:tcW w:w="5000" w:type="pct"/>
                  <w:gridSpan w:val="3"/>
                  <w:tcBorders>
                    <w:top w:val="single" w:color="auto" w:sz="4" w:space="0"/>
                    <w:left w:val="single" w:color="auto" w:sz="4" w:space="0"/>
                    <w:bottom w:val="single" w:color="auto" w:sz="4" w:space="0"/>
                    <w:right w:val="single" w:color="auto" w:sz="4" w:space="0"/>
                  </w:tcBorders>
                  <w:noWrap w:val="0"/>
                  <w:vAlign w:val="center"/>
                </w:tcPr>
                <w:p w14:paraId="4DF16826">
                  <w:pPr>
                    <w:pStyle w:val="40"/>
                    <w:keepNext w:val="0"/>
                    <w:keepLines w:val="0"/>
                    <w:suppressLineNumbers w:val="0"/>
                    <w:shd w:val="clear" w:color="auto" w:fill="auto"/>
                    <w:spacing w:before="24" w:beforeAutospacing="0" w:after="24" w:afterAutospacing="0" w:line="240" w:lineRule="auto"/>
                    <w:ind w:left="0" w:leftChars="0" w:firstLine="0" w:firstLineChars="0"/>
                    <w:jc w:val="both"/>
                    <w:rPr>
                      <w:rFonts w:hint="default"/>
                      <w:color w:val="000000" w:themeColor="text1"/>
                      <w:sz w:val="21"/>
                      <w:szCs w:val="21"/>
                      <w:highlight w:val="none"/>
                      <w14:textFill>
                        <w14:solidFill>
                          <w14:schemeClr w14:val="tx1"/>
                        </w14:solidFill>
                      </w14:textFill>
                    </w:rPr>
                  </w:pPr>
                  <w:r>
                    <w:rPr>
                      <w:rFonts w:hint="default" w:ascii="Times New Roman"/>
                      <w:color w:val="000000" w:themeColor="text1"/>
                      <w:kern w:val="2"/>
                      <w:sz w:val="21"/>
                      <w:szCs w:val="21"/>
                      <w:highlight w:val="none"/>
                      <w:lang w:val="zh-CN" w:eastAsia="zh-CN" w:bidi="zh-CN"/>
                      <w14:textFill>
                        <w14:solidFill>
                          <w14:schemeClr w14:val="tx1"/>
                        </w14:solidFill>
                      </w14:textFill>
                    </w:rPr>
                    <w:t>注：（</w:t>
                  </w:r>
                  <w:r>
                    <w:rPr>
                      <w:rFonts w:hint="default" w:ascii="Times New Roman"/>
                      <w:color w:val="000000" w:themeColor="text1"/>
                      <w:kern w:val="2"/>
                      <w:sz w:val="21"/>
                      <w:szCs w:val="21"/>
                      <w:highlight w:val="none"/>
                      <w:lang w:val="en-US" w:eastAsia="zh-CN" w:bidi="zh-CN"/>
                      <w14:textFill>
                        <w14:solidFill>
                          <w14:schemeClr w14:val="tx1"/>
                        </w14:solidFill>
                      </w14:textFill>
                    </w:rPr>
                    <w:t>1</w:t>
                  </w:r>
                  <w:r>
                    <w:rPr>
                      <w:rFonts w:hint="default" w:ascii="Times New Roman"/>
                      <w:color w:val="000000" w:themeColor="text1"/>
                      <w:kern w:val="2"/>
                      <w:sz w:val="21"/>
                      <w:szCs w:val="21"/>
                      <w:highlight w:val="none"/>
                      <w:lang w:val="zh-CN" w:eastAsia="zh-CN" w:bidi="zh-CN"/>
                      <w14:textFill>
                        <w14:solidFill>
                          <w14:schemeClr w14:val="tx1"/>
                        </w14:solidFill>
                      </w14:textFill>
                    </w:rPr>
                    <w:t>）参照《污染物源强核算指南 汽车制造》附录E“</w:t>
                  </w:r>
                  <w:r>
                    <w:rPr>
                      <w:rFonts w:hint="eastAsia" w:ascii="Times New Roman"/>
                      <w:color w:val="000000" w:themeColor="text1"/>
                      <w:kern w:val="2"/>
                      <w:sz w:val="21"/>
                      <w:szCs w:val="21"/>
                      <w:highlight w:val="none"/>
                      <w:lang w:val="en-US" w:eastAsia="zh-CN" w:bidi="zh-CN"/>
                      <w14:textFill>
                        <w14:solidFill>
                          <w14:schemeClr w14:val="tx1"/>
                        </w14:solidFill>
                      </w14:textFill>
                    </w:rPr>
                    <w:t>零部件喷涂</w:t>
                  </w:r>
                  <w:r>
                    <w:rPr>
                      <w:rFonts w:hint="default" w:ascii="Times New Roman"/>
                      <w:color w:val="000000" w:themeColor="text1"/>
                      <w:kern w:val="2"/>
                      <w:sz w:val="21"/>
                      <w:szCs w:val="21"/>
                      <w:highlight w:val="none"/>
                      <w:lang w:val="zh-CN" w:eastAsia="zh-CN" w:bidi="zh-CN"/>
                      <w14:textFill>
                        <w14:solidFill>
                          <w14:schemeClr w14:val="tx1"/>
                        </w14:solidFill>
                      </w14:textFill>
                    </w:rPr>
                    <w:t>”</w:t>
                  </w:r>
                  <w:r>
                    <w:rPr>
                      <w:rFonts w:hint="eastAsia" w:ascii="Times New Roman"/>
                      <w:color w:val="000000" w:themeColor="text1"/>
                      <w:kern w:val="2"/>
                      <w:sz w:val="21"/>
                      <w:szCs w:val="21"/>
                      <w:highlight w:val="none"/>
                      <w:lang w:val="zh-CN" w:eastAsia="zh-CN" w:bidi="zh-CN"/>
                      <w14:textFill>
                        <w14:solidFill>
                          <w14:schemeClr w14:val="tx1"/>
                        </w14:solidFill>
                      </w14:textFill>
                    </w:rPr>
                    <w:t>，</w:t>
                  </w:r>
                  <w:r>
                    <w:rPr>
                      <w:rFonts w:hint="default" w:ascii="Times New Roman"/>
                      <w:color w:val="000000" w:themeColor="text1"/>
                      <w:kern w:val="2"/>
                      <w:szCs w:val="21"/>
                      <w:highlight w:val="none"/>
                      <w14:textFill>
                        <w14:solidFill>
                          <w14:schemeClr w14:val="tx1"/>
                        </w14:solidFill>
                      </w14:textFill>
                    </w:rPr>
                    <w:t>水性涂料喷涂</w:t>
                  </w:r>
                  <w:r>
                    <w:rPr>
                      <w:rFonts w:hint="eastAsia" w:ascii="Times New Roman"/>
                      <w:color w:val="000000" w:themeColor="text1"/>
                      <w:kern w:val="2"/>
                      <w:szCs w:val="21"/>
                      <w:highlight w:val="none"/>
                      <w:lang w:eastAsia="zh-CN"/>
                      <w14:textFill>
                        <w14:solidFill>
                          <w14:schemeClr w14:val="tx1"/>
                        </w14:solidFill>
                      </w14:textFill>
                    </w:rPr>
                    <w:t>，</w:t>
                  </w:r>
                  <w:r>
                    <w:rPr>
                      <w:rFonts w:hint="default" w:ascii="Times New Roman"/>
                      <w:color w:val="000000" w:themeColor="text1"/>
                      <w:kern w:val="2"/>
                      <w:szCs w:val="21"/>
                      <w:highlight w:val="none"/>
                      <w14:textFill>
                        <w14:solidFill>
                          <w14:schemeClr w14:val="tx1"/>
                        </w14:solidFill>
                      </w14:textFill>
                    </w:rPr>
                    <w:t>空气喷涂</w:t>
                  </w:r>
                  <w:r>
                    <w:rPr>
                      <w:rFonts w:hint="default" w:ascii="Times New Roman"/>
                      <w:color w:val="000000" w:themeColor="text1"/>
                      <w:kern w:val="2"/>
                      <w:sz w:val="21"/>
                      <w:szCs w:val="21"/>
                      <w:highlight w:val="none"/>
                      <w:lang w:val="zh-CN" w:eastAsia="zh-CN" w:bidi="zh-CN"/>
                      <w14:textFill>
                        <w14:solidFill>
                          <w14:schemeClr w14:val="tx1"/>
                        </w14:solidFill>
                      </w14:textFill>
                    </w:rPr>
                    <w:t>。</w:t>
                  </w:r>
                </w:p>
              </w:tc>
            </w:tr>
          </w:tbl>
          <w:p w14:paraId="5F4F3710">
            <w:pPr>
              <w:keepNext w:val="0"/>
              <w:keepLines w:val="0"/>
              <w:suppressLineNumbers w:val="0"/>
              <w:shd w:val="clear" w:color="auto" w:fill="auto"/>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default"/>
                <w:color w:val="000000" w:themeColor="text1"/>
                <w:sz w:val="24"/>
                <w:highlight w:val="none"/>
                <w14:textFill>
                  <w14:solidFill>
                    <w14:schemeClr w14:val="tx1"/>
                  </w14:solidFill>
                </w14:textFill>
              </w:rPr>
              <w:t>根据以上各表数据，涂装各工序污染物产生量统计见表2-1</w:t>
            </w:r>
            <w:r>
              <w:rPr>
                <w:rFonts w:hint="eastAsia"/>
                <w:color w:val="000000" w:themeColor="text1"/>
                <w:sz w:val="24"/>
                <w:highlight w:val="none"/>
                <w:lang w:val="en-US" w:eastAsia="zh-CN"/>
                <w14:textFill>
                  <w14:solidFill>
                    <w14:schemeClr w14:val="tx1"/>
                  </w14:solidFill>
                </w14:textFill>
              </w:rPr>
              <w:t>4</w:t>
            </w:r>
            <w:r>
              <w:rPr>
                <w:rFonts w:hint="default"/>
                <w:color w:val="000000" w:themeColor="text1"/>
                <w:sz w:val="24"/>
                <w:highlight w:val="none"/>
                <w14:textFill>
                  <w14:solidFill>
                    <w14:schemeClr w14:val="tx1"/>
                  </w14:solidFill>
                </w14:textFill>
              </w:rPr>
              <w:t>。</w:t>
            </w:r>
          </w:p>
          <w:p w14:paraId="5C105A77">
            <w:pPr>
              <w:keepNext w:val="0"/>
              <w:keepLines w:val="0"/>
              <w:suppressLineNumbers w:val="0"/>
              <w:shd w:val="clear" w:color="auto" w:fill="auto"/>
              <w:adjustRightInd w:val="0"/>
              <w:snapToGrid w:val="0"/>
              <w:spacing w:before="0" w:beforeAutospacing="0" w:after="0" w:afterAutospacing="0" w:line="460" w:lineRule="exact"/>
              <w:ind w:left="0" w:right="0"/>
              <w:jc w:val="center"/>
              <w:rPr>
                <w:rFonts w:hint="default"/>
                <w:b/>
                <w:bCs/>
                <w:color w:val="000000" w:themeColor="text1"/>
                <w:sz w:val="24"/>
                <w:highlight w:val="none"/>
                <w14:textFill>
                  <w14:solidFill>
                    <w14:schemeClr w14:val="tx1"/>
                  </w14:solidFill>
                </w14:textFill>
              </w:rPr>
            </w:pPr>
            <w:r>
              <w:rPr>
                <w:rFonts w:hint="default"/>
                <w:b/>
                <w:bCs/>
                <w:color w:val="000000" w:themeColor="text1"/>
                <w:sz w:val="24"/>
                <w:highlight w:val="none"/>
                <w14:textFill>
                  <w14:solidFill>
                    <w14:schemeClr w14:val="tx1"/>
                  </w14:solidFill>
                </w14:textFill>
              </w:rPr>
              <w:t>表2-1</w:t>
            </w:r>
            <w:r>
              <w:rPr>
                <w:rFonts w:hint="eastAsia"/>
                <w:b/>
                <w:bCs/>
                <w:color w:val="000000" w:themeColor="text1"/>
                <w:sz w:val="24"/>
                <w:highlight w:val="none"/>
                <w:lang w:val="en-US" w:eastAsia="zh-CN"/>
                <w14:textFill>
                  <w14:solidFill>
                    <w14:schemeClr w14:val="tx1"/>
                  </w14:solidFill>
                </w14:textFill>
              </w:rPr>
              <w:t>4</w:t>
            </w:r>
            <w:r>
              <w:rPr>
                <w:rFonts w:hint="default"/>
                <w:b/>
                <w:bCs/>
                <w:color w:val="000000" w:themeColor="text1"/>
                <w:sz w:val="24"/>
                <w:highlight w:val="none"/>
                <w14:textFill>
                  <w14:solidFill>
                    <w14:schemeClr w14:val="tx1"/>
                  </w14:solidFill>
                </w14:textFill>
              </w:rPr>
              <w:t xml:space="preserve"> 涂装加工各工序污染物产生量统计</w:t>
            </w:r>
          </w:p>
          <w:tbl>
            <w:tblPr>
              <w:tblStyle w:val="21"/>
              <w:tblW w:w="476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0"/>
              <w:gridCol w:w="1519"/>
              <w:gridCol w:w="1410"/>
              <w:gridCol w:w="1349"/>
              <w:gridCol w:w="960"/>
              <w:gridCol w:w="988"/>
              <w:gridCol w:w="1142"/>
            </w:tblGrid>
            <w:tr w14:paraId="27162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vMerge w:val="restart"/>
                  <w:tcBorders>
                    <w:tl2br w:val="nil"/>
                    <w:tr2bl w:val="nil"/>
                  </w:tcBorders>
                  <w:noWrap w:val="0"/>
                  <w:vAlign w:val="center"/>
                </w:tcPr>
                <w:p w14:paraId="49B17232">
                  <w:pPr>
                    <w:keepNext w:val="0"/>
                    <w:keepLines w:val="0"/>
                    <w:widowControl/>
                    <w:suppressLineNumbers w:val="0"/>
                    <w:shd w:val="clear" w:color="auto" w:fill="auto"/>
                    <w:spacing w:before="0" w:beforeAutospacing="0" w:after="0" w:afterAutospacing="0"/>
                    <w:ind w:left="0" w:right="0"/>
                    <w:jc w:val="center"/>
                    <w:textAlignment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kern w:val="0"/>
                      <w:sz w:val="21"/>
                      <w:szCs w:val="21"/>
                      <w:highlight w:val="none"/>
                      <w:lang w:bidi="ar"/>
                      <w14:textFill>
                        <w14:solidFill>
                          <w14:schemeClr w14:val="tx1"/>
                        </w14:solidFill>
                      </w14:textFill>
                    </w:rPr>
                    <w:t>序号</w:t>
                  </w:r>
                </w:p>
              </w:tc>
              <w:tc>
                <w:tcPr>
                  <w:tcW w:w="957" w:type="pct"/>
                  <w:vMerge w:val="restart"/>
                  <w:tcBorders>
                    <w:tl2br w:val="nil"/>
                    <w:tr2bl w:val="nil"/>
                  </w:tcBorders>
                  <w:noWrap w:val="0"/>
                  <w:vAlign w:val="center"/>
                </w:tcPr>
                <w:p w14:paraId="7CC8DF1F">
                  <w:pPr>
                    <w:keepNext w:val="0"/>
                    <w:keepLines w:val="0"/>
                    <w:widowControl/>
                    <w:suppressLineNumbers w:val="0"/>
                    <w:shd w:val="clear" w:color="auto" w:fill="auto"/>
                    <w:spacing w:before="0" w:beforeAutospacing="0" w:after="0" w:afterAutospacing="0"/>
                    <w:ind w:left="0" w:right="0"/>
                    <w:jc w:val="center"/>
                    <w:textAlignment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kern w:val="0"/>
                      <w:sz w:val="21"/>
                      <w:szCs w:val="21"/>
                      <w:highlight w:val="none"/>
                      <w:lang w:bidi="ar"/>
                      <w14:textFill>
                        <w14:solidFill>
                          <w14:schemeClr w14:val="tx1"/>
                        </w14:solidFill>
                      </w14:textFill>
                    </w:rPr>
                    <w:t>污染源</w:t>
                  </w:r>
                </w:p>
              </w:tc>
              <w:tc>
                <w:tcPr>
                  <w:tcW w:w="889" w:type="pct"/>
                  <w:vMerge w:val="restart"/>
                  <w:tcBorders>
                    <w:tl2br w:val="nil"/>
                    <w:tr2bl w:val="nil"/>
                  </w:tcBorders>
                  <w:noWrap w:val="0"/>
                  <w:vAlign w:val="center"/>
                </w:tcPr>
                <w:p w14:paraId="0BEB573D">
                  <w:pPr>
                    <w:keepNext w:val="0"/>
                    <w:keepLines w:val="0"/>
                    <w:widowControl/>
                    <w:suppressLineNumbers w:val="0"/>
                    <w:shd w:val="clear" w:color="auto" w:fill="auto"/>
                    <w:spacing w:before="0" w:beforeAutospacing="0" w:after="0" w:afterAutospacing="0"/>
                    <w:ind w:left="0" w:right="0"/>
                    <w:jc w:val="center"/>
                    <w:textAlignment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kern w:val="0"/>
                      <w:sz w:val="21"/>
                      <w:szCs w:val="21"/>
                      <w:highlight w:val="none"/>
                      <w:lang w:bidi="ar"/>
                      <w14:textFill>
                        <w14:solidFill>
                          <w14:schemeClr w14:val="tx1"/>
                        </w14:solidFill>
                      </w14:textFill>
                    </w:rPr>
                    <w:t>污染物</w:t>
                  </w:r>
                </w:p>
              </w:tc>
              <w:tc>
                <w:tcPr>
                  <w:tcW w:w="850" w:type="pct"/>
                  <w:vMerge w:val="restart"/>
                  <w:tcBorders>
                    <w:tl2br w:val="nil"/>
                    <w:tr2bl w:val="nil"/>
                  </w:tcBorders>
                  <w:noWrap w:val="0"/>
                  <w:vAlign w:val="center"/>
                </w:tcPr>
                <w:p w14:paraId="352336D7">
                  <w:pPr>
                    <w:keepNext w:val="0"/>
                    <w:keepLines w:val="0"/>
                    <w:widowControl/>
                    <w:suppressLineNumbers w:val="0"/>
                    <w:shd w:val="clear" w:color="auto" w:fill="auto"/>
                    <w:spacing w:before="0" w:beforeAutospacing="0" w:after="0" w:afterAutospacing="0"/>
                    <w:ind w:left="0" w:right="0"/>
                    <w:jc w:val="center"/>
                    <w:textAlignment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kern w:val="0"/>
                      <w:sz w:val="21"/>
                      <w:szCs w:val="21"/>
                      <w:highlight w:val="none"/>
                      <w:lang w:bidi="ar"/>
                      <w14:textFill>
                        <w14:solidFill>
                          <w14:schemeClr w14:val="tx1"/>
                        </w14:solidFill>
                      </w14:textFill>
                    </w:rPr>
                    <w:t>排放规律(h/a)</w:t>
                  </w:r>
                </w:p>
              </w:tc>
              <w:tc>
                <w:tcPr>
                  <w:tcW w:w="1948" w:type="pct"/>
                  <w:gridSpan w:val="3"/>
                  <w:tcBorders>
                    <w:tl2br w:val="nil"/>
                    <w:tr2bl w:val="nil"/>
                  </w:tcBorders>
                  <w:noWrap w:val="0"/>
                  <w:vAlign w:val="center"/>
                </w:tcPr>
                <w:p w14:paraId="5F963941">
                  <w:pPr>
                    <w:keepNext w:val="0"/>
                    <w:keepLines w:val="0"/>
                    <w:widowControl/>
                    <w:suppressLineNumbers w:val="0"/>
                    <w:shd w:val="clear" w:color="auto" w:fill="auto"/>
                    <w:spacing w:before="0" w:beforeAutospacing="0" w:after="0" w:afterAutospacing="0"/>
                    <w:ind w:left="0" w:right="0"/>
                    <w:jc w:val="center"/>
                    <w:textAlignment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kern w:val="0"/>
                      <w:sz w:val="21"/>
                      <w:szCs w:val="21"/>
                      <w:highlight w:val="none"/>
                      <w:lang w:bidi="ar"/>
                      <w14:textFill>
                        <w14:solidFill>
                          <w14:schemeClr w14:val="tx1"/>
                        </w14:solidFill>
                      </w14:textFill>
                    </w:rPr>
                    <w:t>污染物产生量</w:t>
                  </w:r>
                </w:p>
              </w:tc>
            </w:tr>
            <w:tr w14:paraId="4487B0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vMerge w:val="continue"/>
                  <w:tcBorders>
                    <w:tl2br w:val="nil"/>
                    <w:tr2bl w:val="nil"/>
                  </w:tcBorders>
                  <w:noWrap w:val="0"/>
                  <w:vAlign w:val="center"/>
                </w:tcPr>
                <w:p w14:paraId="2ECE4714">
                  <w:pPr>
                    <w:keepNext w:val="0"/>
                    <w:keepLines w:val="0"/>
                    <w:suppressLineNumbers w:val="0"/>
                    <w:shd w:val="clear" w:color="auto" w:fill="auto"/>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p>
              </w:tc>
              <w:tc>
                <w:tcPr>
                  <w:tcW w:w="957" w:type="pct"/>
                  <w:vMerge w:val="continue"/>
                  <w:tcBorders>
                    <w:tl2br w:val="nil"/>
                    <w:tr2bl w:val="nil"/>
                  </w:tcBorders>
                  <w:noWrap w:val="0"/>
                  <w:vAlign w:val="center"/>
                </w:tcPr>
                <w:p w14:paraId="5160E056">
                  <w:pPr>
                    <w:keepNext w:val="0"/>
                    <w:keepLines w:val="0"/>
                    <w:suppressLineNumbers w:val="0"/>
                    <w:shd w:val="clear" w:color="auto" w:fill="auto"/>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p>
              </w:tc>
              <w:tc>
                <w:tcPr>
                  <w:tcW w:w="889" w:type="pct"/>
                  <w:vMerge w:val="continue"/>
                  <w:tcBorders>
                    <w:tl2br w:val="nil"/>
                    <w:tr2bl w:val="nil"/>
                  </w:tcBorders>
                  <w:noWrap w:val="0"/>
                  <w:vAlign w:val="center"/>
                </w:tcPr>
                <w:p w14:paraId="1A6E7496">
                  <w:pPr>
                    <w:keepNext w:val="0"/>
                    <w:keepLines w:val="0"/>
                    <w:suppressLineNumbers w:val="0"/>
                    <w:shd w:val="clear" w:color="auto" w:fill="auto"/>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p>
              </w:tc>
              <w:tc>
                <w:tcPr>
                  <w:tcW w:w="850" w:type="pct"/>
                  <w:vMerge w:val="continue"/>
                  <w:tcBorders>
                    <w:tl2br w:val="nil"/>
                    <w:tr2bl w:val="nil"/>
                  </w:tcBorders>
                  <w:noWrap w:val="0"/>
                  <w:vAlign w:val="center"/>
                </w:tcPr>
                <w:p w14:paraId="227C52F1">
                  <w:pPr>
                    <w:keepNext w:val="0"/>
                    <w:keepLines w:val="0"/>
                    <w:suppressLineNumbers w:val="0"/>
                    <w:shd w:val="clear" w:color="auto" w:fill="auto"/>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p>
              </w:tc>
              <w:tc>
                <w:tcPr>
                  <w:tcW w:w="605" w:type="pct"/>
                  <w:tcBorders>
                    <w:tl2br w:val="nil"/>
                    <w:tr2bl w:val="nil"/>
                  </w:tcBorders>
                  <w:noWrap w:val="0"/>
                  <w:vAlign w:val="center"/>
                </w:tcPr>
                <w:p w14:paraId="0EBAFD88">
                  <w:pPr>
                    <w:keepNext w:val="0"/>
                    <w:keepLines w:val="0"/>
                    <w:widowControl/>
                    <w:suppressLineNumbers w:val="0"/>
                    <w:shd w:val="clear" w:color="auto" w:fill="auto"/>
                    <w:spacing w:before="0" w:beforeAutospacing="0" w:after="0" w:afterAutospacing="0"/>
                    <w:ind w:left="0" w:right="0"/>
                    <w:jc w:val="center"/>
                    <w:textAlignment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kern w:val="0"/>
                      <w:sz w:val="21"/>
                      <w:szCs w:val="21"/>
                      <w:highlight w:val="none"/>
                      <w:lang w:bidi="ar"/>
                      <w14:textFill>
                        <w14:solidFill>
                          <w14:schemeClr w14:val="tx1"/>
                        </w14:solidFill>
                      </w14:textFill>
                    </w:rPr>
                    <w:t>核算方法</w:t>
                  </w:r>
                </w:p>
              </w:tc>
              <w:tc>
                <w:tcPr>
                  <w:tcW w:w="623" w:type="pct"/>
                  <w:tcBorders>
                    <w:tl2br w:val="nil"/>
                    <w:tr2bl w:val="nil"/>
                  </w:tcBorders>
                  <w:noWrap w:val="0"/>
                  <w:vAlign w:val="center"/>
                </w:tcPr>
                <w:p w14:paraId="29A81556">
                  <w:pPr>
                    <w:keepNext w:val="0"/>
                    <w:keepLines w:val="0"/>
                    <w:widowControl/>
                    <w:suppressLineNumbers w:val="0"/>
                    <w:shd w:val="clear" w:color="auto" w:fill="auto"/>
                    <w:spacing w:before="0" w:beforeAutospacing="0" w:after="0" w:afterAutospacing="0"/>
                    <w:ind w:left="0" w:right="0"/>
                    <w:jc w:val="center"/>
                    <w:textAlignment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kern w:val="0"/>
                      <w:sz w:val="21"/>
                      <w:szCs w:val="21"/>
                      <w:highlight w:val="none"/>
                      <w:lang w:bidi="ar"/>
                      <w14:textFill>
                        <w14:solidFill>
                          <w14:schemeClr w14:val="tx1"/>
                        </w14:solidFill>
                      </w14:textFill>
                    </w:rPr>
                    <w:t>产生量(t/a)</w:t>
                  </w:r>
                </w:p>
              </w:tc>
              <w:tc>
                <w:tcPr>
                  <w:tcW w:w="720" w:type="pct"/>
                  <w:tcBorders>
                    <w:tl2br w:val="nil"/>
                    <w:tr2bl w:val="nil"/>
                  </w:tcBorders>
                  <w:noWrap w:val="0"/>
                  <w:vAlign w:val="center"/>
                </w:tcPr>
                <w:p w14:paraId="2041C940">
                  <w:pPr>
                    <w:keepNext w:val="0"/>
                    <w:keepLines w:val="0"/>
                    <w:widowControl/>
                    <w:suppressLineNumbers w:val="0"/>
                    <w:shd w:val="clear" w:color="auto" w:fill="auto"/>
                    <w:spacing w:before="0" w:beforeAutospacing="0" w:after="0" w:afterAutospacing="0"/>
                    <w:ind w:left="0" w:right="0"/>
                    <w:jc w:val="center"/>
                    <w:textAlignment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kern w:val="0"/>
                      <w:sz w:val="21"/>
                      <w:szCs w:val="21"/>
                      <w:highlight w:val="none"/>
                      <w:lang w:bidi="ar"/>
                      <w14:textFill>
                        <w14:solidFill>
                          <w14:schemeClr w14:val="tx1"/>
                        </w14:solidFill>
                      </w14:textFill>
                    </w:rPr>
                    <w:t>产生速率(kg/h)</w:t>
                  </w:r>
                </w:p>
              </w:tc>
            </w:tr>
            <w:tr w14:paraId="3798E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5000" w:type="pct"/>
                  <w:gridSpan w:val="7"/>
                  <w:tcBorders>
                    <w:tl2br w:val="nil"/>
                    <w:tr2bl w:val="nil"/>
                  </w:tcBorders>
                  <w:noWrap w:val="0"/>
                  <w:vAlign w:val="center"/>
                </w:tcPr>
                <w:p w14:paraId="32E62C9E">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1#生产线</w:t>
                  </w:r>
                  <w:r>
                    <w:rPr>
                      <w:rFonts w:hint="default"/>
                      <w:color w:val="000000" w:themeColor="text1"/>
                      <w:kern w:val="0"/>
                      <w:sz w:val="21"/>
                      <w:szCs w:val="21"/>
                      <w:highlight w:val="none"/>
                      <w:lang w:bidi="ar"/>
                      <w14:textFill>
                        <w14:solidFill>
                          <w14:schemeClr w14:val="tx1"/>
                        </w14:solidFill>
                      </w14:textFill>
                    </w:rPr>
                    <w:t>有组织收集</w:t>
                  </w:r>
                </w:p>
              </w:tc>
            </w:tr>
            <w:tr w14:paraId="59794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vMerge w:val="restart"/>
                  <w:tcBorders>
                    <w:tl2br w:val="nil"/>
                    <w:tr2bl w:val="nil"/>
                  </w:tcBorders>
                  <w:noWrap w:val="0"/>
                  <w:vAlign w:val="center"/>
                </w:tcPr>
                <w:p w14:paraId="504F643E">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w:t>
                  </w:r>
                </w:p>
              </w:tc>
              <w:tc>
                <w:tcPr>
                  <w:tcW w:w="957" w:type="pct"/>
                  <w:vMerge w:val="restart"/>
                  <w:tcBorders>
                    <w:tl2br w:val="nil"/>
                    <w:tr2bl w:val="nil"/>
                  </w:tcBorders>
                  <w:shd w:val="clear" w:color="auto" w:fill="auto"/>
                  <w:noWrap w:val="0"/>
                  <w:vAlign w:val="center"/>
                </w:tcPr>
                <w:p w14:paraId="49120557">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底漆喷漆</w:t>
                  </w:r>
                </w:p>
              </w:tc>
              <w:tc>
                <w:tcPr>
                  <w:tcW w:w="889" w:type="pct"/>
                  <w:tcBorders>
                    <w:tl2br w:val="nil"/>
                    <w:tr2bl w:val="nil"/>
                  </w:tcBorders>
                  <w:shd w:val="clear" w:color="auto" w:fill="auto"/>
                  <w:noWrap w:val="0"/>
                  <w:vAlign w:val="center"/>
                </w:tcPr>
                <w:p w14:paraId="71DBF512">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非甲烷总烃</w:t>
                  </w:r>
                </w:p>
              </w:tc>
              <w:tc>
                <w:tcPr>
                  <w:tcW w:w="1349" w:type="dxa"/>
                  <w:tcBorders>
                    <w:tl2br w:val="nil"/>
                    <w:tr2bl w:val="nil"/>
                  </w:tcBorders>
                  <w:noWrap w:val="0"/>
                  <w:vAlign w:val="center"/>
                </w:tcPr>
                <w:p w14:paraId="26114C67">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605" w:type="pct"/>
                  <w:vMerge w:val="restart"/>
                  <w:tcBorders>
                    <w:tl2br w:val="nil"/>
                    <w:tr2bl w:val="nil"/>
                  </w:tcBorders>
                  <w:noWrap w:val="0"/>
                  <w:vAlign w:val="center"/>
                </w:tcPr>
                <w:p w14:paraId="4678ED4F">
                  <w:pPr>
                    <w:keepNext w:val="0"/>
                    <w:keepLines w:val="0"/>
                    <w:widowControl/>
                    <w:suppressLineNumbers w:val="0"/>
                    <w:shd w:val="clear" w:color="auto" w:fill="auto"/>
                    <w:spacing w:before="0" w:beforeAutospacing="0" w:after="0" w:afterAutospacing="0"/>
                    <w:ind w:left="0" w:right="0"/>
                    <w:jc w:val="center"/>
                    <w:textAlignment w:val="center"/>
                    <w:rPr>
                      <w:rFonts w:hint="eastAsia"/>
                      <w:color w:val="000000" w:themeColor="text1"/>
                      <w:kern w:val="0"/>
                      <w:sz w:val="21"/>
                      <w:szCs w:val="21"/>
                      <w:highlight w:val="none"/>
                      <w:lang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物料</w:t>
                  </w:r>
                </w:p>
                <w:p w14:paraId="1B29F7D4">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衡算</w:t>
                  </w:r>
                </w:p>
              </w:tc>
              <w:tc>
                <w:tcPr>
                  <w:tcW w:w="623" w:type="pct"/>
                  <w:tcBorders>
                    <w:tl2br w:val="nil"/>
                    <w:tr2bl w:val="nil"/>
                  </w:tcBorders>
                  <w:shd w:val="clear" w:color="auto" w:fill="auto"/>
                  <w:noWrap w:val="0"/>
                  <w:vAlign w:val="center"/>
                </w:tcPr>
                <w:p w14:paraId="0B51A589">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0.533</w:t>
                  </w:r>
                </w:p>
              </w:tc>
              <w:tc>
                <w:tcPr>
                  <w:tcW w:w="1142" w:type="dxa"/>
                  <w:tcBorders>
                    <w:tl2br w:val="nil"/>
                    <w:tr2bl w:val="nil"/>
                  </w:tcBorders>
                  <w:shd w:val="clear" w:color="auto" w:fill="auto"/>
                  <w:noWrap w:val="0"/>
                  <w:vAlign w:val="center"/>
                </w:tcPr>
                <w:p w14:paraId="31BB59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1.33 </w:t>
                  </w:r>
                </w:p>
              </w:tc>
            </w:tr>
            <w:tr w14:paraId="689303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vMerge w:val="continue"/>
                  <w:tcBorders>
                    <w:tl2br w:val="nil"/>
                    <w:tr2bl w:val="nil"/>
                  </w:tcBorders>
                  <w:noWrap w:val="0"/>
                  <w:vAlign w:val="center"/>
                </w:tcPr>
                <w:p w14:paraId="3C326156">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957" w:type="pct"/>
                  <w:vMerge w:val="continue"/>
                  <w:tcBorders>
                    <w:tl2br w:val="nil"/>
                    <w:tr2bl w:val="nil"/>
                  </w:tcBorders>
                  <w:noWrap w:val="0"/>
                  <w:vAlign w:val="center"/>
                </w:tcPr>
                <w:p w14:paraId="57EB82B4">
                  <w:pPr>
                    <w:keepNext w:val="0"/>
                    <w:keepLines w:val="0"/>
                    <w:suppressLineNumbers w:val="0"/>
                    <w:shd w:val="clear" w:color="auto" w:fill="auto"/>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889" w:type="pct"/>
                  <w:tcBorders>
                    <w:tl2br w:val="nil"/>
                    <w:tr2bl w:val="nil"/>
                  </w:tcBorders>
                  <w:shd w:val="clear" w:color="auto" w:fill="auto"/>
                  <w:noWrap w:val="0"/>
                  <w:vAlign w:val="center"/>
                </w:tcPr>
                <w:p w14:paraId="61D997BB">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颗粒物</w:t>
                  </w:r>
                </w:p>
              </w:tc>
              <w:tc>
                <w:tcPr>
                  <w:tcW w:w="1349" w:type="dxa"/>
                  <w:tcBorders>
                    <w:tl2br w:val="nil"/>
                    <w:tr2bl w:val="nil"/>
                  </w:tcBorders>
                  <w:noWrap w:val="0"/>
                  <w:vAlign w:val="center"/>
                </w:tcPr>
                <w:p w14:paraId="4B737248">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605" w:type="pct"/>
                  <w:vMerge w:val="continue"/>
                  <w:tcBorders>
                    <w:tl2br w:val="nil"/>
                    <w:tr2bl w:val="nil"/>
                  </w:tcBorders>
                  <w:noWrap w:val="0"/>
                  <w:vAlign w:val="center"/>
                </w:tcPr>
                <w:p w14:paraId="025A5E37">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noWrap w:val="0"/>
                  <w:vAlign w:val="center"/>
                </w:tcPr>
                <w:p w14:paraId="04E87BDB">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2.975</w:t>
                  </w:r>
                </w:p>
              </w:tc>
              <w:tc>
                <w:tcPr>
                  <w:tcW w:w="1142" w:type="dxa"/>
                  <w:tcBorders>
                    <w:tl2br w:val="nil"/>
                    <w:tr2bl w:val="nil"/>
                  </w:tcBorders>
                  <w:shd w:val="clear" w:color="auto" w:fill="auto"/>
                  <w:noWrap w:val="0"/>
                  <w:vAlign w:val="center"/>
                </w:tcPr>
                <w:p w14:paraId="3FA02B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7.44 </w:t>
                  </w:r>
                </w:p>
              </w:tc>
            </w:tr>
            <w:tr w14:paraId="1C183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tcBorders>
                    <w:tl2br w:val="nil"/>
                    <w:tr2bl w:val="nil"/>
                  </w:tcBorders>
                  <w:noWrap w:val="0"/>
                  <w:vAlign w:val="center"/>
                </w:tcPr>
                <w:p w14:paraId="6F84A851">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w:t>
                  </w:r>
                </w:p>
              </w:tc>
              <w:tc>
                <w:tcPr>
                  <w:tcW w:w="957" w:type="pct"/>
                  <w:tcBorders>
                    <w:tl2br w:val="nil"/>
                    <w:tr2bl w:val="nil"/>
                  </w:tcBorders>
                  <w:shd w:val="clear" w:color="auto" w:fill="auto"/>
                  <w:noWrap w:val="0"/>
                  <w:vAlign w:val="center"/>
                </w:tcPr>
                <w:p w14:paraId="6A9CEB3B">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底漆</w:t>
                  </w:r>
                  <w:r>
                    <w:rPr>
                      <w:rFonts w:hint="default"/>
                      <w:color w:val="000000" w:themeColor="text1"/>
                      <w:kern w:val="0"/>
                      <w:sz w:val="21"/>
                      <w:szCs w:val="21"/>
                      <w:highlight w:val="none"/>
                      <w:lang w:bidi="ar"/>
                      <w14:textFill>
                        <w14:solidFill>
                          <w14:schemeClr w14:val="tx1"/>
                        </w14:solidFill>
                      </w14:textFill>
                    </w:rPr>
                    <w:t>流平固化</w:t>
                  </w:r>
                </w:p>
              </w:tc>
              <w:tc>
                <w:tcPr>
                  <w:tcW w:w="889" w:type="pct"/>
                  <w:tcBorders>
                    <w:tl2br w:val="nil"/>
                    <w:tr2bl w:val="nil"/>
                  </w:tcBorders>
                  <w:shd w:val="clear" w:color="auto" w:fill="auto"/>
                  <w:noWrap w:val="0"/>
                  <w:vAlign w:val="center"/>
                </w:tcPr>
                <w:p w14:paraId="136F2005">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非甲烷总烃</w:t>
                  </w:r>
                </w:p>
              </w:tc>
              <w:tc>
                <w:tcPr>
                  <w:tcW w:w="1349" w:type="dxa"/>
                  <w:tcBorders>
                    <w:tl2br w:val="nil"/>
                    <w:tr2bl w:val="nil"/>
                  </w:tcBorders>
                  <w:noWrap w:val="0"/>
                  <w:vAlign w:val="center"/>
                </w:tcPr>
                <w:p w14:paraId="34201F84">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240</w:t>
                  </w:r>
                </w:p>
              </w:tc>
              <w:tc>
                <w:tcPr>
                  <w:tcW w:w="605" w:type="pct"/>
                  <w:vMerge w:val="continue"/>
                  <w:tcBorders>
                    <w:tl2br w:val="nil"/>
                    <w:tr2bl w:val="nil"/>
                  </w:tcBorders>
                  <w:noWrap w:val="0"/>
                  <w:vAlign w:val="center"/>
                </w:tcPr>
                <w:p w14:paraId="40A50D0E">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noWrap w:val="0"/>
                  <w:vAlign w:val="center"/>
                </w:tcPr>
                <w:p w14:paraId="35261D7D">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0.100</w:t>
                  </w:r>
                </w:p>
              </w:tc>
              <w:tc>
                <w:tcPr>
                  <w:tcW w:w="1142" w:type="dxa"/>
                  <w:tcBorders>
                    <w:tl2br w:val="nil"/>
                    <w:tr2bl w:val="nil"/>
                  </w:tcBorders>
                  <w:noWrap w:val="0"/>
                  <w:vAlign w:val="center"/>
                </w:tcPr>
                <w:p w14:paraId="58B5F8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0.42 </w:t>
                  </w:r>
                </w:p>
              </w:tc>
            </w:tr>
            <w:tr w14:paraId="45B8E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tcBorders>
                    <w:tl2br w:val="nil"/>
                    <w:tr2bl w:val="nil"/>
                  </w:tcBorders>
                  <w:noWrap w:val="0"/>
                  <w:vAlign w:val="center"/>
                </w:tcPr>
                <w:p w14:paraId="7B4955DF">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3</w:t>
                  </w:r>
                </w:p>
              </w:tc>
              <w:tc>
                <w:tcPr>
                  <w:tcW w:w="957" w:type="pct"/>
                  <w:tcBorders>
                    <w:tl2br w:val="nil"/>
                    <w:tr2bl w:val="nil"/>
                  </w:tcBorders>
                  <w:shd w:val="clear" w:color="auto" w:fill="auto"/>
                  <w:noWrap w:val="0"/>
                  <w:vAlign w:val="center"/>
                </w:tcPr>
                <w:p w14:paraId="20797954">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底漆烘干</w:t>
                  </w:r>
                </w:p>
              </w:tc>
              <w:tc>
                <w:tcPr>
                  <w:tcW w:w="889" w:type="pct"/>
                  <w:tcBorders>
                    <w:tl2br w:val="nil"/>
                    <w:tr2bl w:val="nil"/>
                  </w:tcBorders>
                  <w:shd w:val="clear" w:color="auto" w:fill="auto"/>
                  <w:noWrap w:val="0"/>
                  <w:vAlign w:val="center"/>
                </w:tcPr>
                <w:p w14:paraId="79D64C18">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非甲烷总烃</w:t>
                  </w:r>
                </w:p>
              </w:tc>
              <w:tc>
                <w:tcPr>
                  <w:tcW w:w="1349" w:type="dxa"/>
                  <w:tcBorders>
                    <w:tl2br w:val="nil"/>
                    <w:tr2bl w:val="nil"/>
                  </w:tcBorders>
                  <w:noWrap w:val="0"/>
                  <w:vAlign w:val="center"/>
                </w:tcPr>
                <w:p w14:paraId="01E5ABDE">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605" w:type="pct"/>
                  <w:vMerge w:val="continue"/>
                  <w:tcBorders>
                    <w:tl2br w:val="nil"/>
                    <w:tr2bl w:val="nil"/>
                  </w:tcBorders>
                  <w:noWrap w:val="0"/>
                  <w:vAlign w:val="center"/>
                </w:tcPr>
                <w:p w14:paraId="22B82D4F">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noWrap w:val="0"/>
                  <w:vAlign w:val="center"/>
                </w:tcPr>
                <w:p w14:paraId="3DA792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0.033</w:t>
                  </w:r>
                </w:p>
              </w:tc>
              <w:tc>
                <w:tcPr>
                  <w:tcW w:w="1142" w:type="dxa"/>
                  <w:tcBorders>
                    <w:tl2br w:val="nil"/>
                    <w:tr2bl w:val="nil"/>
                  </w:tcBorders>
                  <w:noWrap w:val="0"/>
                  <w:vAlign w:val="center"/>
                </w:tcPr>
                <w:p w14:paraId="240B3E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0.07 </w:t>
                  </w:r>
                </w:p>
              </w:tc>
            </w:tr>
            <w:tr w14:paraId="0286F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vMerge w:val="restart"/>
                  <w:tcBorders>
                    <w:tl2br w:val="nil"/>
                    <w:tr2bl w:val="nil"/>
                  </w:tcBorders>
                  <w:noWrap w:val="0"/>
                  <w:vAlign w:val="center"/>
                </w:tcPr>
                <w:p w14:paraId="4F00A315">
                  <w:pPr>
                    <w:keepNext w:val="0"/>
                    <w:keepLines w:val="0"/>
                    <w:widowControl/>
                    <w:suppressLineNumbers w:val="0"/>
                    <w:shd w:val="clear" w:color="auto" w:fill="auto"/>
                    <w:spacing w:before="0" w:beforeAutospacing="0" w:after="0" w:afterAutospacing="0"/>
                    <w:ind w:left="0" w:right="0"/>
                    <w:jc w:val="center"/>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957" w:type="pct"/>
                  <w:vMerge w:val="restart"/>
                  <w:tcBorders>
                    <w:tl2br w:val="nil"/>
                    <w:tr2bl w:val="nil"/>
                  </w:tcBorders>
                  <w:shd w:val="clear" w:color="auto" w:fill="auto"/>
                  <w:noWrap w:val="0"/>
                  <w:vAlign w:val="center"/>
                </w:tcPr>
                <w:p w14:paraId="7F834584">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面漆喷漆</w:t>
                  </w:r>
                </w:p>
              </w:tc>
              <w:tc>
                <w:tcPr>
                  <w:tcW w:w="889" w:type="pct"/>
                  <w:tcBorders>
                    <w:tl2br w:val="nil"/>
                    <w:tr2bl w:val="nil"/>
                  </w:tcBorders>
                  <w:shd w:val="clear" w:color="auto" w:fill="auto"/>
                  <w:noWrap w:val="0"/>
                  <w:vAlign w:val="center"/>
                </w:tcPr>
                <w:p w14:paraId="6868087F">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非甲烷总烃</w:t>
                  </w:r>
                </w:p>
              </w:tc>
              <w:tc>
                <w:tcPr>
                  <w:tcW w:w="1349" w:type="dxa"/>
                  <w:tcBorders>
                    <w:tl2br w:val="nil"/>
                    <w:tr2bl w:val="nil"/>
                  </w:tcBorders>
                  <w:noWrap w:val="0"/>
                  <w:vAlign w:val="center"/>
                </w:tcPr>
                <w:p w14:paraId="7F8410A1">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605" w:type="pct"/>
                  <w:vMerge w:val="continue"/>
                  <w:tcBorders>
                    <w:tl2br w:val="nil"/>
                    <w:tr2bl w:val="nil"/>
                  </w:tcBorders>
                  <w:noWrap w:val="0"/>
                  <w:vAlign w:val="center"/>
                </w:tcPr>
                <w:p w14:paraId="2AC371B3">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noWrap w:val="0"/>
                  <w:vAlign w:val="center"/>
                </w:tcPr>
                <w:p w14:paraId="01E3541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0.353</w:t>
                  </w:r>
                </w:p>
              </w:tc>
              <w:tc>
                <w:tcPr>
                  <w:tcW w:w="1142" w:type="dxa"/>
                  <w:tcBorders>
                    <w:tl2br w:val="nil"/>
                    <w:tr2bl w:val="nil"/>
                  </w:tcBorders>
                  <w:noWrap w:val="0"/>
                  <w:vAlign w:val="center"/>
                </w:tcPr>
                <w:p w14:paraId="3FC1CA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0.88 </w:t>
                  </w:r>
                </w:p>
              </w:tc>
            </w:tr>
            <w:tr w14:paraId="3F46A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vMerge w:val="continue"/>
                  <w:tcBorders>
                    <w:tl2br w:val="nil"/>
                    <w:tr2bl w:val="nil"/>
                  </w:tcBorders>
                  <w:noWrap w:val="0"/>
                  <w:vAlign w:val="center"/>
                </w:tcPr>
                <w:p w14:paraId="7F856BBB">
                  <w:pPr>
                    <w:keepNext w:val="0"/>
                    <w:keepLines w:val="0"/>
                    <w:widowControl/>
                    <w:suppressLineNumbers w:val="0"/>
                    <w:shd w:val="clear" w:color="auto" w:fill="auto"/>
                    <w:spacing w:before="0" w:beforeAutospacing="0" w:after="0" w:afterAutospacing="0"/>
                    <w:ind w:left="0" w:right="0"/>
                    <w:jc w:val="center"/>
                    <w:textAlignment w:val="center"/>
                    <w:rPr>
                      <w:rFonts w:hint="eastAsia" w:eastAsia="宋体"/>
                      <w:color w:val="000000" w:themeColor="text1"/>
                      <w:sz w:val="21"/>
                      <w:szCs w:val="21"/>
                      <w:highlight w:val="none"/>
                      <w:lang w:val="en-US" w:eastAsia="zh-CN"/>
                      <w14:textFill>
                        <w14:solidFill>
                          <w14:schemeClr w14:val="tx1"/>
                        </w14:solidFill>
                      </w14:textFill>
                    </w:rPr>
                  </w:pPr>
                </w:p>
              </w:tc>
              <w:tc>
                <w:tcPr>
                  <w:tcW w:w="957" w:type="pct"/>
                  <w:vMerge w:val="continue"/>
                  <w:tcBorders>
                    <w:tl2br w:val="nil"/>
                    <w:tr2bl w:val="nil"/>
                  </w:tcBorders>
                  <w:noWrap w:val="0"/>
                  <w:vAlign w:val="center"/>
                </w:tcPr>
                <w:p w14:paraId="5E21313F">
                  <w:pPr>
                    <w:keepNext w:val="0"/>
                    <w:keepLines w:val="0"/>
                    <w:widowControl/>
                    <w:suppressLineNumbers w:val="0"/>
                    <w:shd w:val="clear" w:color="auto" w:fill="auto"/>
                    <w:spacing w:before="0" w:beforeAutospacing="0" w:after="0" w:afterAutospacing="0"/>
                    <w:ind w:left="0" w:right="0"/>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p>
              </w:tc>
              <w:tc>
                <w:tcPr>
                  <w:tcW w:w="889" w:type="pct"/>
                  <w:tcBorders>
                    <w:tl2br w:val="nil"/>
                    <w:tr2bl w:val="nil"/>
                  </w:tcBorders>
                  <w:shd w:val="clear" w:color="auto" w:fill="auto"/>
                  <w:noWrap w:val="0"/>
                  <w:vAlign w:val="center"/>
                </w:tcPr>
                <w:p w14:paraId="7862767B">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颗粒物</w:t>
                  </w:r>
                </w:p>
              </w:tc>
              <w:tc>
                <w:tcPr>
                  <w:tcW w:w="1349" w:type="dxa"/>
                  <w:tcBorders>
                    <w:tl2br w:val="nil"/>
                    <w:tr2bl w:val="nil"/>
                  </w:tcBorders>
                  <w:noWrap w:val="0"/>
                  <w:vAlign w:val="center"/>
                </w:tcPr>
                <w:p w14:paraId="7261779C">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605" w:type="pct"/>
                  <w:vMerge w:val="continue"/>
                  <w:tcBorders>
                    <w:tl2br w:val="nil"/>
                    <w:tr2bl w:val="nil"/>
                  </w:tcBorders>
                  <w:noWrap w:val="0"/>
                  <w:vAlign w:val="center"/>
                </w:tcPr>
                <w:p w14:paraId="49EE2212">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noWrap w:val="0"/>
                  <w:vAlign w:val="center"/>
                </w:tcPr>
                <w:p w14:paraId="481E71ED">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1.982</w:t>
                  </w:r>
                </w:p>
              </w:tc>
              <w:tc>
                <w:tcPr>
                  <w:tcW w:w="1142" w:type="dxa"/>
                  <w:tcBorders>
                    <w:tl2br w:val="nil"/>
                    <w:tr2bl w:val="nil"/>
                  </w:tcBorders>
                  <w:noWrap w:val="0"/>
                  <w:vAlign w:val="center"/>
                </w:tcPr>
                <w:p w14:paraId="00B3A2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4.95 </w:t>
                  </w:r>
                </w:p>
              </w:tc>
            </w:tr>
            <w:tr w14:paraId="4BC67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tcBorders>
                    <w:tl2br w:val="nil"/>
                    <w:tr2bl w:val="nil"/>
                  </w:tcBorders>
                  <w:noWrap w:val="0"/>
                  <w:vAlign w:val="center"/>
                </w:tcPr>
                <w:p w14:paraId="3618A21D">
                  <w:pPr>
                    <w:keepNext w:val="0"/>
                    <w:keepLines w:val="0"/>
                    <w:widowControl/>
                    <w:suppressLineNumbers w:val="0"/>
                    <w:shd w:val="clear" w:color="auto" w:fill="auto"/>
                    <w:spacing w:before="0" w:beforeAutospacing="0" w:after="0" w:afterAutospacing="0"/>
                    <w:ind w:left="0" w:right="0"/>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957" w:type="pct"/>
                  <w:tcBorders>
                    <w:tl2br w:val="nil"/>
                    <w:tr2bl w:val="nil"/>
                  </w:tcBorders>
                  <w:shd w:val="clear" w:color="auto" w:fill="auto"/>
                  <w:noWrap w:val="0"/>
                  <w:vAlign w:val="center"/>
                </w:tcPr>
                <w:p w14:paraId="6AF21346">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面漆</w:t>
                  </w:r>
                  <w:r>
                    <w:rPr>
                      <w:rFonts w:hint="default"/>
                      <w:color w:val="000000" w:themeColor="text1"/>
                      <w:kern w:val="0"/>
                      <w:sz w:val="21"/>
                      <w:szCs w:val="21"/>
                      <w:highlight w:val="none"/>
                      <w:lang w:bidi="ar"/>
                      <w14:textFill>
                        <w14:solidFill>
                          <w14:schemeClr w14:val="tx1"/>
                        </w14:solidFill>
                      </w14:textFill>
                    </w:rPr>
                    <w:t>流平固化</w:t>
                  </w:r>
                </w:p>
              </w:tc>
              <w:tc>
                <w:tcPr>
                  <w:tcW w:w="889" w:type="pct"/>
                  <w:tcBorders>
                    <w:tl2br w:val="nil"/>
                    <w:tr2bl w:val="nil"/>
                  </w:tcBorders>
                  <w:shd w:val="clear" w:color="auto" w:fill="auto"/>
                  <w:noWrap w:val="0"/>
                  <w:vAlign w:val="center"/>
                </w:tcPr>
                <w:p w14:paraId="3860356E">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非甲烷总烃</w:t>
                  </w:r>
                </w:p>
              </w:tc>
              <w:tc>
                <w:tcPr>
                  <w:tcW w:w="1349" w:type="dxa"/>
                  <w:tcBorders>
                    <w:tl2br w:val="nil"/>
                    <w:tr2bl w:val="nil"/>
                  </w:tcBorders>
                  <w:noWrap w:val="0"/>
                  <w:vAlign w:val="center"/>
                </w:tcPr>
                <w:p w14:paraId="2A87D71D">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240</w:t>
                  </w:r>
                </w:p>
              </w:tc>
              <w:tc>
                <w:tcPr>
                  <w:tcW w:w="605" w:type="pct"/>
                  <w:vMerge w:val="continue"/>
                  <w:tcBorders>
                    <w:tl2br w:val="nil"/>
                    <w:tr2bl w:val="nil"/>
                  </w:tcBorders>
                  <w:noWrap w:val="0"/>
                  <w:vAlign w:val="center"/>
                </w:tcPr>
                <w:p w14:paraId="67618CC2">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noWrap w:val="0"/>
                  <w:vAlign w:val="center"/>
                </w:tcPr>
                <w:p w14:paraId="13D3843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0.066</w:t>
                  </w:r>
                </w:p>
              </w:tc>
              <w:tc>
                <w:tcPr>
                  <w:tcW w:w="1142" w:type="dxa"/>
                  <w:tcBorders>
                    <w:tl2br w:val="nil"/>
                    <w:tr2bl w:val="nil"/>
                  </w:tcBorders>
                  <w:noWrap w:val="0"/>
                  <w:vAlign w:val="center"/>
                </w:tcPr>
                <w:p w14:paraId="5B344D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0.25 </w:t>
                  </w:r>
                </w:p>
              </w:tc>
            </w:tr>
            <w:tr w14:paraId="518BE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tcBorders>
                    <w:tl2br w:val="nil"/>
                    <w:tr2bl w:val="nil"/>
                  </w:tcBorders>
                  <w:noWrap w:val="0"/>
                  <w:vAlign w:val="center"/>
                </w:tcPr>
                <w:p w14:paraId="00BD1EA2">
                  <w:pPr>
                    <w:keepNext w:val="0"/>
                    <w:keepLines w:val="0"/>
                    <w:widowControl/>
                    <w:suppressLineNumbers w:val="0"/>
                    <w:shd w:val="clear" w:color="auto" w:fill="auto"/>
                    <w:spacing w:before="0" w:beforeAutospacing="0" w:after="0" w:afterAutospacing="0"/>
                    <w:ind w:left="0" w:right="0"/>
                    <w:jc w:val="center"/>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w:t>
                  </w:r>
                </w:p>
              </w:tc>
              <w:tc>
                <w:tcPr>
                  <w:tcW w:w="957" w:type="pct"/>
                  <w:tcBorders>
                    <w:tl2br w:val="nil"/>
                    <w:tr2bl w:val="nil"/>
                  </w:tcBorders>
                  <w:shd w:val="clear" w:color="auto" w:fill="auto"/>
                  <w:noWrap w:val="0"/>
                  <w:vAlign w:val="center"/>
                </w:tcPr>
                <w:p w14:paraId="44A30F4F">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面漆烘干</w:t>
                  </w:r>
                </w:p>
              </w:tc>
              <w:tc>
                <w:tcPr>
                  <w:tcW w:w="889" w:type="pct"/>
                  <w:tcBorders>
                    <w:tl2br w:val="nil"/>
                    <w:tr2bl w:val="nil"/>
                  </w:tcBorders>
                  <w:shd w:val="clear" w:color="auto" w:fill="auto"/>
                  <w:noWrap w:val="0"/>
                  <w:vAlign w:val="center"/>
                </w:tcPr>
                <w:p w14:paraId="0397FDE2">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非甲烷总烃</w:t>
                  </w:r>
                </w:p>
              </w:tc>
              <w:tc>
                <w:tcPr>
                  <w:tcW w:w="1349" w:type="dxa"/>
                  <w:tcBorders>
                    <w:tl2br w:val="nil"/>
                    <w:tr2bl w:val="nil"/>
                  </w:tcBorders>
                  <w:noWrap w:val="0"/>
                  <w:vAlign w:val="center"/>
                </w:tcPr>
                <w:p w14:paraId="5643DA19">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605" w:type="pct"/>
                  <w:vMerge w:val="continue"/>
                  <w:tcBorders>
                    <w:tl2br w:val="nil"/>
                    <w:tr2bl w:val="nil"/>
                  </w:tcBorders>
                  <w:noWrap w:val="0"/>
                  <w:vAlign w:val="center"/>
                </w:tcPr>
                <w:p w14:paraId="04EE71FF">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noWrap w:val="0"/>
                  <w:vAlign w:val="center"/>
                </w:tcPr>
                <w:p w14:paraId="00FABE58">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0.022</w:t>
                  </w:r>
                </w:p>
              </w:tc>
              <w:tc>
                <w:tcPr>
                  <w:tcW w:w="1142" w:type="dxa"/>
                  <w:tcBorders>
                    <w:tl2br w:val="nil"/>
                    <w:tr2bl w:val="nil"/>
                  </w:tcBorders>
                  <w:noWrap w:val="0"/>
                  <w:vAlign w:val="center"/>
                </w:tcPr>
                <w:p w14:paraId="1E182D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 </w:t>
                  </w:r>
                </w:p>
              </w:tc>
            </w:tr>
            <w:tr w14:paraId="54E4B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5000" w:type="pct"/>
                  <w:gridSpan w:val="7"/>
                  <w:tcBorders>
                    <w:tl2br w:val="nil"/>
                    <w:tr2bl w:val="nil"/>
                  </w:tcBorders>
                  <w:noWrap w:val="0"/>
                  <w:vAlign w:val="center"/>
                </w:tcPr>
                <w:p w14:paraId="0AD169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1#生产线</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无组织排放</w:t>
                  </w:r>
                </w:p>
              </w:tc>
            </w:tr>
            <w:tr w14:paraId="06274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tcBorders>
                    <w:tl2br w:val="nil"/>
                    <w:tr2bl w:val="nil"/>
                  </w:tcBorders>
                  <w:noWrap w:val="0"/>
                  <w:vAlign w:val="center"/>
                </w:tcPr>
                <w:p w14:paraId="6E6B7B5A">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1</w:t>
                  </w:r>
                </w:p>
              </w:tc>
              <w:tc>
                <w:tcPr>
                  <w:tcW w:w="957" w:type="pct"/>
                  <w:vMerge w:val="restart"/>
                  <w:tcBorders>
                    <w:tl2br w:val="nil"/>
                    <w:tr2bl w:val="nil"/>
                  </w:tcBorders>
                  <w:noWrap w:val="0"/>
                  <w:vAlign w:val="center"/>
                </w:tcPr>
                <w:p w14:paraId="2514CEF2">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底漆</w:t>
                  </w:r>
                  <w:r>
                    <w:rPr>
                      <w:rFonts w:hint="default"/>
                      <w:color w:val="000000" w:themeColor="text1"/>
                      <w:sz w:val="21"/>
                      <w:szCs w:val="21"/>
                      <w:highlight w:val="none"/>
                      <w14:textFill>
                        <w14:solidFill>
                          <w14:schemeClr w14:val="tx1"/>
                        </w14:solidFill>
                      </w14:textFill>
                    </w:rPr>
                    <w:t>涂装废气</w:t>
                  </w:r>
                </w:p>
              </w:tc>
              <w:tc>
                <w:tcPr>
                  <w:tcW w:w="889" w:type="pct"/>
                  <w:tcBorders>
                    <w:tl2br w:val="nil"/>
                    <w:tr2bl w:val="nil"/>
                  </w:tcBorders>
                  <w:noWrap w:val="0"/>
                  <w:vAlign w:val="center"/>
                </w:tcPr>
                <w:p w14:paraId="157ED743">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非甲烷总烃</w:t>
                  </w:r>
                </w:p>
              </w:tc>
              <w:tc>
                <w:tcPr>
                  <w:tcW w:w="850" w:type="pct"/>
                  <w:tcBorders>
                    <w:tl2br w:val="nil"/>
                    <w:tr2bl w:val="nil"/>
                  </w:tcBorders>
                  <w:noWrap w:val="0"/>
                  <w:vAlign w:val="center"/>
                </w:tcPr>
                <w:p w14:paraId="1049C650">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1140</w:t>
                  </w:r>
                </w:p>
              </w:tc>
              <w:tc>
                <w:tcPr>
                  <w:tcW w:w="605" w:type="pct"/>
                  <w:vMerge w:val="restart"/>
                  <w:tcBorders>
                    <w:tl2br w:val="nil"/>
                    <w:tr2bl w:val="nil"/>
                  </w:tcBorders>
                  <w:noWrap w:val="0"/>
                  <w:vAlign w:val="center"/>
                </w:tcPr>
                <w:p w14:paraId="2B5C8CC5">
                  <w:pPr>
                    <w:keepNext w:val="0"/>
                    <w:keepLines w:val="0"/>
                    <w:widowControl/>
                    <w:suppressLineNumbers w:val="0"/>
                    <w:shd w:val="clear" w:color="auto" w:fill="auto"/>
                    <w:spacing w:before="0" w:beforeAutospacing="0" w:after="0" w:afterAutospacing="0"/>
                    <w:ind w:left="0" w:right="0"/>
                    <w:jc w:val="center"/>
                    <w:textAlignment w:val="center"/>
                    <w:rPr>
                      <w:rFonts w:hint="eastAsia"/>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物料</w:t>
                  </w:r>
                </w:p>
                <w:p w14:paraId="265CABF4">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衡算</w:t>
                  </w:r>
                </w:p>
              </w:tc>
              <w:tc>
                <w:tcPr>
                  <w:tcW w:w="623" w:type="pct"/>
                  <w:tcBorders>
                    <w:tl2br w:val="nil"/>
                    <w:tr2bl w:val="nil"/>
                  </w:tcBorders>
                  <w:noWrap w:val="0"/>
                  <w:vAlign w:val="center"/>
                </w:tcPr>
                <w:p w14:paraId="2D0B18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0.074</w:t>
                  </w:r>
                </w:p>
              </w:tc>
              <w:tc>
                <w:tcPr>
                  <w:tcW w:w="1142" w:type="dxa"/>
                  <w:tcBorders>
                    <w:tl2br w:val="nil"/>
                    <w:tr2bl w:val="nil"/>
                  </w:tcBorders>
                  <w:noWrap w:val="0"/>
                  <w:vAlign w:val="center"/>
                </w:tcPr>
                <w:p w14:paraId="149BA9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w:t>
                  </w:r>
                </w:p>
              </w:tc>
            </w:tr>
            <w:tr w14:paraId="6F8FF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tcBorders>
                    <w:tl2br w:val="nil"/>
                    <w:tr2bl w:val="nil"/>
                  </w:tcBorders>
                  <w:noWrap/>
                  <w:vAlign w:val="center"/>
                </w:tcPr>
                <w:p w14:paraId="03BACBBD">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w:t>
                  </w:r>
                </w:p>
              </w:tc>
              <w:tc>
                <w:tcPr>
                  <w:tcW w:w="957" w:type="pct"/>
                  <w:vMerge w:val="continue"/>
                  <w:tcBorders>
                    <w:tl2br w:val="nil"/>
                    <w:tr2bl w:val="nil"/>
                  </w:tcBorders>
                  <w:noWrap w:val="0"/>
                  <w:vAlign w:val="center"/>
                </w:tcPr>
                <w:p w14:paraId="7160D155">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889" w:type="pct"/>
                  <w:tcBorders>
                    <w:tl2br w:val="nil"/>
                    <w:tr2bl w:val="nil"/>
                  </w:tcBorders>
                  <w:noWrap w:val="0"/>
                  <w:vAlign w:val="center"/>
                </w:tcPr>
                <w:p w14:paraId="75B6C7F1">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颗粒物</w:t>
                  </w:r>
                </w:p>
              </w:tc>
              <w:tc>
                <w:tcPr>
                  <w:tcW w:w="850" w:type="pct"/>
                  <w:tcBorders>
                    <w:tl2br w:val="nil"/>
                    <w:tr2bl w:val="nil"/>
                  </w:tcBorders>
                  <w:noWrap w:val="0"/>
                  <w:vAlign w:val="center"/>
                </w:tcPr>
                <w:p w14:paraId="00E1DB0D">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400</w:t>
                  </w:r>
                </w:p>
              </w:tc>
              <w:tc>
                <w:tcPr>
                  <w:tcW w:w="605" w:type="pct"/>
                  <w:vMerge w:val="continue"/>
                  <w:tcBorders>
                    <w:tl2br w:val="nil"/>
                    <w:tr2bl w:val="nil"/>
                  </w:tcBorders>
                  <w:noWrap w:val="0"/>
                  <w:vAlign w:val="center"/>
                </w:tcPr>
                <w:p w14:paraId="1A864BA3">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noWrap w:val="0"/>
                  <w:vAlign w:val="center"/>
                </w:tcPr>
                <w:p w14:paraId="652ED0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0.331</w:t>
                  </w:r>
                </w:p>
              </w:tc>
              <w:tc>
                <w:tcPr>
                  <w:tcW w:w="1142" w:type="dxa"/>
                  <w:tcBorders>
                    <w:tl2br w:val="nil"/>
                    <w:tr2bl w:val="nil"/>
                  </w:tcBorders>
                  <w:noWrap w:val="0"/>
                  <w:vAlign w:val="center"/>
                </w:tcPr>
                <w:p w14:paraId="090AAF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0.83 </w:t>
                  </w:r>
                </w:p>
              </w:tc>
            </w:tr>
            <w:tr w14:paraId="50204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353" w:type="pct"/>
                  <w:tcBorders>
                    <w:tl2br w:val="nil"/>
                    <w:tr2bl w:val="nil"/>
                  </w:tcBorders>
                  <w:noWrap/>
                  <w:vAlign w:val="center"/>
                </w:tcPr>
                <w:p w14:paraId="2F9831F3">
                  <w:pPr>
                    <w:keepNext w:val="0"/>
                    <w:keepLines w:val="0"/>
                    <w:widowControl/>
                    <w:suppressLineNumbers w:val="0"/>
                    <w:shd w:val="clear" w:color="auto" w:fill="auto"/>
                    <w:spacing w:before="0" w:beforeAutospacing="0" w:after="0" w:afterAutospacing="0"/>
                    <w:ind w:left="0" w:right="0"/>
                    <w:jc w:val="center"/>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957" w:type="pct"/>
                  <w:vMerge w:val="restart"/>
                  <w:tcBorders>
                    <w:tl2br w:val="nil"/>
                    <w:tr2bl w:val="nil"/>
                  </w:tcBorders>
                  <w:shd w:val="clear" w:color="auto" w:fill="auto"/>
                  <w:noWrap w:val="0"/>
                  <w:vAlign w:val="center"/>
                </w:tcPr>
                <w:p w14:paraId="18045CB2">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面漆</w:t>
                  </w:r>
                  <w:r>
                    <w:rPr>
                      <w:rFonts w:hint="default"/>
                      <w:color w:val="000000" w:themeColor="text1"/>
                      <w:sz w:val="21"/>
                      <w:szCs w:val="21"/>
                      <w:highlight w:val="none"/>
                      <w14:textFill>
                        <w14:solidFill>
                          <w14:schemeClr w14:val="tx1"/>
                        </w14:solidFill>
                      </w14:textFill>
                    </w:rPr>
                    <w:t>涂装废气</w:t>
                  </w:r>
                </w:p>
              </w:tc>
              <w:tc>
                <w:tcPr>
                  <w:tcW w:w="889" w:type="pct"/>
                  <w:tcBorders>
                    <w:tl2br w:val="nil"/>
                    <w:tr2bl w:val="nil"/>
                  </w:tcBorders>
                  <w:shd w:val="clear" w:color="auto" w:fill="auto"/>
                  <w:noWrap w:val="0"/>
                  <w:vAlign w:val="center"/>
                </w:tcPr>
                <w:p w14:paraId="7DCCEA53">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非甲烷总烃</w:t>
                  </w:r>
                </w:p>
              </w:tc>
              <w:tc>
                <w:tcPr>
                  <w:tcW w:w="1349" w:type="dxa"/>
                  <w:tcBorders>
                    <w:tl2br w:val="nil"/>
                    <w:tr2bl w:val="nil"/>
                  </w:tcBorders>
                  <w:noWrap w:val="0"/>
                  <w:vAlign w:val="center"/>
                </w:tcPr>
                <w:p w14:paraId="46776D8E">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1140</w:t>
                  </w:r>
                </w:p>
              </w:tc>
              <w:tc>
                <w:tcPr>
                  <w:tcW w:w="605" w:type="pct"/>
                  <w:vMerge w:val="continue"/>
                  <w:tcBorders>
                    <w:tl2br w:val="nil"/>
                    <w:tr2bl w:val="nil"/>
                  </w:tcBorders>
                  <w:noWrap w:val="0"/>
                  <w:vAlign w:val="center"/>
                </w:tcPr>
                <w:p w14:paraId="0683574E">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noWrap w:val="0"/>
                  <w:vAlign w:val="center"/>
                </w:tcPr>
                <w:p w14:paraId="69748B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0.049</w:t>
                  </w:r>
                </w:p>
              </w:tc>
              <w:tc>
                <w:tcPr>
                  <w:tcW w:w="1142" w:type="dxa"/>
                  <w:tcBorders>
                    <w:tl2br w:val="nil"/>
                    <w:tr2bl w:val="nil"/>
                  </w:tcBorders>
                  <w:noWrap w:val="0"/>
                  <w:vAlign w:val="center"/>
                </w:tcPr>
                <w:p w14:paraId="67F0B6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 </w:t>
                  </w:r>
                </w:p>
              </w:tc>
            </w:tr>
            <w:tr w14:paraId="7746D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tcBorders>
                    <w:tl2br w:val="nil"/>
                    <w:tr2bl w:val="nil"/>
                  </w:tcBorders>
                  <w:noWrap/>
                  <w:vAlign w:val="center"/>
                </w:tcPr>
                <w:p w14:paraId="5933CFBC">
                  <w:pPr>
                    <w:keepNext w:val="0"/>
                    <w:keepLines w:val="0"/>
                    <w:widowControl/>
                    <w:suppressLineNumbers w:val="0"/>
                    <w:shd w:val="clear" w:color="auto" w:fill="auto"/>
                    <w:spacing w:before="0" w:beforeAutospacing="0" w:after="0" w:afterAutospacing="0"/>
                    <w:ind w:left="0" w:right="0"/>
                    <w:jc w:val="center"/>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957" w:type="pct"/>
                  <w:vMerge w:val="continue"/>
                  <w:tcBorders>
                    <w:tl2br w:val="nil"/>
                    <w:tr2bl w:val="nil"/>
                  </w:tcBorders>
                  <w:noWrap w:val="0"/>
                  <w:vAlign w:val="center"/>
                </w:tcPr>
                <w:p w14:paraId="6A95C150">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889" w:type="pct"/>
                  <w:tcBorders>
                    <w:tl2br w:val="nil"/>
                    <w:tr2bl w:val="nil"/>
                  </w:tcBorders>
                  <w:shd w:val="clear" w:color="auto" w:fill="auto"/>
                  <w:noWrap w:val="0"/>
                  <w:vAlign w:val="center"/>
                </w:tcPr>
                <w:p w14:paraId="3B5B73C7">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颗粒物</w:t>
                  </w:r>
                </w:p>
              </w:tc>
              <w:tc>
                <w:tcPr>
                  <w:tcW w:w="1349" w:type="dxa"/>
                  <w:tcBorders>
                    <w:tl2br w:val="nil"/>
                    <w:tr2bl w:val="nil"/>
                  </w:tcBorders>
                  <w:noWrap w:val="0"/>
                  <w:vAlign w:val="center"/>
                </w:tcPr>
                <w:p w14:paraId="4F5E673D">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400</w:t>
                  </w:r>
                </w:p>
              </w:tc>
              <w:tc>
                <w:tcPr>
                  <w:tcW w:w="605" w:type="pct"/>
                  <w:vMerge w:val="continue"/>
                  <w:tcBorders>
                    <w:tl2br w:val="nil"/>
                    <w:tr2bl w:val="nil"/>
                  </w:tcBorders>
                  <w:noWrap w:val="0"/>
                  <w:vAlign w:val="center"/>
                </w:tcPr>
                <w:p w14:paraId="4A4AAA1E">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noWrap w:val="0"/>
                  <w:vAlign w:val="center"/>
                </w:tcPr>
                <w:p w14:paraId="4F8C87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0.220</w:t>
                  </w:r>
                </w:p>
              </w:tc>
              <w:tc>
                <w:tcPr>
                  <w:tcW w:w="1142" w:type="dxa"/>
                  <w:tcBorders>
                    <w:tl2br w:val="nil"/>
                    <w:tr2bl w:val="nil"/>
                  </w:tcBorders>
                  <w:noWrap w:val="0"/>
                  <w:vAlign w:val="center"/>
                </w:tcPr>
                <w:p w14:paraId="079F16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0.55 </w:t>
                  </w:r>
                </w:p>
              </w:tc>
            </w:tr>
            <w:tr w14:paraId="01AD3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5000" w:type="pct"/>
                  <w:gridSpan w:val="7"/>
                  <w:tcBorders>
                    <w:tl2br w:val="nil"/>
                    <w:tr2bl w:val="nil"/>
                  </w:tcBorders>
                  <w:noWrap/>
                  <w:vAlign w:val="center"/>
                </w:tcPr>
                <w:p w14:paraId="68F8469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2#生产线</w:t>
                  </w:r>
                  <w:r>
                    <w:rPr>
                      <w:rFonts w:hint="default"/>
                      <w:color w:val="000000" w:themeColor="text1"/>
                      <w:kern w:val="0"/>
                      <w:sz w:val="21"/>
                      <w:szCs w:val="21"/>
                      <w:highlight w:val="none"/>
                      <w:lang w:bidi="ar"/>
                      <w14:textFill>
                        <w14:solidFill>
                          <w14:schemeClr w14:val="tx1"/>
                        </w14:solidFill>
                      </w14:textFill>
                    </w:rPr>
                    <w:t>有组织收集</w:t>
                  </w:r>
                </w:p>
              </w:tc>
            </w:tr>
            <w:tr w14:paraId="4B095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8" w:hRule="atLeast"/>
                <w:jc w:val="center"/>
              </w:trPr>
              <w:tc>
                <w:tcPr>
                  <w:tcW w:w="353" w:type="pct"/>
                  <w:vMerge w:val="restart"/>
                  <w:tcBorders>
                    <w:tl2br w:val="nil"/>
                    <w:tr2bl w:val="nil"/>
                  </w:tcBorders>
                  <w:shd w:val="clear" w:color="auto" w:fill="auto"/>
                  <w:noWrap/>
                  <w:vAlign w:val="center"/>
                </w:tcPr>
                <w:p w14:paraId="0B881F53">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1</w:t>
                  </w:r>
                </w:p>
              </w:tc>
              <w:tc>
                <w:tcPr>
                  <w:tcW w:w="957" w:type="pct"/>
                  <w:vMerge w:val="restart"/>
                  <w:tcBorders>
                    <w:tl2br w:val="nil"/>
                    <w:tr2bl w:val="nil"/>
                  </w:tcBorders>
                  <w:shd w:val="clear" w:color="auto" w:fill="auto"/>
                  <w:noWrap w:val="0"/>
                  <w:vAlign w:val="center"/>
                </w:tcPr>
                <w:p w14:paraId="05B7C27C">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底漆喷漆</w:t>
                  </w:r>
                </w:p>
                <w:p w14:paraId="143973CD">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889" w:type="pct"/>
                  <w:tcBorders>
                    <w:tl2br w:val="nil"/>
                    <w:tr2bl w:val="nil"/>
                  </w:tcBorders>
                  <w:shd w:val="clear" w:color="auto" w:fill="auto"/>
                  <w:noWrap w:val="0"/>
                  <w:vAlign w:val="center"/>
                </w:tcPr>
                <w:p w14:paraId="01F42C4C">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非甲烷总烃</w:t>
                  </w:r>
                </w:p>
              </w:tc>
              <w:tc>
                <w:tcPr>
                  <w:tcW w:w="1349" w:type="dxa"/>
                  <w:tcBorders>
                    <w:tl2br w:val="nil"/>
                    <w:tr2bl w:val="nil"/>
                  </w:tcBorders>
                  <w:shd w:val="clear" w:color="auto" w:fill="auto"/>
                  <w:noWrap w:val="0"/>
                  <w:vAlign w:val="center"/>
                </w:tcPr>
                <w:p w14:paraId="2AF279F3">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605" w:type="pct"/>
                  <w:vMerge w:val="restart"/>
                  <w:tcBorders>
                    <w:tl2br w:val="nil"/>
                    <w:tr2bl w:val="nil"/>
                  </w:tcBorders>
                  <w:noWrap w:val="0"/>
                  <w:vAlign w:val="center"/>
                </w:tcPr>
                <w:p w14:paraId="5E5D3AC1">
                  <w:pPr>
                    <w:keepNext w:val="0"/>
                    <w:keepLines w:val="0"/>
                    <w:widowControl/>
                    <w:suppressLineNumbers w:val="0"/>
                    <w:shd w:val="clear" w:color="auto" w:fill="auto"/>
                    <w:spacing w:before="0" w:beforeAutospacing="0" w:after="0" w:afterAutospacing="0"/>
                    <w:ind w:left="0" w:right="0"/>
                    <w:jc w:val="center"/>
                    <w:textAlignment w:val="center"/>
                    <w:rPr>
                      <w:rFonts w:hint="eastAsia"/>
                      <w:color w:val="000000" w:themeColor="text1"/>
                      <w:kern w:val="0"/>
                      <w:sz w:val="21"/>
                      <w:szCs w:val="21"/>
                      <w:highlight w:val="none"/>
                      <w:lang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物料</w:t>
                  </w:r>
                </w:p>
                <w:p w14:paraId="1AB258FB">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衡算</w:t>
                  </w:r>
                </w:p>
              </w:tc>
              <w:tc>
                <w:tcPr>
                  <w:tcW w:w="623" w:type="pct"/>
                  <w:tcBorders>
                    <w:tl2br w:val="nil"/>
                    <w:tr2bl w:val="nil"/>
                  </w:tcBorders>
                  <w:shd w:val="clear" w:color="auto" w:fill="auto"/>
                  <w:noWrap w:val="0"/>
                  <w:vAlign w:val="center"/>
                </w:tcPr>
                <w:p w14:paraId="25420B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0.533</w:t>
                  </w:r>
                </w:p>
              </w:tc>
              <w:tc>
                <w:tcPr>
                  <w:tcW w:w="1142" w:type="dxa"/>
                  <w:tcBorders>
                    <w:tl2br w:val="nil"/>
                    <w:tr2bl w:val="nil"/>
                  </w:tcBorders>
                  <w:shd w:val="clear" w:color="auto" w:fill="auto"/>
                  <w:noWrap w:val="0"/>
                  <w:vAlign w:val="center"/>
                </w:tcPr>
                <w:p w14:paraId="1E5B3A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1.33 </w:t>
                  </w:r>
                </w:p>
              </w:tc>
            </w:tr>
            <w:tr w14:paraId="7DBA5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8" w:hRule="atLeast"/>
                <w:jc w:val="center"/>
              </w:trPr>
              <w:tc>
                <w:tcPr>
                  <w:tcW w:w="353" w:type="pct"/>
                  <w:vMerge w:val="continue"/>
                  <w:tcBorders>
                    <w:tl2br w:val="nil"/>
                    <w:tr2bl w:val="nil"/>
                  </w:tcBorders>
                  <w:shd w:val="clear" w:color="auto" w:fill="auto"/>
                  <w:noWrap/>
                  <w:vAlign w:val="center"/>
                </w:tcPr>
                <w:p w14:paraId="54319E90">
                  <w:pPr>
                    <w:keepNext w:val="0"/>
                    <w:keepLines w:val="0"/>
                    <w:widowControl/>
                    <w:suppressLineNumbers w:val="0"/>
                    <w:jc w:val="center"/>
                    <w:textAlignment w:val="center"/>
                    <w:rPr>
                      <w:color w:val="000000" w:themeColor="text1"/>
                      <w14:textFill>
                        <w14:solidFill>
                          <w14:schemeClr w14:val="tx1"/>
                        </w14:solidFill>
                      </w14:textFill>
                    </w:rPr>
                  </w:pPr>
                </w:p>
              </w:tc>
              <w:tc>
                <w:tcPr>
                  <w:tcW w:w="957" w:type="pct"/>
                  <w:vMerge w:val="continue"/>
                  <w:tcBorders>
                    <w:tl2br w:val="nil"/>
                    <w:tr2bl w:val="nil"/>
                  </w:tcBorders>
                  <w:noWrap w:val="0"/>
                  <w:vAlign w:val="center"/>
                </w:tcPr>
                <w:p w14:paraId="50D01C47">
                  <w:pPr>
                    <w:keepNext w:val="0"/>
                    <w:keepLines w:val="0"/>
                    <w:widowControl/>
                    <w:suppressLineNumbers w:val="0"/>
                    <w:jc w:val="center"/>
                    <w:textAlignment w:val="center"/>
                    <w:rPr>
                      <w:color w:val="000000" w:themeColor="text1"/>
                      <w14:textFill>
                        <w14:solidFill>
                          <w14:schemeClr w14:val="tx1"/>
                        </w14:solidFill>
                      </w14:textFill>
                    </w:rPr>
                  </w:pPr>
                </w:p>
              </w:tc>
              <w:tc>
                <w:tcPr>
                  <w:tcW w:w="889" w:type="pct"/>
                  <w:tcBorders>
                    <w:tl2br w:val="nil"/>
                    <w:tr2bl w:val="nil"/>
                  </w:tcBorders>
                  <w:shd w:val="clear" w:color="auto" w:fill="auto"/>
                  <w:noWrap w:val="0"/>
                  <w:vAlign w:val="center"/>
                </w:tcPr>
                <w:p w14:paraId="2D08516E">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颗粒物</w:t>
                  </w:r>
                </w:p>
              </w:tc>
              <w:tc>
                <w:tcPr>
                  <w:tcW w:w="1349" w:type="dxa"/>
                  <w:tcBorders>
                    <w:tl2br w:val="nil"/>
                    <w:tr2bl w:val="nil"/>
                  </w:tcBorders>
                  <w:shd w:val="clear" w:color="auto" w:fill="auto"/>
                  <w:noWrap w:val="0"/>
                  <w:vAlign w:val="center"/>
                </w:tcPr>
                <w:p w14:paraId="2C87D231">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605" w:type="pct"/>
                  <w:vMerge w:val="continue"/>
                  <w:tcBorders>
                    <w:tl2br w:val="nil"/>
                    <w:tr2bl w:val="nil"/>
                  </w:tcBorders>
                  <w:noWrap w:val="0"/>
                  <w:vAlign w:val="center"/>
                </w:tcPr>
                <w:p w14:paraId="2C7F030B">
                  <w:pPr>
                    <w:keepNext w:val="0"/>
                    <w:keepLines w:val="0"/>
                    <w:widowControl/>
                    <w:suppressLineNumbers w:val="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shd w:val="clear" w:color="auto" w:fill="auto"/>
                  <w:noWrap w:val="0"/>
                  <w:vAlign w:val="center"/>
                </w:tcPr>
                <w:p w14:paraId="1F878B1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2.975</w:t>
                  </w:r>
                </w:p>
              </w:tc>
              <w:tc>
                <w:tcPr>
                  <w:tcW w:w="1142" w:type="dxa"/>
                  <w:tcBorders>
                    <w:tl2br w:val="nil"/>
                    <w:tr2bl w:val="nil"/>
                  </w:tcBorders>
                  <w:shd w:val="clear" w:color="auto" w:fill="auto"/>
                  <w:noWrap w:val="0"/>
                  <w:vAlign w:val="center"/>
                </w:tcPr>
                <w:p w14:paraId="46DF47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7.44 </w:t>
                  </w:r>
                </w:p>
              </w:tc>
            </w:tr>
            <w:tr w14:paraId="599B3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tcBorders>
                    <w:tl2br w:val="nil"/>
                    <w:tr2bl w:val="nil"/>
                  </w:tcBorders>
                  <w:shd w:val="clear" w:color="auto" w:fill="auto"/>
                  <w:noWrap/>
                  <w:vAlign w:val="center"/>
                </w:tcPr>
                <w:p w14:paraId="259670F1">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2</w:t>
                  </w:r>
                </w:p>
              </w:tc>
              <w:tc>
                <w:tcPr>
                  <w:tcW w:w="957" w:type="pct"/>
                  <w:tcBorders>
                    <w:tl2br w:val="nil"/>
                    <w:tr2bl w:val="nil"/>
                  </w:tcBorders>
                  <w:shd w:val="clear" w:color="auto" w:fill="auto"/>
                  <w:noWrap w:val="0"/>
                  <w:vAlign w:val="center"/>
                </w:tcPr>
                <w:p w14:paraId="2D735363">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底漆</w:t>
                  </w:r>
                  <w:r>
                    <w:rPr>
                      <w:rFonts w:hint="default"/>
                      <w:color w:val="000000" w:themeColor="text1"/>
                      <w:kern w:val="0"/>
                      <w:sz w:val="21"/>
                      <w:szCs w:val="21"/>
                      <w:highlight w:val="none"/>
                      <w:lang w:bidi="ar"/>
                      <w14:textFill>
                        <w14:solidFill>
                          <w14:schemeClr w14:val="tx1"/>
                        </w14:solidFill>
                      </w14:textFill>
                    </w:rPr>
                    <w:t>流平固化</w:t>
                  </w:r>
                </w:p>
              </w:tc>
              <w:tc>
                <w:tcPr>
                  <w:tcW w:w="889" w:type="pct"/>
                  <w:tcBorders>
                    <w:tl2br w:val="nil"/>
                    <w:tr2bl w:val="nil"/>
                  </w:tcBorders>
                  <w:shd w:val="clear" w:color="auto" w:fill="auto"/>
                  <w:noWrap w:val="0"/>
                  <w:vAlign w:val="center"/>
                </w:tcPr>
                <w:p w14:paraId="209CD21F">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非甲烷总烃</w:t>
                  </w:r>
                </w:p>
              </w:tc>
              <w:tc>
                <w:tcPr>
                  <w:tcW w:w="1349" w:type="dxa"/>
                  <w:tcBorders>
                    <w:tl2br w:val="nil"/>
                    <w:tr2bl w:val="nil"/>
                  </w:tcBorders>
                  <w:shd w:val="clear" w:color="auto" w:fill="auto"/>
                  <w:noWrap w:val="0"/>
                  <w:vAlign w:val="center"/>
                </w:tcPr>
                <w:p w14:paraId="7D8D1A77">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240</w:t>
                  </w:r>
                </w:p>
              </w:tc>
              <w:tc>
                <w:tcPr>
                  <w:tcW w:w="605" w:type="pct"/>
                  <w:vMerge w:val="continue"/>
                  <w:tcBorders>
                    <w:tl2br w:val="nil"/>
                    <w:tr2bl w:val="nil"/>
                  </w:tcBorders>
                  <w:noWrap w:val="0"/>
                  <w:vAlign w:val="center"/>
                </w:tcPr>
                <w:p w14:paraId="38805F9D">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shd w:val="clear" w:color="auto" w:fill="auto"/>
                  <w:noWrap w:val="0"/>
                  <w:vAlign w:val="center"/>
                </w:tcPr>
                <w:p w14:paraId="0E9C6E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0.100</w:t>
                  </w:r>
                </w:p>
              </w:tc>
              <w:tc>
                <w:tcPr>
                  <w:tcW w:w="1142" w:type="dxa"/>
                  <w:tcBorders>
                    <w:tl2br w:val="nil"/>
                    <w:tr2bl w:val="nil"/>
                  </w:tcBorders>
                  <w:shd w:val="clear" w:color="auto" w:fill="auto"/>
                  <w:noWrap w:val="0"/>
                  <w:vAlign w:val="center"/>
                </w:tcPr>
                <w:p w14:paraId="721B73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0.42 </w:t>
                  </w:r>
                </w:p>
              </w:tc>
            </w:tr>
            <w:tr w14:paraId="6C766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tcBorders>
                    <w:tl2br w:val="nil"/>
                    <w:tr2bl w:val="nil"/>
                  </w:tcBorders>
                  <w:shd w:val="clear" w:color="auto" w:fill="auto"/>
                  <w:noWrap/>
                  <w:vAlign w:val="center"/>
                </w:tcPr>
                <w:p w14:paraId="1810E181">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3</w:t>
                  </w:r>
                </w:p>
              </w:tc>
              <w:tc>
                <w:tcPr>
                  <w:tcW w:w="957" w:type="pct"/>
                  <w:tcBorders>
                    <w:tl2br w:val="nil"/>
                    <w:tr2bl w:val="nil"/>
                  </w:tcBorders>
                  <w:shd w:val="clear" w:color="auto" w:fill="auto"/>
                  <w:noWrap w:val="0"/>
                  <w:vAlign w:val="center"/>
                </w:tcPr>
                <w:p w14:paraId="4232690F">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底漆烘干</w:t>
                  </w:r>
                </w:p>
              </w:tc>
              <w:tc>
                <w:tcPr>
                  <w:tcW w:w="889" w:type="pct"/>
                  <w:tcBorders>
                    <w:tl2br w:val="nil"/>
                    <w:tr2bl w:val="nil"/>
                  </w:tcBorders>
                  <w:shd w:val="clear" w:color="auto" w:fill="auto"/>
                  <w:noWrap w:val="0"/>
                  <w:vAlign w:val="center"/>
                </w:tcPr>
                <w:p w14:paraId="29117DF2">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非甲烷总烃</w:t>
                  </w:r>
                </w:p>
              </w:tc>
              <w:tc>
                <w:tcPr>
                  <w:tcW w:w="1349" w:type="dxa"/>
                  <w:tcBorders>
                    <w:tl2br w:val="nil"/>
                    <w:tr2bl w:val="nil"/>
                  </w:tcBorders>
                  <w:shd w:val="clear" w:color="auto" w:fill="auto"/>
                  <w:noWrap w:val="0"/>
                  <w:vAlign w:val="center"/>
                </w:tcPr>
                <w:p w14:paraId="0AE211D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605" w:type="pct"/>
                  <w:vMerge w:val="continue"/>
                  <w:tcBorders>
                    <w:tl2br w:val="nil"/>
                    <w:tr2bl w:val="nil"/>
                  </w:tcBorders>
                  <w:noWrap w:val="0"/>
                  <w:vAlign w:val="center"/>
                </w:tcPr>
                <w:p w14:paraId="7EDC774C">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shd w:val="clear" w:color="auto" w:fill="auto"/>
                  <w:noWrap w:val="0"/>
                  <w:vAlign w:val="center"/>
                </w:tcPr>
                <w:p w14:paraId="38F2B9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0.033</w:t>
                  </w:r>
                </w:p>
              </w:tc>
              <w:tc>
                <w:tcPr>
                  <w:tcW w:w="1142" w:type="dxa"/>
                  <w:tcBorders>
                    <w:tl2br w:val="nil"/>
                    <w:tr2bl w:val="nil"/>
                  </w:tcBorders>
                  <w:shd w:val="clear" w:color="auto" w:fill="auto"/>
                  <w:noWrap w:val="0"/>
                  <w:vAlign w:val="center"/>
                </w:tcPr>
                <w:p w14:paraId="4C419A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0.07 </w:t>
                  </w:r>
                </w:p>
              </w:tc>
            </w:tr>
            <w:tr w14:paraId="60623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8" w:hRule="atLeast"/>
                <w:jc w:val="center"/>
              </w:trPr>
              <w:tc>
                <w:tcPr>
                  <w:tcW w:w="353" w:type="pct"/>
                  <w:vMerge w:val="restart"/>
                  <w:tcBorders>
                    <w:tl2br w:val="nil"/>
                    <w:tr2bl w:val="nil"/>
                  </w:tcBorders>
                  <w:shd w:val="clear" w:color="auto" w:fill="auto"/>
                  <w:noWrap/>
                  <w:vAlign w:val="center"/>
                </w:tcPr>
                <w:p w14:paraId="6D164441">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957" w:type="pct"/>
                  <w:vMerge w:val="restart"/>
                  <w:tcBorders>
                    <w:tl2br w:val="nil"/>
                    <w:tr2bl w:val="nil"/>
                  </w:tcBorders>
                  <w:shd w:val="clear" w:color="auto" w:fill="auto"/>
                  <w:noWrap w:val="0"/>
                  <w:vAlign w:val="center"/>
                </w:tcPr>
                <w:p w14:paraId="3FAACA4F">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面漆喷漆</w:t>
                  </w:r>
                </w:p>
              </w:tc>
              <w:tc>
                <w:tcPr>
                  <w:tcW w:w="889" w:type="pct"/>
                  <w:tcBorders>
                    <w:tl2br w:val="nil"/>
                    <w:tr2bl w:val="nil"/>
                  </w:tcBorders>
                  <w:shd w:val="clear" w:color="auto" w:fill="auto"/>
                  <w:noWrap w:val="0"/>
                  <w:vAlign w:val="center"/>
                </w:tcPr>
                <w:p w14:paraId="48CE8343">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非甲烷总烃</w:t>
                  </w:r>
                </w:p>
              </w:tc>
              <w:tc>
                <w:tcPr>
                  <w:tcW w:w="1349" w:type="dxa"/>
                  <w:tcBorders>
                    <w:tl2br w:val="nil"/>
                    <w:tr2bl w:val="nil"/>
                  </w:tcBorders>
                  <w:shd w:val="clear" w:color="auto" w:fill="auto"/>
                  <w:noWrap w:val="0"/>
                  <w:vAlign w:val="center"/>
                </w:tcPr>
                <w:p w14:paraId="159280E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605" w:type="pct"/>
                  <w:vMerge w:val="continue"/>
                  <w:tcBorders>
                    <w:tl2br w:val="nil"/>
                    <w:tr2bl w:val="nil"/>
                  </w:tcBorders>
                  <w:noWrap w:val="0"/>
                  <w:vAlign w:val="center"/>
                </w:tcPr>
                <w:p w14:paraId="4D0C9F9D">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shd w:val="clear" w:color="auto" w:fill="auto"/>
                  <w:noWrap w:val="0"/>
                  <w:vAlign w:val="center"/>
                </w:tcPr>
                <w:p w14:paraId="5E1355D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0.353</w:t>
                  </w:r>
                </w:p>
              </w:tc>
              <w:tc>
                <w:tcPr>
                  <w:tcW w:w="1142" w:type="dxa"/>
                  <w:tcBorders>
                    <w:tl2br w:val="nil"/>
                    <w:tr2bl w:val="nil"/>
                  </w:tcBorders>
                  <w:shd w:val="clear" w:color="auto" w:fill="auto"/>
                  <w:noWrap w:val="0"/>
                  <w:vAlign w:val="center"/>
                </w:tcPr>
                <w:p w14:paraId="7BCC28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0.88 </w:t>
                  </w:r>
                </w:p>
              </w:tc>
            </w:tr>
            <w:tr w14:paraId="4020EF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8" w:hRule="atLeast"/>
                <w:jc w:val="center"/>
              </w:trPr>
              <w:tc>
                <w:tcPr>
                  <w:tcW w:w="353" w:type="pct"/>
                  <w:vMerge w:val="continue"/>
                  <w:tcBorders>
                    <w:tl2br w:val="nil"/>
                    <w:tr2bl w:val="nil"/>
                  </w:tcBorders>
                  <w:shd w:val="clear" w:color="auto" w:fill="auto"/>
                  <w:noWrap/>
                  <w:vAlign w:val="center"/>
                </w:tcPr>
                <w:p w14:paraId="54813850">
                  <w:pPr>
                    <w:keepNext w:val="0"/>
                    <w:keepLines w:val="0"/>
                    <w:widowControl/>
                    <w:suppressLineNumbers w:val="0"/>
                    <w:jc w:val="center"/>
                    <w:textAlignment w:val="center"/>
                    <w:rPr>
                      <w:color w:val="000000" w:themeColor="text1"/>
                      <w14:textFill>
                        <w14:solidFill>
                          <w14:schemeClr w14:val="tx1"/>
                        </w14:solidFill>
                      </w14:textFill>
                    </w:rPr>
                  </w:pPr>
                </w:p>
              </w:tc>
              <w:tc>
                <w:tcPr>
                  <w:tcW w:w="957" w:type="pct"/>
                  <w:vMerge w:val="continue"/>
                  <w:tcBorders>
                    <w:tl2br w:val="nil"/>
                    <w:tr2bl w:val="nil"/>
                  </w:tcBorders>
                  <w:noWrap w:val="0"/>
                  <w:vAlign w:val="center"/>
                </w:tcPr>
                <w:p w14:paraId="42EF8174">
                  <w:pPr>
                    <w:keepNext w:val="0"/>
                    <w:keepLines w:val="0"/>
                    <w:widowControl/>
                    <w:suppressLineNumbers w:val="0"/>
                    <w:jc w:val="center"/>
                    <w:textAlignment w:val="center"/>
                    <w:rPr>
                      <w:color w:val="000000" w:themeColor="text1"/>
                      <w14:textFill>
                        <w14:solidFill>
                          <w14:schemeClr w14:val="tx1"/>
                        </w14:solidFill>
                      </w14:textFill>
                    </w:rPr>
                  </w:pPr>
                </w:p>
              </w:tc>
              <w:tc>
                <w:tcPr>
                  <w:tcW w:w="889" w:type="pct"/>
                  <w:tcBorders>
                    <w:tl2br w:val="nil"/>
                    <w:tr2bl w:val="nil"/>
                  </w:tcBorders>
                  <w:shd w:val="clear" w:color="auto" w:fill="auto"/>
                  <w:noWrap w:val="0"/>
                  <w:vAlign w:val="center"/>
                </w:tcPr>
                <w:p w14:paraId="7F11B469">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颗粒物</w:t>
                  </w:r>
                </w:p>
              </w:tc>
              <w:tc>
                <w:tcPr>
                  <w:tcW w:w="1349" w:type="dxa"/>
                  <w:tcBorders>
                    <w:tl2br w:val="nil"/>
                    <w:tr2bl w:val="nil"/>
                  </w:tcBorders>
                  <w:shd w:val="clear" w:color="auto" w:fill="auto"/>
                  <w:noWrap w:val="0"/>
                  <w:vAlign w:val="center"/>
                </w:tcPr>
                <w:p w14:paraId="5869E28C">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605" w:type="pct"/>
                  <w:vMerge w:val="continue"/>
                  <w:tcBorders>
                    <w:tl2br w:val="nil"/>
                    <w:tr2bl w:val="nil"/>
                  </w:tcBorders>
                  <w:noWrap w:val="0"/>
                  <w:vAlign w:val="center"/>
                </w:tcPr>
                <w:p w14:paraId="23BB0F30">
                  <w:pPr>
                    <w:keepNext w:val="0"/>
                    <w:keepLines w:val="0"/>
                    <w:widowControl/>
                    <w:suppressLineNumbers w:val="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shd w:val="clear" w:color="auto" w:fill="auto"/>
                  <w:noWrap w:val="0"/>
                  <w:vAlign w:val="center"/>
                </w:tcPr>
                <w:p w14:paraId="261D5E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1.982</w:t>
                  </w:r>
                </w:p>
              </w:tc>
              <w:tc>
                <w:tcPr>
                  <w:tcW w:w="1142" w:type="dxa"/>
                  <w:tcBorders>
                    <w:tl2br w:val="nil"/>
                    <w:tr2bl w:val="nil"/>
                  </w:tcBorders>
                  <w:shd w:val="clear" w:color="auto" w:fill="auto"/>
                  <w:noWrap w:val="0"/>
                  <w:vAlign w:val="center"/>
                </w:tcPr>
                <w:p w14:paraId="4359E8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4.95 </w:t>
                  </w:r>
                </w:p>
              </w:tc>
            </w:tr>
            <w:tr w14:paraId="16318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tcBorders>
                    <w:tl2br w:val="nil"/>
                    <w:tr2bl w:val="nil"/>
                  </w:tcBorders>
                  <w:shd w:val="clear" w:color="auto" w:fill="auto"/>
                  <w:noWrap/>
                  <w:vAlign w:val="center"/>
                </w:tcPr>
                <w:p w14:paraId="6130877A">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957" w:type="pct"/>
                  <w:tcBorders>
                    <w:tl2br w:val="nil"/>
                    <w:tr2bl w:val="nil"/>
                  </w:tcBorders>
                  <w:shd w:val="clear" w:color="auto" w:fill="auto"/>
                  <w:noWrap w:val="0"/>
                  <w:vAlign w:val="center"/>
                </w:tcPr>
                <w:p w14:paraId="702FFD69">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面漆</w:t>
                  </w:r>
                  <w:r>
                    <w:rPr>
                      <w:rFonts w:hint="default"/>
                      <w:color w:val="000000" w:themeColor="text1"/>
                      <w:kern w:val="0"/>
                      <w:sz w:val="21"/>
                      <w:szCs w:val="21"/>
                      <w:highlight w:val="none"/>
                      <w:lang w:bidi="ar"/>
                      <w14:textFill>
                        <w14:solidFill>
                          <w14:schemeClr w14:val="tx1"/>
                        </w14:solidFill>
                      </w14:textFill>
                    </w:rPr>
                    <w:t>流平固化</w:t>
                  </w:r>
                </w:p>
              </w:tc>
              <w:tc>
                <w:tcPr>
                  <w:tcW w:w="889" w:type="pct"/>
                  <w:tcBorders>
                    <w:tl2br w:val="nil"/>
                    <w:tr2bl w:val="nil"/>
                  </w:tcBorders>
                  <w:shd w:val="clear" w:color="auto" w:fill="auto"/>
                  <w:noWrap w:val="0"/>
                  <w:vAlign w:val="center"/>
                </w:tcPr>
                <w:p w14:paraId="3F2D7A76">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非甲烷总烃</w:t>
                  </w:r>
                </w:p>
              </w:tc>
              <w:tc>
                <w:tcPr>
                  <w:tcW w:w="1349" w:type="dxa"/>
                  <w:tcBorders>
                    <w:tl2br w:val="nil"/>
                    <w:tr2bl w:val="nil"/>
                  </w:tcBorders>
                  <w:shd w:val="clear" w:color="auto" w:fill="auto"/>
                  <w:noWrap w:val="0"/>
                  <w:vAlign w:val="center"/>
                </w:tcPr>
                <w:p w14:paraId="4EC26EA1">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240</w:t>
                  </w:r>
                </w:p>
              </w:tc>
              <w:tc>
                <w:tcPr>
                  <w:tcW w:w="605" w:type="pct"/>
                  <w:vMerge w:val="continue"/>
                  <w:tcBorders>
                    <w:tl2br w:val="nil"/>
                    <w:tr2bl w:val="nil"/>
                  </w:tcBorders>
                  <w:noWrap w:val="0"/>
                  <w:vAlign w:val="center"/>
                </w:tcPr>
                <w:p w14:paraId="239E7F7C">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shd w:val="clear" w:color="auto" w:fill="auto"/>
                  <w:noWrap w:val="0"/>
                  <w:vAlign w:val="center"/>
                </w:tcPr>
                <w:p w14:paraId="20D644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0.066</w:t>
                  </w:r>
                </w:p>
              </w:tc>
              <w:tc>
                <w:tcPr>
                  <w:tcW w:w="1142" w:type="dxa"/>
                  <w:tcBorders>
                    <w:tl2br w:val="nil"/>
                    <w:tr2bl w:val="nil"/>
                  </w:tcBorders>
                  <w:shd w:val="clear" w:color="auto" w:fill="auto"/>
                  <w:noWrap w:val="0"/>
                  <w:vAlign w:val="center"/>
                </w:tcPr>
                <w:p w14:paraId="2339F4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0.25 </w:t>
                  </w:r>
                </w:p>
              </w:tc>
            </w:tr>
            <w:tr w14:paraId="3970E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353" w:type="pct"/>
                  <w:tcBorders>
                    <w:tl2br w:val="nil"/>
                    <w:tr2bl w:val="nil"/>
                  </w:tcBorders>
                  <w:shd w:val="clear" w:color="auto" w:fill="auto"/>
                  <w:noWrap/>
                  <w:vAlign w:val="center"/>
                </w:tcPr>
                <w:p w14:paraId="7D44D192">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w:t>
                  </w:r>
                </w:p>
              </w:tc>
              <w:tc>
                <w:tcPr>
                  <w:tcW w:w="957" w:type="pct"/>
                  <w:tcBorders>
                    <w:tl2br w:val="nil"/>
                    <w:tr2bl w:val="nil"/>
                  </w:tcBorders>
                  <w:shd w:val="clear" w:color="auto" w:fill="auto"/>
                  <w:noWrap w:val="0"/>
                  <w:vAlign w:val="center"/>
                </w:tcPr>
                <w:p w14:paraId="5D84F8E1">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面漆烘干</w:t>
                  </w:r>
                </w:p>
              </w:tc>
              <w:tc>
                <w:tcPr>
                  <w:tcW w:w="889" w:type="pct"/>
                  <w:tcBorders>
                    <w:tl2br w:val="nil"/>
                    <w:tr2bl w:val="nil"/>
                  </w:tcBorders>
                  <w:shd w:val="clear" w:color="auto" w:fill="auto"/>
                  <w:noWrap w:val="0"/>
                  <w:vAlign w:val="center"/>
                </w:tcPr>
                <w:p w14:paraId="7796EB11">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非甲烷总烃</w:t>
                  </w:r>
                </w:p>
              </w:tc>
              <w:tc>
                <w:tcPr>
                  <w:tcW w:w="1349" w:type="dxa"/>
                  <w:tcBorders>
                    <w:tl2br w:val="nil"/>
                    <w:tr2bl w:val="nil"/>
                  </w:tcBorders>
                  <w:shd w:val="clear" w:color="auto" w:fill="auto"/>
                  <w:noWrap w:val="0"/>
                  <w:vAlign w:val="center"/>
                </w:tcPr>
                <w:p w14:paraId="351C69F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605" w:type="pct"/>
                  <w:vMerge w:val="continue"/>
                  <w:tcBorders>
                    <w:tl2br w:val="nil"/>
                    <w:tr2bl w:val="nil"/>
                  </w:tcBorders>
                  <w:noWrap w:val="0"/>
                  <w:vAlign w:val="center"/>
                </w:tcPr>
                <w:p w14:paraId="18269927">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623" w:type="pct"/>
                  <w:tcBorders>
                    <w:tl2br w:val="nil"/>
                    <w:tr2bl w:val="nil"/>
                  </w:tcBorders>
                  <w:shd w:val="clear" w:color="auto" w:fill="auto"/>
                  <w:noWrap w:val="0"/>
                  <w:vAlign w:val="center"/>
                </w:tcPr>
                <w:p w14:paraId="6092AE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0.022</w:t>
                  </w:r>
                </w:p>
              </w:tc>
              <w:tc>
                <w:tcPr>
                  <w:tcW w:w="1142" w:type="dxa"/>
                  <w:tcBorders>
                    <w:tl2br w:val="nil"/>
                    <w:tr2bl w:val="nil"/>
                  </w:tcBorders>
                  <w:shd w:val="clear" w:color="auto" w:fill="auto"/>
                  <w:noWrap w:val="0"/>
                  <w:vAlign w:val="center"/>
                </w:tcPr>
                <w:p w14:paraId="229F6F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 </w:t>
                  </w:r>
                </w:p>
              </w:tc>
            </w:tr>
            <w:tr w14:paraId="4B7FA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5000" w:type="pct"/>
                  <w:gridSpan w:val="7"/>
                  <w:shd w:val="clear" w:color="auto" w:fill="auto"/>
                  <w:vAlign w:val="center"/>
                </w:tcPr>
                <w:p w14:paraId="682949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2#生产线</w:t>
                  </w:r>
                  <w:r>
                    <w:rPr>
                      <w:rFonts w:hint="default"/>
                      <w:color w:val="000000" w:themeColor="text1"/>
                      <w:kern w:val="0"/>
                      <w:sz w:val="21"/>
                      <w:szCs w:val="21"/>
                      <w:highlight w:val="none"/>
                      <w:lang w:bidi="ar"/>
                      <w14:textFill>
                        <w14:solidFill>
                          <w14:schemeClr w14:val="tx1"/>
                        </w14:solidFill>
                      </w14:textFill>
                    </w:rPr>
                    <w:t>无组织排放</w:t>
                  </w:r>
                </w:p>
              </w:tc>
            </w:tr>
            <w:tr w14:paraId="19385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0" w:type="auto"/>
                  <w:shd w:val="clear" w:color="auto" w:fill="auto"/>
                  <w:vAlign w:val="center"/>
                </w:tcPr>
                <w:p w14:paraId="6E001BF4">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1</w:t>
                  </w:r>
                </w:p>
              </w:tc>
              <w:tc>
                <w:tcPr>
                  <w:tcW w:w="957" w:type="pct"/>
                  <w:vMerge w:val="restart"/>
                  <w:shd w:val="clear" w:color="auto" w:fill="auto"/>
                  <w:vAlign w:val="center"/>
                </w:tcPr>
                <w:p w14:paraId="7DD0951B">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底漆</w:t>
                  </w:r>
                  <w:r>
                    <w:rPr>
                      <w:rFonts w:hint="default"/>
                      <w:color w:val="000000" w:themeColor="text1"/>
                      <w:sz w:val="21"/>
                      <w:szCs w:val="21"/>
                      <w:highlight w:val="none"/>
                      <w14:textFill>
                        <w14:solidFill>
                          <w14:schemeClr w14:val="tx1"/>
                        </w14:solidFill>
                      </w14:textFill>
                    </w:rPr>
                    <w:t>涂装废气</w:t>
                  </w:r>
                </w:p>
              </w:tc>
              <w:tc>
                <w:tcPr>
                  <w:tcW w:w="0" w:type="auto"/>
                  <w:shd w:val="clear" w:color="auto" w:fill="auto"/>
                  <w:vAlign w:val="center"/>
                </w:tcPr>
                <w:p w14:paraId="5C6367FE">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非甲烷总烃</w:t>
                  </w:r>
                </w:p>
              </w:tc>
              <w:tc>
                <w:tcPr>
                  <w:tcW w:w="1349" w:type="dxa"/>
                  <w:shd w:val="clear" w:color="auto" w:fill="auto"/>
                  <w:vAlign w:val="center"/>
                </w:tcPr>
                <w:p w14:paraId="361D842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1140</w:t>
                  </w:r>
                </w:p>
              </w:tc>
              <w:tc>
                <w:tcPr>
                  <w:tcW w:w="605" w:type="pct"/>
                  <w:vMerge w:val="restart"/>
                  <w:vAlign w:val="center"/>
                </w:tcPr>
                <w:p w14:paraId="61CA1A7F">
                  <w:pPr>
                    <w:keepNext w:val="0"/>
                    <w:keepLines w:val="0"/>
                    <w:widowControl/>
                    <w:suppressLineNumbers w:val="0"/>
                    <w:shd w:val="clear" w:color="auto" w:fill="auto"/>
                    <w:spacing w:before="0" w:beforeAutospacing="0" w:after="0" w:afterAutospacing="0"/>
                    <w:ind w:left="0" w:right="0"/>
                    <w:jc w:val="center"/>
                    <w:textAlignment w:val="center"/>
                    <w:rPr>
                      <w:rFonts w:hint="eastAsia"/>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物料</w:t>
                  </w:r>
                </w:p>
                <w:p w14:paraId="172A6B51">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衡算</w:t>
                  </w:r>
                </w:p>
              </w:tc>
              <w:tc>
                <w:tcPr>
                  <w:tcW w:w="623" w:type="pct"/>
                  <w:shd w:val="clear" w:color="auto" w:fill="auto"/>
                  <w:vAlign w:val="center"/>
                </w:tcPr>
                <w:p w14:paraId="642E4B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0.074</w:t>
                  </w:r>
                </w:p>
              </w:tc>
              <w:tc>
                <w:tcPr>
                  <w:tcW w:w="1142" w:type="dxa"/>
                  <w:shd w:val="clear" w:color="auto" w:fill="auto"/>
                  <w:vAlign w:val="center"/>
                </w:tcPr>
                <w:p w14:paraId="3ABD8A9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0.06 </w:t>
                  </w:r>
                </w:p>
              </w:tc>
            </w:tr>
            <w:tr w14:paraId="3E653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0" w:type="auto"/>
                  <w:shd w:val="clear" w:color="auto" w:fill="auto"/>
                  <w:vAlign w:val="center"/>
                </w:tcPr>
                <w:p w14:paraId="16392849">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2</w:t>
                  </w:r>
                </w:p>
              </w:tc>
              <w:tc>
                <w:tcPr>
                  <w:tcW w:w="957" w:type="pct"/>
                  <w:vMerge w:val="continue"/>
                </w:tcPr>
                <w:p w14:paraId="5CD22BCE">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0" w:type="auto"/>
                  <w:shd w:val="clear" w:color="auto" w:fill="auto"/>
                  <w:vAlign w:val="center"/>
                </w:tcPr>
                <w:p w14:paraId="79771C98">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颗粒物</w:t>
                  </w:r>
                </w:p>
              </w:tc>
              <w:tc>
                <w:tcPr>
                  <w:tcW w:w="1349" w:type="dxa"/>
                  <w:shd w:val="clear" w:color="auto" w:fill="auto"/>
                  <w:vAlign w:val="center"/>
                </w:tcPr>
                <w:p w14:paraId="51FE5A0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400</w:t>
                  </w:r>
                </w:p>
              </w:tc>
              <w:tc>
                <w:tcPr>
                  <w:tcW w:w="605" w:type="pct"/>
                  <w:vMerge w:val="continue"/>
                  <w:vAlign w:val="center"/>
                </w:tcPr>
                <w:p w14:paraId="0755C6B7">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color w:val="000000" w:themeColor="text1"/>
                      <w:sz w:val="21"/>
                      <w:szCs w:val="21"/>
                      <w:highlight w:val="none"/>
                      <w14:textFill>
                        <w14:solidFill>
                          <w14:schemeClr w14:val="tx1"/>
                        </w14:solidFill>
                      </w14:textFill>
                    </w:rPr>
                  </w:pPr>
                </w:p>
              </w:tc>
              <w:tc>
                <w:tcPr>
                  <w:tcW w:w="623" w:type="pct"/>
                  <w:shd w:val="clear" w:color="auto" w:fill="auto"/>
                  <w:vAlign w:val="center"/>
                </w:tcPr>
                <w:p w14:paraId="220BDB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0.331</w:t>
                  </w:r>
                </w:p>
              </w:tc>
              <w:tc>
                <w:tcPr>
                  <w:tcW w:w="1142" w:type="dxa"/>
                  <w:shd w:val="clear" w:color="auto" w:fill="auto"/>
                  <w:vAlign w:val="center"/>
                </w:tcPr>
                <w:p w14:paraId="245CFA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0.83 </w:t>
                  </w:r>
                </w:p>
              </w:tc>
            </w:tr>
            <w:tr w14:paraId="504B7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0" w:type="auto"/>
                  <w:shd w:val="clear" w:color="auto" w:fill="auto"/>
                  <w:vAlign w:val="center"/>
                </w:tcPr>
                <w:p w14:paraId="3009EA5C">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957" w:type="pct"/>
                  <w:vMerge w:val="restart"/>
                  <w:shd w:val="clear" w:color="auto" w:fill="auto"/>
                  <w:vAlign w:val="center"/>
                </w:tcPr>
                <w:p w14:paraId="73AB3081">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面漆</w:t>
                  </w:r>
                  <w:r>
                    <w:rPr>
                      <w:rFonts w:hint="default"/>
                      <w:color w:val="000000" w:themeColor="text1"/>
                      <w:sz w:val="21"/>
                      <w:szCs w:val="21"/>
                      <w:highlight w:val="none"/>
                      <w14:textFill>
                        <w14:solidFill>
                          <w14:schemeClr w14:val="tx1"/>
                        </w14:solidFill>
                      </w14:textFill>
                    </w:rPr>
                    <w:t>涂装废气</w:t>
                  </w:r>
                </w:p>
              </w:tc>
              <w:tc>
                <w:tcPr>
                  <w:tcW w:w="0" w:type="auto"/>
                  <w:shd w:val="clear" w:color="auto" w:fill="auto"/>
                  <w:vAlign w:val="center"/>
                </w:tcPr>
                <w:p w14:paraId="0B8DF6CF">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非甲烷总烃</w:t>
                  </w:r>
                </w:p>
              </w:tc>
              <w:tc>
                <w:tcPr>
                  <w:tcW w:w="1349" w:type="dxa"/>
                  <w:shd w:val="clear" w:color="auto" w:fill="auto"/>
                  <w:vAlign w:val="center"/>
                </w:tcPr>
                <w:p w14:paraId="7112426D">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1140</w:t>
                  </w:r>
                </w:p>
              </w:tc>
              <w:tc>
                <w:tcPr>
                  <w:tcW w:w="605" w:type="pct"/>
                  <w:vMerge w:val="continue"/>
                  <w:vAlign w:val="center"/>
                </w:tcPr>
                <w:p w14:paraId="19B01311">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color w:val="000000" w:themeColor="text1"/>
                      <w:sz w:val="21"/>
                      <w:szCs w:val="21"/>
                      <w:highlight w:val="none"/>
                      <w14:textFill>
                        <w14:solidFill>
                          <w14:schemeClr w14:val="tx1"/>
                        </w14:solidFill>
                      </w14:textFill>
                    </w:rPr>
                  </w:pPr>
                </w:p>
              </w:tc>
              <w:tc>
                <w:tcPr>
                  <w:tcW w:w="623" w:type="pct"/>
                  <w:shd w:val="clear" w:color="auto" w:fill="auto"/>
                  <w:vAlign w:val="center"/>
                </w:tcPr>
                <w:p w14:paraId="2808D6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0.049</w:t>
                  </w:r>
                </w:p>
              </w:tc>
              <w:tc>
                <w:tcPr>
                  <w:tcW w:w="1142" w:type="dxa"/>
                  <w:shd w:val="clear" w:color="auto" w:fill="auto"/>
                  <w:vAlign w:val="center"/>
                </w:tcPr>
                <w:p w14:paraId="3E1272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 </w:t>
                  </w:r>
                </w:p>
              </w:tc>
            </w:tr>
            <w:tr w14:paraId="4A6CD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trPr>
              <w:tc>
                <w:tcPr>
                  <w:tcW w:w="0" w:type="auto"/>
                  <w:shd w:val="clear" w:color="auto" w:fill="auto"/>
                  <w:vAlign w:val="center"/>
                </w:tcPr>
                <w:p w14:paraId="2110B7E3">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957" w:type="pct"/>
                  <w:vMerge w:val="continue"/>
                </w:tcPr>
                <w:p w14:paraId="41F17DA0">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p>
              </w:tc>
              <w:tc>
                <w:tcPr>
                  <w:tcW w:w="0" w:type="auto"/>
                  <w:shd w:val="clear" w:color="auto" w:fill="auto"/>
                  <w:vAlign w:val="center"/>
                </w:tcPr>
                <w:p w14:paraId="10F80BDB">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sz w:val="21"/>
                      <w:szCs w:val="21"/>
                      <w:highlight w:val="none"/>
                      <w14:textFill>
                        <w14:solidFill>
                          <w14:schemeClr w14:val="tx1"/>
                        </w14:solidFill>
                      </w14:textFill>
                    </w:rPr>
                    <w:t>颗粒物</w:t>
                  </w:r>
                </w:p>
              </w:tc>
              <w:tc>
                <w:tcPr>
                  <w:tcW w:w="1349" w:type="dxa"/>
                  <w:shd w:val="clear" w:color="auto" w:fill="auto"/>
                  <w:vAlign w:val="center"/>
                </w:tcPr>
                <w:p w14:paraId="1103F27A">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400</w:t>
                  </w:r>
                </w:p>
              </w:tc>
              <w:tc>
                <w:tcPr>
                  <w:tcW w:w="605" w:type="pct"/>
                  <w:vMerge w:val="continue"/>
                  <w:vAlign w:val="center"/>
                </w:tcPr>
                <w:p w14:paraId="4596ACDE">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color w:val="000000" w:themeColor="text1"/>
                      <w:sz w:val="21"/>
                      <w:szCs w:val="21"/>
                      <w:highlight w:val="none"/>
                      <w14:textFill>
                        <w14:solidFill>
                          <w14:schemeClr w14:val="tx1"/>
                        </w14:solidFill>
                      </w14:textFill>
                    </w:rPr>
                  </w:pPr>
                </w:p>
              </w:tc>
              <w:tc>
                <w:tcPr>
                  <w:tcW w:w="623" w:type="pct"/>
                  <w:shd w:val="clear" w:color="auto" w:fill="auto"/>
                  <w:vAlign w:val="center"/>
                </w:tcPr>
                <w:p w14:paraId="05DAFF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0.220</w:t>
                  </w:r>
                </w:p>
              </w:tc>
              <w:tc>
                <w:tcPr>
                  <w:tcW w:w="1142" w:type="dxa"/>
                  <w:shd w:val="clear" w:color="auto" w:fill="auto"/>
                  <w:vAlign w:val="center"/>
                </w:tcPr>
                <w:p w14:paraId="0D2D89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0.55 </w:t>
                  </w:r>
                </w:p>
              </w:tc>
            </w:tr>
          </w:tbl>
          <w:p w14:paraId="5D9F89D9">
            <w:pPr>
              <w:keepNext w:val="0"/>
              <w:keepLines w:val="0"/>
              <w:suppressLineNumbers w:val="0"/>
              <w:shd w:val="clear" w:color="auto" w:fill="auto"/>
              <w:adjustRightInd w:val="0"/>
              <w:snapToGrid w:val="0"/>
              <w:spacing w:before="0" w:beforeAutospacing="0" w:after="0" w:afterAutospacing="0" w:line="460" w:lineRule="exact"/>
              <w:ind w:left="0" w:right="0" w:firstLine="480" w:firstLineChars="200"/>
              <w:jc w:val="left"/>
              <w:rPr>
                <w:rFonts w:hint="default"/>
                <w:color w:val="000000" w:themeColor="text1"/>
                <w:sz w:val="24"/>
                <w:highlight w:val="none"/>
                <w14:textFill>
                  <w14:solidFill>
                    <w14:schemeClr w14:val="tx1"/>
                  </w14:solidFill>
                </w14:textFill>
              </w:rPr>
            </w:pPr>
            <w:r>
              <w:rPr>
                <w:rFonts w:hint="default"/>
                <w:color w:val="000000" w:themeColor="text1"/>
                <w:sz w:val="24"/>
                <w:highlight w:val="none"/>
                <w14:textFill>
                  <w14:solidFill>
                    <w14:schemeClr w14:val="tx1"/>
                  </w14:solidFill>
                </w14:textFill>
              </w:rPr>
              <w:t>（4）物料平衡</w:t>
            </w:r>
          </w:p>
          <w:p w14:paraId="239E8BD8">
            <w:pPr>
              <w:keepNext w:val="0"/>
              <w:keepLines w:val="0"/>
              <w:suppressLineNumbers w:val="0"/>
              <w:shd w:val="clear" w:color="auto" w:fill="auto"/>
              <w:adjustRightInd w:val="0"/>
              <w:snapToGrid w:val="0"/>
              <w:spacing w:before="0" w:beforeAutospacing="0" w:after="0" w:afterAutospacing="0" w:line="460" w:lineRule="exact"/>
              <w:ind w:left="0" w:right="0" w:firstLine="480" w:firstLineChars="200"/>
              <w:jc w:val="left"/>
              <w:rPr>
                <w:rFonts w:hint="default"/>
                <w:color w:val="000000" w:themeColor="text1"/>
                <w:sz w:val="24"/>
                <w:highlight w:val="none"/>
                <w14:textFill>
                  <w14:solidFill>
                    <w14:schemeClr w14:val="tx1"/>
                  </w14:solidFill>
                </w14:textFill>
              </w:rPr>
            </w:pPr>
            <w:r>
              <w:rPr>
                <w:rFonts w:hint="default"/>
                <w:color w:val="000000" w:themeColor="text1"/>
                <w:sz w:val="24"/>
                <w:highlight w:val="none"/>
                <w14:textFill>
                  <w14:solidFill>
                    <w14:schemeClr w14:val="tx1"/>
                  </w14:solidFill>
                </w14:textFill>
              </w:rPr>
              <w:t>物料平衡见表2-1</w:t>
            </w:r>
            <w:r>
              <w:rPr>
                <w:rFonts w:hint="eastAsia"/>
                <w:color w:val="000000" w:themeColor="text1"/>
                <w:sz w:val="24"/>
                <w:highlight w:val="none"/>
                <w:lang w:val="en-US" w:eastAsia="zh-CN"/>
                <w14:textFill>
                  <w14:solidFill>
                    <w14:schemeClr w14:val="tx1"/>
                  </w14:solidFill>
                </w14:textFill>
              </w:rPr>
              <w:t>5</w:t>
            </w:r>
            <w:r>
              <w:rPr>
                <w:rFonts w:hint="default"/>
                <w:color w:val="000000" w:themeColor="text1"/>
                <w:sz w:val="24"/>
                <w:highlight w:val="none"/>
                <w14:textFill>
                  <w14:solidFill>
                    <w14:schemeClr w14:val="tx1"/>
                  </w14:solidFill>
                </w14:textFill>
              </w:rPr>
              <w:t>和物料平衡图见图2-</w:t>
            </w:r>
            <w:r>
              <w:rPr>
                <w:rFonts w:hint="eastAsia"/>
                <w:color w:val="000000" w:themeColor="text1"/>
                <w:sz w:val="24"/>
                <w:highlight w:val="none"/>
                <w:lang w:val="en-US" w:eastAsia="zh-CN"/>
                <w14:textFill>
                  <w14:solidFill>
                    <w14:schemeClr w14:val="tx1"/>
                  </w14:solidFill>
                </w14:textFill>
              </w:rPr>
              <w:t>2</w:t>
            </w:r>
            <w:r>
              <w:rPr>
                <w:rFonts w:hint="default"/>
                <w:color w:val="000000" w:themeColor="text1"/>
                <w:sz w:val="24"/>
                <w:highlight w:val="none"/>
                <w14:textFill>
                  <w14:solidFill>
                    <w14:schemeClr w14:val="tx1"/>
                  </w14:solidFill>
                </w14:textFill>
              </w:rPr>
              <w:t>至图2-</w:t>
            </w:r>
            <w:r>
              <w:rPr>
                <w:rFonts w:hint="eastAsia"/>
                <w:color w:val="000000" w:themeColor="text1"/>
                <w:sz w:val="24"/>
                <w:highlight w:val="none"/>
                <w:lang w:val="en-US" w:eastAsia="zh-CN"/>
                <w14:textFill>
                  <w14:solidFill>
                    <w14:schemeClr w14:val="tx1"/>
                  </w14:solidFill>
                </w14:textFill>
              </w:rPr>
              <w:t>3</w:t>
            </w:r>
            <w:r>
              <w:rPr>
                <w:rFonts w:hint="default"/>
                <w:color w:val="000000" w:themeColor="text1"/>
                <w:sz w:val="24"/>
                <w:highlight w:val="none"/>
                <w14:textFill>
                  <w14:solidFill>
                    <w14:schemeClr w14:val="tx1"/>
                  </w14:solidFill>
                </w14:textFill>
              </w:rPr>
              <w:t>。</w:t>
            </w:r>
          </w:p>
          <w:p w14:paraId="7E46AF36">
            <w:pPr>
              <w:keepNext w:val="0"/>
              <w:keepLines w:val="0"/>
              <w:suppressLineNumbers w:val="0"/>
              <w:shd w:val="clear" w:color="auto" w:fill="auto"/>
              <w:adjustRightInd w:val="0"/>
              <w:snapToGrid w:val="0"/>
              <w:spacing w:before="0" w:beforeAutospacing="0" w:after="0" w:afterAutospacing="0" w:line="460" w:lineRule="exact"/>
              <w:ind w:left="0" w:right="0"/>
              <w:jc w:val="center"/>
              <w:rPr>
                <w:rFonts w:hint="default"/>
                <w:b/>
                <w:bCs/>
                <w:color w:val="000000" w:themeColor="text1"/>
                <w:sz w:val="24"/>
                <w:highlight w:val="none"/>
                <w14:textFill>
                  <w14:solidFill>
                    <w14:schemeClr w14:val="tx1"/>
                  </w14:solidFill>
                </w14:textFill>
              </w:rPr>
            </w:pPr>
            <w:r>
              <w:rPr>
                <w:rFonts w:hint="default"/>
                <w:b/>
                <w:bCs/>
                <w:color w:val="000000" w:themeColor="text1"/>
                <w:sz w:val="24"/>
                <w:highlight w:val="none"/>
                <w14:textFill>
                  <w14:solidFill>
                    <w14:schemeClr w14:val="tx1"/>
                  </w14:solidFill>
                </w14:textFill>
              </w:rPr>
              <w:t>表2-1</w:t>
            </w:r>
            <w:r>
              <w:rPr>
                <w:rFonts w:hint="eastAsia"/>
                <w:b/>
                <w:bCs/>
                <w:color w:val="000000" w:themeColor="text1"/>
                <w:sz w:val="24"/>
                <w:highlight w:val="none"/>
                <w:lang w:val="en-US" w:eastAsia="zh-CN"/>
                <w14:textFill>
                  <w14:solidFill>
                    <w14:schemeClr w14:val="tx1"/>
                  </w14:solidFill>
                </w14:textFill>
              </w:rPr>
              <w:t>5</w:t>
            </w:r>
            <w:r>
              <w:rPr>
                <w:rFonts w:hint="default"/>
                <w:b/>
                <w:bCs/>
                <w:color w:val="000000" w:themeColor="text1"/>
                <w:sz w:val="24"/>
                <w:highlight w:val="none"/>
                <w14:textFill>
                  <w14:solidFill>
                    <w14:schemeClr w14:val="tx1"/>
                  </w14:solidFill>
                </w14:textFill>
              </w:rPr>
              <w:t>本项目物料平衡表</w:t>
            </w:r>
          </w:p>
          <w:tbl>
            <w:tblPr>
              <w:tblStyle w:val="21"/>
              <w:tblW w:w="7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114"/>
              <w:gridCol w:w="907"/>
              <w:gridCol w:w="497"/>
              <w:gridCol w:w="885"/>
              <w:gridCol w:w="309"/>
              <w:gridCol w:w="1981"/>
              <w:gridCol w:w="1037"/>
            </w:tblGrid>
            <w:tr w14:paraId="7F1F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993" w:type="dxa"/>
                  <w:gridSpan w:val="8"/>
                  <w:noWrap/>
                  <w:vAlign w:val="center"/>
                </w:tcPr>
                <w:p w14:paraId="1AF06DA4">
                  <w:pPr>
                    <w:keepNext w:val="0"/>
                    <w:keepLines w:val="0"/>
                    <w:widowControl/>
                    <w:suppressLineNumbers w:val="0"/>
                    <w:shd w:val="clear" w:color="auto" w:fill="auto"/>
                    <w:spacing w:before="0" w:beforeAutospacing="0" w:after="0" w:afterAutospacing="0"/>
                    <w:ind w:left="0" w:right="0"/>
                    <w:jc w:val="center"/>
                    <w:textAlignment w:val="center"/>
                    <w:rPr>
                      <w:rFonts w:hint="default"/>
                      <w:b/>
                      <w:bCs/>
                      <w:color w:val="000000" w:themeColor="text1"/>
                      <w:sz w:val="21"/>
                      <w:szCs w:val="21"/>
                      <w:highlight w:val="none"/>
                      <w14:textFill>
                        <w14:solidFill>
                          <w14:schemeClr w14:val="tx1"/>
                        </w14:solidFill>
                      </w14:textFill>
                    </w:rPr>
                  </w:pPr>
                  <w:r>
                    <w:rPr>
                      <w:rFonts w:hint="eastAsia"/>
                      <w:b/>
                      <w:bCs/>
                      <w:color w:val="000000" w:themeColor="text1"/>
                      <w:kern w:val="0"/>
                      <w:sz w:val="21"/>
                      <w:szCs w:val="21"/>
                      <w:highlight w:val="none"/>
                      <w:lang w:val="en-US" w:eastAsia="zh-CN" w:bidi="ar"/>
                      <w14:textFill>
                        <w14:solidFill>
                          <w14:schemeClr w14:val="tx1"/>
                        </w14:solidFill>
                      </w14:textFill>
                    </w:rPr>
                    <w:t>1#生产线</w:t>
                  </w:r>
                  <w:r>
                    <w:rPr>
                      <w:rFonts w:hint="default"/>
                      <w:b/>
                      <w:bCs/>
                      <w:color w:val="000000" w:themeColor="text1"/>
                      <w:kern w:val="0"/>
                      <w:sz w:val="21"/>
                      <w:szCs w:val="21"/>
                      <w:highlight w:val="none"/>
                      <w:lang w:bidi="ar"/>
                      <w14:textFill>
                        <w14:solidFill>
                          <w14:schemeClr w14:val="tx1"/>
                        </w14:solidFill>
                      </w14:textFill>
                    </w:rPr>
                    <w:t>涂料</w:t>
                  </w:r>
                </w:p>
              </w:tc>
            </w:tr>
            <w:tr w14:paraId="78ED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7" w:type="dxa"/>
                  <w:gridSpan w:val="2"/>
                  <w:noWrap/>
                  <w:vAlign w:val="center"/>
                </w:tcPr>
                <w:p w14:paraId="17DAE0BA">
                  <w:pPr>
                    <w:keepNext w:val="0"/>
                    <w:keepLines w:val="0"/>
                    <w:widowControl/>
                    <w:suppressLineNumbers w:val="0"/>
                    <w:shd w:val="clear" w:color="auto" w:fill="auto"/>
                    <w:spacing w:before="0" w:beforeAutospacing="0" w:after="0" w:afterAutospacing="0"/>
                    <w:ind w:left="0" w:right="0"/>
                    <w:jc w:val="center"/>
                    <w:textAlignment w:val="bottom"/>
                    <w:rPr>
                      <w:rFonts w:hint="default"/>
                      <w:b/>
                      <w:bCs/>
                      <w:color w:val="000000" w:themeColor="text1"/>
                      <w:sz w:val="21"/>
                      <w:szCs w:val="21"/>
                      <w:highlight w:val="none"/>
                      <w14:textFill>
                        <w14:solidFill>
                          <w14:schemeClr w14:val="tx1"/>
                        </w14:solidFill>
                      </w14:textFill>
                    </w:rPr>
                  </w:pPr>
                  <w:r>
                    <w:rPr>
                      <w:rFonts w:hint="default"/>
                      <w:b/>
                      <w:bCs/>
                      <w:color w:val="000000" w:themeColor="text1"/>
                      <w:kern w:val="0"/>
                      <w:sz w:val="21"/>
                      <w:szCs w:val="21"/>
                      <w:highlight w:val="none"/>
                      <w:lang w:bidi="ar"/>
                      <w14:textFill>
                        <w14:solidFill>
                          <w14:schemeClr w14:val="tx1"/>
                        </w14:solidFill>
                      </w14:textFill>
                    </w:rPr>
                    <w:t>投入</w:t>
                  </w:r>
                  <w:r>
                    <w:rPr>
                      <w:rStyle w:val="41"/>
                      <w:b/>
                      <w:bCs/>
                      <w:color w:val="000000" w:themeColor="text1"/>
                      <w:sz w:val="21"/>
                      <w:szCs w:val="21"/>
                      <w:highlight w:val="none"/>
                      <w:lang w:bidi="ar"/>
                      <w14:textFill>
                        <w14:solidFill>
                          <w14:schemeClr w14:val="tx1"/>
                        </w14:solidFill>
                      </w14:textFill>
                    </w:rPr>
                    <w:t>t/a</w:t>
                  </w:r>
                </w:p>
              </w:tc>
              <w:tc>
                <w:tcPr>
                  <w:tcW w:w="5616" w:type="dxa"/>
                  <w:gridSpan w:val="6"/>
                  <w:noWrap/>
                  <w:vAlign w:val="center"/>
                </w:tcPr>
                <w:p w14:paraId="01EA6983">
                  <w:pPr>
                    <w:keepNext w:val="0"/>
                    <w:keepLines w:val="0"/>
                    <w:widowControl/>
                    <w:suppressLineNumbers w:val="0"/>
                    <w:shd w:val="clear" w:color="auto" w:fill="auto"/>
                    <w:spacing w:before="0" w:beforeAutospacing="0" w:after="0" w:afterAutospacing="0"/>
                    <w:ind w:left="0" w:right="0"/>
                    <w:jc w:val="center"/>
                    <w:textAlignment w:val="bottom"/>
                    <w:rPr>
                      <w:rFonts w:hint="default"/>
                      <w:b/>
                      <w:bCs/>
                      <w:color w:val="000000" w:themeColor="text1"/>
                      <w:sz w:val="21"/>
                      <w:szCs w:val="21"/>
                      <w:highlight w:val="none"/>
                      <w14:textFill>
                        <w14:solidFill>
                          <w14:schemeClr w14:val="tx1"/>
                        </w14:solidFill>
                      </w14:textFill>
                    </w:rPr>
                  </w:pPr>
                  <w:r>
                    <w:rPr>
                      <w:rFonts w:hint="default"/>
                      <w:b/>
                      <w:bCs/>
                      <w:color w:val="000000" w:themeColor="text1"/>
                      <w:kern w:val="0"/>
                      <w:sz w:val="21"/>
                      <w:szCs w:val="21"/>
                      <w:highlight w:val="none"/>
                      <w:lang w:bidi="ar"/>
                      <w14:textFill>
                        <w14:solidFill>
                          <w14:schemeClr w14:val="tx1"/>
                        </w14:solidFill>
                      </w14:textFill>
                    </w:rPr>
                    <w:t>产出</w:t>
                  </w:r>
                  <w:r>
                    <w:rPr>
                      <w:rStyle w:val="41"/>
                      <w:b/>
                      <w:bCs/>
                      <w:color w:val="000000" w:themeColor="text1"/>
                      <w:sz w:val="21"/>
                      <w:szCs w:val="21"/>
                      <w:highlight w:val="none"/>
                      <w:lang w:bidi="ar"/>
                      <w14:textFill>
                        <w14:solidFill>
                          <w14:schemeClr w14:val="tx1"/>
                        </w14:solidFill>
                      </w14:textFill>
                    </w:rPr>
                    <w:t>t/a</w:t>
                  </w:r>
                </w:p>
              </w:tc>
            </w:tr>
            <w:tr w14:paraId="37D6C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bottom"/>
                </w:tcPr>
                <w:p w14:paraId="0856BE3B">
                  <w:pPr>
                    <w:keepNext w:val="0"/>
                    <w:keepLines w:val="0"/>
                    <w:widowControl/>
                    <w:suppressLineNumbers w:val="0"/>
                    <w:jc w:val="center"/>
                    <w:textAlignment w:val="bottom"/>
                    <w:rPr>
                      <w:rFonts w:hint="default"/>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水性底漆</w:t>
                  </w:r>
                </w:p>
              </w:tc>
              <w:tc>
                <w:tcPr>
                  <w:tcW w:w="1114" w:type="dxa"/>
                  <w:noWrap/>
                  <w:vAlign w:val="center"/>
                </w:tcPr>
                <w:p w14:paraId="56CB7A95">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7.35</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907" w:type="dxa"/>
                  <w:vMerge w:val="restart"/>
                  <w:noWrap/>
                  <w:vAlign w:val="center"/>
                </w:tcPr>
                <w:p w14:paraId="060EEF40">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固体分</w:t>
                  </w:r>
                </w:p>
              </w:tc>
              <w:tc>
                <w:tcPr>
                  <w:tcW w:w="3672" w:type="dxa"/>
                  <w:gridSpan w:val="4"/>
                  <w:noWrap/>
                  <w:vAlign w:val="center"/>
                </w:tcPr>
                <w:p w14:paraId="782CE4DE">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工件附着</w:t>
                  </w:r>
                </w:p>
              </w:tc>
              <w:tc>
                <w:tcPr>
                  <w:tcW w:w="1037" w:type="dxa"/>
                  <w:noWrap/>
                  <w:vAlign w:val="bottom"/>
                </w:tcPr>
                <w:p w14:paraId="30DF8A1F">
                  <w:pPr>
                    <w:keepNext w:val="0"/>
                    <w:keepLines w:val="0"/>
                    <w:widowControl/>
                    <w:suppressLineNumbers w:val="0"/>
                    <w:jc w:val="center"/>
                    <w:textAlignment w:val="bottom"/>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3.672 </w:t>
                  </w:r>
                </w:p>
              </w:tc>
            </w:tr>
            <w:tr w14:paraId="7BA2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263" w:type="dxa"/>
                  <w:noWrap/>
                  <w:vAlign w:val="bottom"/>
                </w:tcPr>
                <w:p w14:paraId="2784DF22">
                  <w:pPr>
                    <w:keepNext w:val="0"/>
                    <w:keepLines w:val="0"/>
                    <w:widowControl/>
                    <w:suppressLineNumbers w:val="0"/>
                    <w:jc w:val="center"/>
                    <w:textAlignment w:val="bottom"/>
                    <w:rPr>
                      <w:rFonts w:hint="default" w:eastAsia="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水性面漆</w:t>
                  </w:r>
                </w:p>
              </w:tc>
              <w:tc>
                <w:tcPr>
                  <w:tcW w:w="1114" w:type="dxa"/>
                  <w:noWrap/>
                  <w:vAlign w:val="center"/>
                </w:tcPr>
                <w:p w14:paraId="01E9AE00">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4.89</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907" w:type="dxa"/>
                  <w:vMerge w:val="continue"/>
                  <w:noWrap/>
                  <w:vAlign w:val="center"/>
                </w:tcPr>
                <w:p w14:paraId="60DC909C">
                  <w:pPr>
                    <w:keepNext w:val="0"/>
                    <w:keepLines w:val="0"/>
                    <w:suppressLineNumbers w:val="0"/>
                    <w:shd w:val="clear" w:color="auto" w:fill="auto"/>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1382" w:type="dxa"/>
                  <w:gridSpan w:val="2"/>
                  <w:vMerge w:val="restart"/>
                  <w:noWrap/>
                  <w:vAlign w:val="center"/>
                </w:tcPr>
                <w:p w14:paraId="693EDB5D">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工件未附着</w:t>
                  </w:r>
                </w:p>
              </w:tc>
              <w:tc>
                <w:tcPr>
                  <w:tcW w:w="2290" w:type="dxa"/>
                  <w:gridSpan w:val="2"/>
                  <w:noWrap/>
                  <w:vAlign w:val="center"/>
                </w:tcPr>
                <w:p w14:paraId="0F5F9D43">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有组织排放量</w:t>
                  </w:r>
                </w:p>
              </w:tc>
              <w:tc>
                <w:tcPr>
                  <w:tcW w:w="1037" w:type="dxa"/>
                  <w:noWrap/>
                  <w:vAlign w:val="bottom"/>
                </w:tcPr>
                <w:p w14:paraId="18218EE2">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0.149 </w:t>
                  </w:r>
                </w:p>
              </w:tc>
            </w:tr>
            <w:tr w14:paraId="6606C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bottom"/>
                </w:tcPr>
                <w:p w14:paraId="0E21A100">
                  <w:pPr>
                    <w:keepNext w:val="0"/>
                    <w:keepLines w:val="0"/>
                    <w:widowControl/>
                    <w:suppressLineNumbers w:val="0"/>
                    <w:jc w:val="center"/>
                    <w:textAlignment w:val="bottom"/>
                    <w:rPr>
                      <w:rFonts w:hint="default"/>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洗枪废水</w:t>
                  </w:r>
                </w:p>
              </w:tc>
              <w:tc>
                <w:tcPr>
                  <w:tcW w:w="1114" w:type="dxa"/>
                  <w:noWrap/>
                  <w:vAlign w:val="bottom"/>
                </w:tcPr>
                <w:p w14:paraId="77D3A938">
                  <w:pPr>
                    <w:keepNext w:val="0"/>
                    <w:keepLines w:val="0"/>
                    <w:widowControl/>
                    <w:suppressLineNumbers w:val="0"/>
                    <w:jc w:val="center"/>
                    <w:textAlignment w:val="bottom"/>
                    <w:rPr>
                      <w:rFonts w:hint="default"/>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1.62</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907" w:type="dxa"/>
                  <w:vMerge w:val="continue"/>
                  <w:noWrap/>
                  <w:vAlign w:val="center"/>
                </w:tcPr>
                <w:p w14:paraId="72F05C89">
                  <w:pPr>
                    <w:keepNext w:val="0"/>
                    <w:keepLines w:val="0"/>
                    <w:suppressLineNumbers w:val="0"/>
                    <w:shd w:val="clear" w:color="auto" w:fill="auto"/>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1382" w:type="dxa"/>
                  <w:gridSpan w:val="2"/>
                  <w:vMerge w:val="continue"/>
                  <w:noWrap/>
                  <w:vAlign w:val="center"/>
                </w:tcPr>
                <w:p w14:paraId="78488F45">
                  <w:pPr>
                    <w:keepNext w:val="0"/>
                    <w:keepLines w:val="0"/>
                    <w:suppressLineNumbers w:val="0"/>
                    <w:shd w:val="clear" w:color="auto" w:fill="auto"/>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2290" w:type="dxa"/>
                  <w:gridSpan w:val="2"/>
                  <w:noWrap/>
                  <w:vAlign w:val="center"/>
                </w:tcPr>
                <w:p w14:paraId="2676C9C9">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无组织排放量</w:t>
                  </w:r>
                </w:p>
              </w:tc>
              <w:tc>
                <w:tcPr>
                  <w:tcW w:w="1037" w:type="dxa"/>
                  <w:noWrap/>
                  <w:vAlign w:val="bottom"/>
                </w:tcPr>
                <w:p w14:paraId="6668F53F">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0.551 </w:t>
                  </w:r>
                </w:p>
              </w:tc>
            </w:tr>
            <w:tr w14:paraId="3505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2FB7B0FB">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114" w:type="dxa"/>
                  <w:noWrap/>
                  <w:vAlign w:val="center"/>
                </w:tcPr>
                <w:p w14:paraId="50ECDD41">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907" w:type="dxa"/>
                  <w:vMerge w:val="continue"/>
                  <w:noWrap/>
                  <w:vAlign w:val="center"/>
                </w:tcPr>
                <w:p w14:paraId="327FCF5B">
                  <w:pPr>
                    <w:keepNext w:val="0"/>
                    <w:keepLines w:val="0"/>
                    <w:suppressLineNumbers w:val="0"/>
                    <w:shd w:val="clear" w:color="auto" w:fill="auto"/>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1382" w:type="dxa"/>
                  <w:gridSpan w:val="2"/>
                  <w:vMerge w:val="continue"/>
                  <w:noWrap/>
                  <w:vAlign w:val="center"/>
                </w:tcPr>
                <w:p w14:paraId="7CA6D6C0">
                  <w:pPr>
                    <w:keepNext w:val="0"/>
                    <w:keepLines w:val="0"/>
                    <w:suppressLineNumbers w:val="0"/>
                    <w:shd w:val="clear" w:color="auto" w:fill="auto"/>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2290" w:type="dxa"/>
                  <w:gridSpan w:val="2"/>
                  <w:noWrap/>
                  <w:vAlign w:val="center"/>
                </w:tcPr>
                <w:p w14:paraId="3B55810F">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废气处理设施去除量</w:t>
                  </w:r>
                </w:p>
              </w:tc>
              <w:tc>
                <w:tcPr>
                  <w:tcW w:w="1037" w:type="dxa"/>
                  <w:noWrap/>
                  <w:vAlign w:val="bottom"/>
                </w:tcPr>
                <w:p w14:paraId="546263C7">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4.808 </w:t>
                  </w:r>
                </w:p>
              </w:tc>
            </w:tr>
            <w:tr w14:paraId="228C7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7D06D58C">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114" w:type="dxa"/>
                  <w:noWrap/>
                  <w:vAlign w:val="center"/>
                </w:tcPr>
                <w:p w14:paraId="579CDEEC">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907" w:type="dxa"/>
                  <w:vMerge w:val="continue"/>
                  <w:noWrap/>
                  <w:vAlign w:val="center"/>
                </w:tcPr>
                <w:p w14:paraId="5126B87A">
                  <w:pPr>
                    <w:keepNext w:val="0"/>
                    <w:keepLines w:val="0"/>
                    <w:suppressLineNumbers w:val="0"/>
                    <w:shd w:val="clear" w:color="auto" w:fill="auto"/>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1382" w:type="dxa"/>
                  <w:gridSpan w:val="2"/>
                  <w:vMerge w:val="continue"/>
                  <w:noWrap/>
                  <w:vAlign w:val="center"/>
                </w:tcPr>
                <w:p w14:paraId="16241D3C">
                  <w:pPr>
                    <w:keepNext w:val="0"/>
                    <w:keepLines w:val="0"/>
                    <w:suppressLineNumbers w:val="0"/>
                    <w:shd w:val="clear" w:color="auto" w:fill="auto"/>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2290" w:type="dxa"/>
                  <w:gridSpan w:val="2"/>
                  <w:noWrap/>
                  <w:vAlign w:val="center"/>
                </w:tcPr>
                <w:p w14:paraId="7EE9C915">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小计</w:t>
                  </w:r>
                </w:p>
              </w:tc>
              <w:tc>
                <w:tcPr>
                  <w:tcW w:w="1037" w:type="dxa"/>
                  <w:noWrap/>
                  <w:vAlign w:val="bottom"/>
                </w:tcPr>
                <w:p w14:paraId="57CC9499">
                  <w:pPr>
                    <w:keepNext w:val="0"/>
                    <w:keepLines w:val="0"/>
                    <w:widowControl/>
                    <w:suppressLineNumbers w:val="0"/>
                    <w:jc w:val="center"/>
                    <w:textAlignment w:val="bottom"/>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5.508 </w:t>
                  </w:r>
                </w:p>
              </w:tc>
            </w:tr>
            <w:tr w14:paraId="1287D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263" w:type="dxa"/>
                  <w:noWrap/>
                  <w:vAlign w:val="center"/>
                </w:tcPr>
                <w:p w14:paraId="0098AE6A">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114" w:type="dxa"/>
                  <w:noWrap/>
                  <w:vAlign w:val="center"/>
                </w:tcPr>
                <w:p w14:paraId="37070228">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907" w:type="dxa"/>
                  <w:vMerge w:val="restart"/>
                  <w:noWrap w:val="0"/>
                  <w:vAlign w:val="center"/>
                </w:tcPr>
                <w:p w14:paraId="11007F95">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挥发分</w:t>
                  </w:r>
                </w:p>
              </w:tc>
              <w:tc>
                <w:tcPr>
                  <w:tcW w:w="3672" w:type="dxa"/>
                  <w:gridSpan w:val="4"/>
                  <w:noWrap w:val="0"/>
                  <w:vAlign w:val="center"/>
                </w:tcPr>
                <w:p w14:paraId="39CE0E97">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有组织排放量</w:t>
                  </w:r>
                </w:p>
              </w:tc>
              <w:tc>
                <w:tcPr>
                  <w:tcW w:w="1037" w:type="dxa"/>
                  <w:noWrap w:val="0"/>
                  <w:vAlign w:val="bottom"/>
                </w:tcPr>
                <w:p w14:paraId="669B4D0F">
                  <w:pPr>
                    <w:keepNext w:val="0"/>
                    <w:keepLines w:val="0"/>
                    <w:widowControl/>
                    <w:suppressLineNumbers w:val="0"/>
                    <w:jc w:val="center"/>
                    <w:textAlignment w:val="bottom"/>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0.277 </w:t>
                  </w:r>
                </w:p>
              </w:tc>
            </w:tr>
            <w:tr w14:paraId="7D48F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4C0FE3AC">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114" w:type="dxa"/>
                  <w:noWrap/>
                  <w:vAlign w:val="center"/>
                </w:tcPr>
                <w:p w14:paraId="788D12DD">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907" w:type="dxa"/>
                  <w:vMerge w:val="continue"/>
                  <w:noWrap w:val="0"/>
                  <w:vAlign w:val="center"/>
                </w:tcPr>
                <w:p w14:paraId="1A8E2768">
                  <w:pPr>
                    <w:keepNext w:val="0"/>
                    <w:keepLines w:val="0"/>
                    <w:suppressLineNumbers w:val="0"/>
                    <w:shd w:val="clear" w:color="auto" w:fill="auto"/>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3672" w:type="dxa"/>
                  <w:gridSpan w:val="4"/>
                  <w:noWrap w:val="0"/>
                  <w:vAlign w:val="center"/>
                </w:tcPr>
                <w:p w14:paraId="719C5380">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无组织排放量</w:t>
                  </w:r>
                </w:p>
              </w:tc>
              <w:tc>
                <w:tcPr>
                  <w:tcW w:w="1037" w:type="dxa"/>
                  <w:noWrap w:val="0"/>
                  <w:vAlign w:val="center"/>
                </w:tcPr>
                <w:p w14:paraId="0AADFCF6">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0.123 </w:t>
                  </w:r>
                </w:p>
              </w:tc>
            </w:tr>
            <w:tr w14:paraId="50C6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269C869F">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114" w:type="dxa"/>
                  <w:noWrap/>
                  <w:vAlign w:val="center"/>
                </w:tcPr>
                <w:p w14:paraId="0E504511">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907" w:type="dxa"/>
                  <w:vMerge w:val="continue"/>
                  <w:noWrap w:val="0"/>
                  <w:vAlign w:val="center"/>
                </w:tcPr>
                <w:p w14:paraId="63319443">
                  <w:pPr>
                    <w:keepNext w:val="0"/>
                    <w:keepLines w:val="0"/>
                    <w:suppressLineNumbers w:val="0"/>
                    <w:shd w:val="clear" w:color="auto" w:fill="auto"/>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3672" w:type="dxa"/>
                  <w:gridSpan w:val="4"/>
                  <w:noWrap w:val="0"/>
                  <w:vAlign w:val="center"/>
                </w:tcPr>
                <w:p w14:paraId="05880D6E">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废气处理设施去除量</w:t>
                  </w:r>
                </w:p>
              </w:tc>
              <w:tc>
                <w:tcPr>
                  <w:tcW w:w="1037" w:type="dxa"/>
                  <w:noWrap w:val="0"/>
                  <w:vAlign w:val="center"/>
                </w:tcPr>
                <w:p w14:paraId="4D606CD1">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0.830 </w:t>
                  </w:r>
                </w:p>
              </w:tc>
            </w:tr>
            <w:tr w14:paraId="5602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0FA873C0">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114" w:type="dxa"/>
                  <w:noWrap/>
                  <w:vAlign w:val="center"/>
                </w:tcPr>
                <w:p w14:paraId="683C2EE1">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907" w:type="dxa"/>
                  <w:vMerge w:val="continue"/>
                  <w:noWrap w:val="0"/>
                  <w:vAlign w:val="center"/>
                </w:tcPr>
                <w:p w14:paraId="4CB3CB66">
                  <w:pPr>
                    <w:keepNext w:val="0"/>
                    <w:keepLines w:val="0"/>
                    <w:suppressLineNumbers w:val="0"/>
                    <w:shd w:val="clear" w:color="auto" w:fill="auto"/>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3672" w:type="dxa"/>
                  <w:gridSpan w:val="4"/>
                  <w:noWrap w:val="0"/>
                  <w:vAlign w:val="center"/>
                </w:tcPr>
                <w:p w14:paraId="1EB746B2">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小计</w:t>
                  </w:r>
                </w:p>
              </w:tc>
              <w:tc>
                <w:tcPr>
                  <w:tcW w:w="1037" w:type="dxa"/>
                  <w:noWrap w:val="0"/>
                  <w:vAlign w:val="bottom"/>
                </w:tcPr>
                <w:p w14:paraId="6D848E97">
                  <w:pPr>
                    <w:keepNext w:val="0"/>
                    <w:keepLines w:val="0"/>
                    <w:widowControl/>
                    <w:suppressLineNumbers w:val="0"/>
                    <w:jc w:val="center"/>
                    <w:textAlignment w:val="bottom"/>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1.230 </w:t>
                  </w:r>
                </w:p>
              </w:tc>
            </w:tr>
            <w:tr w14:paraId="7AF3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46F251BD">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114" w:type="dxa"/>
                  <w:noWrap/>
                  <w:vAlign w:val="center"/>
                </w:tcPr>
                <w:p w14:paraId="22622A2B">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4579" w:type="dxa"/>
                  <w:gridSpan w:val="5"/>
                  <w:noWrap/>
                  <w:vAlign w:val="center"/>
                </w:tcPr>
                <w:p w14:paraId="2549AB62">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水分蒸发</w:t>
                  </w:r>
                </w:p>
              </w:tc>
              <w:tc>
                <w:tcPr>
                  <w:tcW w:w="1037" w:type="dxa"/>
                  <w:noWrap/>
                  <w:vAlign w:val="bottom"/>
                </w:tcPr>
                <w:p w14:paraId="6DB17DAC">
                  <w:pPr>
                    <w:keepNext w:val="0"/>
                    <w:keepLines w:val="0"/>
                    <w:widowControl/>
                    <w:suppressLineNumbers w:val="0"/>
                    <w:jc w:val="center"/>
                    <w:textAlignment w:val="bottom"/>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3.450 </w:t>
                  </w:r>
                </w:p>
              </w:tc>
            </w:tr>
            <w:tr w14:paraId="4AC6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2F97B9FF">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合计</w:t>
                  </w:r>
                </w:p>
              </w:tc>
              <w:tc>
                <w:tcPr>
                  <w:tcW w:w="1114" w:type="dxa"/>
                  <w:noWrap/>
                  <w:vAlign w:val="center"/>
                </w:tcPr>
                <w:p w14:paraId="26BD72C9">
                  <w:pPr>
                    <w:keepNext w:val="0"/>
                    <w:keepLines w:val="0"/>
                    <w:widowControl/>
                    <w:suppressLineNumbers w:val="0"/>
                    <w:shd w:val="clear" w:color="auto" w:fill="auto"/>
                    <w:spacing w:before="0" w:beforeAutospacing="0" w:after="0" w:afterAutospacing="0"/>
                    <w:ind w:left="0" w:right="0"/>
                    <w:jc w:val="center"/>
                    <w:textAlignment w:val="bottom"/>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13.860</w:t>
                  </w:r>
                </w:p>
              </w:tc>
              <w:tc>
                <w:tcPr>
                  <w:tcW w:w="4579" w:type="dxa"/>
                  <w:gridSpan w:val="5"/>
                  <w:noWrap/>
                  <w:vAlign w:val="center"/>
                </w:tcPr>
                <w:p w14:paraId="29CAB4E4">
                  <w:pPr>
                    <w:keepNext w:val="0"/>
                    <w:keepLines w:val="0"/>
                    <w:widowControl/>
                    <w:suppressLineNumbers w:val="0"/>
                    <w:shd w:val="clear" w:color="auto" w:fill="auto"/>
                    <w:spacing w:before="0" w:beforeAutospacing="0" w:after="0" w:afterAutospacing="0"/>
                    <w:ind w:left="0" w:right="0"/>
                    <w:jc w:val="center"/>
                    <w:textAlignment w:val="bottom"/>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合计</w:t>
                  </w:r>
                </w:p>
              </w:tc>
              <w:tc>
                <w:tcPr>
                  <w:tcW w:w="1037" w:type="dxa"/>
                  <w:noWrap/>
                  <w:vAlign w:val="bottom"/>
                </w:tcPr>
                <w:p w14:paraId="1093BD17">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13.860 </w:t>
                  </w:r>
                </w:p>
              </w:tc>
            </w:tr>
            <w:tr w14:paraId="1059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993" w:type="dxa"/>
                  <w:gridSpan w:val="8"/>
                  <w:noWrap/>
                  <w:vAlign w:val="center"/>
                </w:tcPr>
                <w:p w14:paraId="4AB59A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b/>
                      <w:bCs/>
                      <w:color w:val="000000" w:themeColor="text1"/>
                      <w:kern w:val="0"/>
                      <w:sz w:val="21"/>
                      <w:szCs w:val="21"/>
                      <w:highlight w:val="none"/>
                      <w:lang w:val="en-US" w:eastAsia="zh-CN" w:bidi="ar"/>
                      <w14:textFill>
                        <w14:solidFill>
                          <w14:schemeClr w14:val="tx1"/>
                        </w14:solidFill>
                      </w14:textFill>
                    </w:rPr>
                    <w:t>2#生产线</w:t>
                  </w:r>
                  <w:r>
                    <w:rPr>
                      <w:rFonts w:hint="default"/>
                      <w:b/>
                      <w:bCs/>
                      <w:color w:val="000000" w:themeColor="text1"/>
                      <w:kern w:val="0"/>
                      <w:sz w:val="21"/>
                      <w:szCs w:val="21"/>
                      <w:highlight w:val="none"/>
                      <w:lang w:bidi="ar"/>
                      <w14:textFill>
                        <w14:solidFill>
                          <w14:schemeClr w14:val="tx1"/>
                        </w14:solidFill>
                      </w14:textFill>
                    </w:rPr>
                    <w:t>涂料</w:t>
                  </w:r>
                </w:p>
              </w:tc>
            </w:tr>
            <w:tr w14:paraId="66B0E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377" w:type="dxa"/>
                  <w:gridSpan w:val="2"/>
                  <w:noWrap/>
                  <w:vAlign w:val="center"/>
                </w:tcPr>
                <w:p w14:paraId="02BFC38D">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eastAsia"/>
                      <w:color w:val="000000" w:themeColor="text1"/>
                      <w:sz w:val="21"/>
                      <w:szCs w:val="21"/>
                      <w:highlight w:val="none"/>
                      <w:lang w:val="en-US" w:eastAsia="zh-CN"/>
                      <w14:textFill>
                        <w14:solidFill>
                          <w14:schemeClr w14:val="tx1"/>
                        </w14:solidFill>
                      </w14:textFill>
                    </w:rPr>
                  </w:pPr>
                  <w:r>
                    <w:rPr>
                      <w:rFonts w:hint="default"/>
                      <w:b/>
                      <w:bCs/>
                      <w:color w:val="000000" w:themeColor="text1"/>
                      <w:kern w:val="0"/>
                      <w:sz w:val="21"/>
                      <w:szCs w:val="21"/>
                      <w:highlight w:val="none"/>
                      <w:lang w:bidi="ar"/>
                      <w14:textFill>
                        <w14:solidFill>
                          <w14:schemeClr w14:val="tx1"/>
                        </w14:solidFill>
                      </w14:textFill>
                    </w:rPr>
                    <w:t>投入</w:t>
                  </w:r>
                  <w:r>
                    <w:rPr>
                      <w:rStyle w:val="41"/>
                      <w:b/>
                      <w:bCs/>
                      <w:color w:val="000000" w:themeColor="text1"/>
                      <w:sz w:val="21"/>
                      <w:szCs w:val="21"/>
                      <w:highlight w:val="none"/>
                      <w:lang w:bidi="ar"/>
                      <w14:textFill>
                        <w14:solidFill>
                          <w14:schemeClr w14:val="tx1"/>
                        </w14:solidFill>
                      </w14:textFill>
                    </w:rPr>
                    <w:t>t/a</w:t>
                  </w:r>
                </w:p>
              </w:tc>
              <w:tc>
                <w:tcPr>
                  <w:tcW w:w="5616" w:type="dxa"/>
                  <w:gridSpan w:val="6"/>
                  <w:noWrap/>
                  <w:vAlign w:val="center"/>
                </w:tcPr>
                <w:p w14:paraId="2BE256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b/>
                      <w:bCs/>
                      <w:color w:val="000000" w:themeColor="text1"/>
                      <w:kern w:val="0"/>
                      <w:sz w:val="21"/>
                      <w:szCs w:val="21"/>
                      <w:highlight w:val="none"/>
                      <w:lang w:bidi="ar"/>
                      <w14:textFill>
                        <w14:solidFill>
                          <w14:schemeClr w14:val="tx1"/>
                        </w14:solidFill>
                      </w14:textFill>
                    </w:rPr>
                    <w:t>产出</w:t>
                  </w:r>
                  <w:r>
                    <w:rPr>
                      <w:rStyle w:val="41"/>
                      <w:b/>
                      <w:bCs/>
                      <w:color w:val="000000" w:themeColor="text1"/>
                      <w:sz w:val="21"/>
                      <w:szCs w:val="21"/>
                      <w:highlight w:val="none"/>
                      <w:lang w:bidi="ar"/>
                      <w14:textFill>
                        <w14:solidFill>
                          <w14:schemeClr w14:val="tx1"/>
                        </w14:solidFill>
                      </w14:textFill>
                    </w:rPr>
                    <w:t>t/a</w:t>
                  </w:r>
                </w:p>
              </w:tc>
            </w:tr>
            <w:tr w14:paraId="2E9C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bottom"/>
                </w:tcPr>
                <w:p w14:paraId="4E84BAE6">
                  <w:pPr>
                    <w:keepNext w:val="0"/>
                    <w:keepLines w:val="0"/>
                    <w:widowControl/>
                    <w:suppressLineNumbers w:val="0"/>
                    <w:jc w:val="center"/>
                    <w:textAlignment w:val="bottom"/>
                    <w:rPr>
                      <w:rFonts w:hint="default"/>
                      <w:color w:val="000000" w:themeColor="text1"/>
                      <w:kern w:val="0"/>
                      <w:sz w:val="21"/>
                      <w:szCs w:val="21"/>
                      <w:highlight w:val="none"/>
                      <w:lang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水性底漆</w:t>
                  </w:r>
                </w:p>
              </w:tc>
              <w:tc>
                <w:tcPr>
                  <w:tcW w:w="1114" w:type="dxa"/>
                  <w:noWrap/>
                  <w:vAlign w:val="center"/>
                </w:tcPr>
                <w:p w14:paraId="2CB7F3C9">
                  <w:pPr>
                    <w:keepNext w:val="0"/>
                    <w:keepLines w:val="0"/>
                    <w:widowControl/>
                    <w:suppressLineNumbers w:val="0"/>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7.35</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404" w:type="dxa"/>
                  <w:gridSpan w:val="2"/>
                  <w:vMerge w:val="restart"/>
                  <w:noWrap/>
                  <w:vAlign w:val="center"/>
                </w:tcPr>
                <w:p w14:paraId="1E6D548F">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color w:val="000000" w:themeColor="text1"/>
                      <w:kern w:val="0"/>
                      <w:sz w:val="21"/>
                      <w:szCs w:val="21"/>
                      <w:highlight w:val="none"/>
                      <w:lang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固体分</w:t>
                  </w:r>
                </w:p>
              </w:tc>
              <w:tc>
                <w:tcPr>
                  <w:tcW w:w="3175" w:type="dxa"/>
                  <w:gridSpan w:val="3"/>
                  <w:noWrap/>
                  <w:vAlign w:val="center"/>
                </w:tcPr>
                <w:p w14:paraId="4DA2DDD8">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工件附着</w:t>
                  </w:r>
                </w:p>
              </w:tc>
              <w:tc>
                <w:tcPr>
                  <w:tcW w:w="1037" w:type="dxa"/>
                  <w:noWrap/>
                  <w:vAlign w:val="bottom"/>
                </w:tcPr>
                <w:p w14:paraId="71C080BD">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3.672 </w:t>
                  </w:r>
                </w:p>
              </w:tc>
            </w:tr>
            <w:tr w14:paraId="72B8F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bottom"/>
                </w:tcPr>
                <w:p w14:paraId="6AB9DDBC">
                  <w:pPr>
                    <w:keepNext w:val="0"/>
                    <w:keepLines w:val="0"/>
                    <w:widowControl/>
                    <w:suppressLineNumbers w:val="0"/>
                    <w:jc w:val="center"/>
                    <w:textAlignment w:val="bottom"/>
                    <w:rPr>
                      <w:rFonts w:hint="default"/>
                      <w:color w:val="000000" w:themeColor="text1"/>
                      <w:kern w:val="0"/>
                      <w:sz w:val="21"/>
                      <w:szCs w:val="21"/>
                      <w:highlight w:val="none"/>
                      <w:lang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水性面漆</w:t>
                  </w:r>
                </w:p>
              </w:tc>
              <w:tc>
                <w:tcPr>
                  <w:tcW w:w="1114" w:type="dxa"/>
                  <w:noWrap/>
                  <w:vAlign w:val="center"/>
                </w:tcPr>
                <w:p w14:paraId="16159569">
                  <w:pPr>
                    <w:keepNext w:val="0"/>
                    <w:keepLines w:val="0"/>
                    <w:widowControl/>
                    <w:suppressLineNumbers w:val="0"/>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4.89</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404" w:type="dxa"/>
                  <w:gridSpan w:val="2"/>
                  <w:vMerge w:val="continue"/>
                  <w:noWrap/>
                  <w:vAlign w:val="center"/>
                </w:tcPr>
                <w:p w14:paraId="31156AE3">
                  <w:pPr>
                    <w:keepNext w:val="0"/>
                    <w:keepLines w:val="0"/>
                    <w:suppressLineNumbers w:val="0"/>
                    <w:shd w:val="clear" w:color="auto" w:fill="auto"/>
                    <w:spacing w:before="0" w:beforeAutospacing="0" w:after="0" w:afterAutospacing="0"/>
                    <w:ind w:left="0" w:leftChars="0" w:right="0" w:rightChars="0"/>
                    <w:jc w:val="center"/>
                    <w:rPr>
                      <w:rFonts w:hint="default"/>
                      <w:color w:val="000000" w:themeColor="text1"/>
                      <w:kern w:val="0"/>
                      <w:sz w:val="21"/>
                      <w:szCs w:val="21"/>
                      <w:highlight w:val="none"/>
                      <w:lang w:bidi="ar"/>
                      <w14:textFill>
                        <w14:solidFill>
                          <w14:schemeClr w14:val="tx1"/>
                        </w14:solidFill>
                      </w14:textFill>
                    </w:rPr>
                  </w:pPr>
                </w:p>
              </w:tc>
              <w:tc>
                <w:tcPr>
                  <w:tcW w:w="1194" w:type="dxa"/>
                  <w:gridSpan w:val="2"/>
                  <w:vMerge w:val="restart"/>
                  <w:noWrap/>
                  <w:vAlign w:val="center"/>
                </w:tcPr>
                <w:p w14:paraId="0D818FFA">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工件未附着</w:t>
                  </w:r>
                </w:p>
              </w:tc>
              <w:tc>
                <w:tcPr>
                  <w:tcW w:w="1981" w:type="dxa"/>
                  <w:noWrap/>
                  <w:vAlign w:val="center"/>
                </w:tcPr>
                <w:p w14:paraId="4412C1BC">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有组织排放量</w:t>
                  </w:r>
                </w:p>
              </w:tc>
              <w:tc>
                <w:tcPr>
                  <w:tcW w:w="1037" w:type="dxa"/>
                  <w:noWrap/>
                  <w:vAlign w:val="bottom"/>
                </w:tcPr>
                <w:p w14:paraId="48651BF6">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0.149 </w:t>
                  </w:r>
                </w:p>
              </w:tc>
            </w:tr>
            <w:tr w14:paraId="117A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bottom"/>
                </w:tcPr>
                <w:p w14:paraId="4560434E">
                  <w:pPr>
                    <w:keepNext w:val="0"/>
                    <w:keepLines w:val="0"/>
                    <w:widowControl/>
                    <w:suppressLineNumbers w:val="0"/>
                    <w:jc w:val="center"/>
                    <w:textAlignment w:val="bottom"/>
                    <w:rPr>
                      <w:rFonts w:hint="default"/>
                      <w:color w:val="000000" w:themeColor="text1"/>
                      <w:kern w:val="0"/>
                      <w:sz w:val="21"/>
                      <w:szCs w:val="21"/>
                      <w:highlight w:val="none"/>
                      <w:lang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洗枪废水</w:t>
                  </w:r>
                </w:p>
              </w:tc>
              <w:tc>
                <w:tcPr>
                  <w:tcW w:w="1114" w:type="dxa"/>
                  <w:noWrap/>
                  <w:vAlign w:val="bottom"/>
                </w:tcPr>
                <w:p w14:paraId="782249C0">
                  <w:pPr>
                    <w:keepNext w:val="0"/>
                    <w:keepLines w:val="0"/>
                    <w:widowControl/>
                    <w:suppressLineNumbers w:val="0"/>
                    <w:jc w:val="center"/>
                    <w:textAlignment w:val="bottom"/>
                    <w:rPr>
                      <w:rFonts w:hint="eastAsia"/>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1.62</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404" w:type="dxa"/>
                  <w:gridSpan w:val="2"/>
                  <w:vMerge w:val="continue"/>
                  <w:noWrap/>
                  <w:vAlign w:val="center"/>
                </w:tcPr>
                <w:p w14:paraId="42E94232">
                  <w:pPr>
                    <w:keepNext w:val="0"/>
                    <w:keepLines w:val="0"/>
                    <w:suppressLineNumbers w:val="0"/>
                    <w:shd w:val="clear" w:color="auto" w:fill="auto"/>
                    <w:spacing w:before="0" w:beforeAutospacing="0" w:after="0" w:afterAutospacing="0"/>
                    <w:ind w:left="0" w:leftChars="0" w:right="0" w:rightChars="0"/>
                    <w:jc w:val="center"/>
                    <w:rPr>
                      <w:rFonts w:hint="default"/>
                      <w:color w:val="000000" w:themeColor="text1"/>
                      <w:kern w:val="0"/>
                      <w:sz w:val="21"/>
                      <w:szCs w:val="21"/>
                      <w:highlight w:val="none"/>
                      <w:lang w:bidi="ar"/>
                      <w14:textFill>
                        <w14:solidFill>
                          <w14:schemeClr w14:val="tx1"/>
                        </w14:solidFill>
                      </w14:textFill>
                    </w:rPr>
                  </w:pPr>
                </w:p>
              </w:tc>
              <w:tc>
                <w:tcPr>
                  <w:tcW w:w="1194" w:type="dxa"/>
                  <w:gridSpan w:val="2"/>
                  <w:vMerge w:val="continue"/>
                  <w:noWrap/>
                  <w:vAlign w:val="center"/>
                </w:tcPr>
                <w:p w14:paraId="6CA5862D">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981" w:type="dxa"/>
                  <w:noWrap/>
                  <w:vAlign w:val="center"/>
                </w:tcPr>
                <w:p w14:paraId="0CFC13F7">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无组织排放量</w:t>
                  </w:r>
                </w:p>
              </w:tc>
              <w:tc>
                <w:tcPr>
                  <w:tcW w:w="1037" w:type="dxa"/>
                  <w:noWrap/>
                  <w:vAlign w:val="bottom"/>
                </w:tcPr>
                <w:p w14:paraId="321A9351">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0.551 </w:t>
                  </w:r>
                </w:p>
              </w:tc>
            </w:tr>
            <w:tr w14:paraId="3DCF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4AAAEA82">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color w:val="000000" w:themeColor="text1"/>
                      <w:kern w:val="0"/>
                      <w:sz w:val="21"/>
                      <w:szCs w:val="21"/>
                      <w:highlight w:val="none"/>
                      <w:lang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114" w:type="dxa"/>
                  <w:noWrap/>
                  <w:vAlign w:val="center"/>
                </w:tcPr>
                <w:p w14:paraId="2EDE47E2">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404" w:type="dxa"/>
                  <w:gridSpan w:val="2"/>
                  <w:vMerge w:val="continue"/>
                  <w:noWrap/>
                  <w:vAlign w:val="center"/>
                </w:tcPr>
                <w:p w14:paraId="25272964">
                  <w:pPr>
                    <w:keepNext w:val="0"/>
                    <w:keepLines w:val="0"/>
                    <w:suppressLineNumbers w:val="0"/>
                    <w:shd w:val="clear" w:color="auto" w:fill="auto"/>
                    <w:spacing w:before="0" w:beforeAutospacing="0" w:after="0" w:afterAutospacing="0"/>
                    <w:ind w:left="0" w:leftChars="0" w:right="0" w:rightChars="0"/>
                    <w:jc w:val="center"/>
                    <w:rPr>
                      <w:rFonts w:hint="default"/>
                      <w:color w:val="000000" w:themeColor="text1"/>
                      <w:kern w:val="0"/>
                      <w:sz w:val="21"/>
                      <w:szCs w:val="21"/>
                      <w:highlight w:val="none"/>
                      <w:lang w:bidi="ar"/>
                      <w14:textFill>
                        <w14:solidFill>
                          <w14:schemeClr w14:val="tx1"/>
                        </w14:solidFill>
                      </w14:textFill>
                    </w:rPr>
                  </w:pPr>
                </w:p>
              </w:tc>
              <w:tc>
                <w:tcPr>
                  <w:tcW w:w="1194" w:type="dxa"/>
                  <w:gridSpan w:val="2"/>
                  <w:vMerge w:val="continue"/>
                  <w:noWrap/>
                  <w:vAlign w:val="center"/>
                </w:tcPr>
                <w:p w14:paraId="4200C556">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981" w:type="dxa"/>
                  <w:noWrap/>
                  <w:vAlign w:val="center"/>
                </w:tcPr>
                <w:p w14:paraId="4DD45413">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废气处理设施去除量</w:t>
                  </w:r>
                </w:p>
              </w:tc>
              <w:tc>
                <w:tcPr>
                  <w:tcW w:w="1037" w:type="dxa"/>
                  <w:noWrap/>
                  <w:vAlign w:val="bottom"/>
                </w:tcPr>
                <w:p w14:paraId="1DD1767F">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4.808 </w:t>
                  </w:r>
                </w:p>
              </w:tc>
            </w:tr>
            <w:tr w14:paraId="1993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002CBD4A">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color w:val="000000" w:themeColor="text1"/>
                      <w:kern w:val="0"/>
                      <w:sz w:val="21"/>
                      <w:szCs w:val="21"/>
                      <w:highlight w:val="none"/>
                      <w:lang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114" w:type="dxa"/>
                  <w:noWrap/>
                  <w:vAlign w:val="center"/>
                </w:tcPr>
                <w:p w14:paraId="36ED3176">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404" w:type="dxa"/>
                  <w:gridSpan w:val="2"/>
                  <w:vMerge w:val="continue"/>
                  <w:noWrap/>
                  <w:vAlign w:val="center"/>
                </w:tcPr>
                <w:p w14:paraId="3D36D4B5">
                  <w:pPr>
                    <w:keepNext w:val="0"/>
                    <w:keepLines w:val="0"/>
                    <w:suppressLineNumbers w:val="0"/>
                    <w:shd w:val="clear" w:color="auto" w:fill="auto"/>
                    <w:spacing w:before="0" w:beforeAutospacing="0" w:after="0" w:afterAutospacing="0"/>
                    <w:ind w:left="0" w:leftChars="0" w:right="0" w:rightChars="0"/>
                    <w:jc w:val="center"/>
                    <w:rPr>
                      <w:rFonts w:hint="default"/>
                      <w:color w:val="000000" w:themeColor="text1"/>
                      <w:kern w:val="0"/>
                      <w:sz w:val="21"/>
                      <w:szCs w:val="21"/>
                      <w:highlight w:val="none"/>
                      <w:lang w:bidi="ar"/>
                      <w14:textFill>
                        <w14:solidFill>
                          <w14:schemeClr w14:val="tx1"/>
                        </w14:solidFill>
                      </w14:textFill>
                    </w:rPr>
                  </w:pPr>
                </w:p>
              </w:tc>
              <w:tc>
                <w:tcPr>
                  <w:tcW w:w="1194" w:type="dxa"/>
                  <w:gridSpan w:val="2"/>
                  <w:vMerge w:val="continue"/>
                  <w:noWrap/>
                  <w:vAlign w:val="center"/>
                </w:tcPr>
                <w:p w14:paraId="1E636146">
                  <w:pPr>
                    <w:keepNext w:val="0"/>
                    <w:keepLines w:val="0"/>
                    <w:suppressLineNumbers w:val="0"/>
                    <w:shd w:val="clear" w:color="auto" w:fill="auto"/>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1981" w:type="dxa"/>
                  <w:noWrap/>
                  <w:vAlign w:val="center"/>
                </w:tcPr>
                <w:p w14:paraId="0BD1FCA7">
                  <w:pPr>
                    <w:keepNext w:val="0"/>
                    <w:keepLines w:val="0"/>
                    <w:widowControl/>
                    <w:suppressLineNumbers w:val="0"/>
                    <w:shd w:val="clear" w:color="auto" w:fill="auto"/>
                    <w:spacing w:before="0" w:beforeAutospacing="0" w:after="0" w:afterAutospacing="0"/>
                    <w:ind w:left="0" w:leftChars="0" w:right="0" w:rightChars="0"/>
                    <w:jc w:val="center"/>
                    <w:textAlignment w:val="bottom"/>
                    <w:rPr>
                      <w:color w:val="000000" w:themeColor="text1"/>
                      <w:sz w:val="21"/>
                      <w:szCs w:val="21"/>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小计</w:t>
                  </w:r>
                </w:p>
              </w:tc>
              <w:tc>
                <w:tcPr>
                  <w:tcW w:w="1037" w:type="dxa"/>
                  <w:noWrap/>
                  <w:vAlign w:val="bottom"/>
                </w:tcPr>
                <w:p w14:paraId="255C94A9">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5.508 </w:t>
                  </w:r>
                </w:p>
              </w:tc>
            </w:tr>
            <w:tr w14:paraId="5B7BD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261788EC">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color w:val="000000" w:themeColor="text1"/>
                      <w:kern w:val="0"/>
                      <w:sz w:val="21"/>
                      <w:szCs w:val="21"/>
                      <w:highlight w:val="none"/>
                      <w:lang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114" w:type="dxa"/>
                  <w:noWrap/>
                  <w:vAlign w:val="center"/>
                </w:tcPr>
                <w:p w14:paraId="0C58DE5B">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404" w:type="dxa"/>
                  <w:gridSpan w:val="2"/>
                  <w:vMerge w:val="restart"/>
                  <w:noWrap/>
                  <w:vAlign w:val="center"/>
                </w:tcPr>
                <w:p w14:paraId="539F224E">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color w:val="000000" w:themeColor="text1"/>
                      <w:kern w:val="0"/>
                      <w:sz w:val="21"/>
                      <w:szCs w:val="21"/>
                      <w:highlight w:val="none"/>
                      <w:lang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挥发分</w:t>
                  </w:r>
                </w:p>
              </w:tc>
              <w:tc>
                <w:tcPr>
                  <w:tcW w:w="3175" w:type="dxa"/>
                  <w:gridSpan w:val="3"/>
                  <w:noWrap/>
                  <w:vAlign w:val="center"/>
                </w:tcPr>
                <w:p w14:paraId="2C52A900">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有组织排放量</w:t>
                  </w:r>
                </w:p>
              </w:tc>
              <w:tc>
                <w:tcPr>
                  <w:tcW w:w="1037" w:type="dxa"/>
                  <w:noWrap/>
                  <w:vAlign w:val="bottom"/>
                </w:tcPr>
                <w:p w14:paraId="65C4BA74">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0.277 </w:t>
                  </w:r>
                </w:p>
              </w:tc>
            </w:tr>
            <w:tr w14:paraId="3098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63EEC9C9">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color w:val="000000" w:themeColor="text1"/>
                      <w:kern w:val="0"/>
                      <w:sz w:val="21"/>
                      <w:szCs w:val="21"/>
                      <w:highlight w:val="none"/>
                      <w:lang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114" w:type="dxa"/>
                  <w:noWrap/>
                  <w:vAlign w:val="center"/>
                </w:tcPr>
                <w:p w14:paraId="0FBD44DF">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404" w:type="dxa"/>
                  <w:gridSpan w:val="2"/>
                  <w:vMerge w:val="continue"/>
                  <w:noWrap/>
                  <w:vAlign w:val="center"/>
                </w:tcPr>
                <w:p w14:paraId="0B92506D">
                  <w:pPr>
                    <w:keepNext w:val="0"/>
                    <w:keepLines w:val="0"/>
                    <w:suppressLineNumbers w:val="0"/>
                    <w:shd w:val="clear" w:color="auto" w:fill="auto"/>
                    <w:spacing w:before="0" w:beforeAutospacing="0" w:after="0" w:afterAutospacing="0"/>
                    <w:ind w:left="0" w:leftChars="0" w:right="0" w:rightChars="0"/>
                    <w:jc w:val="center"/>
                    <w:rPr>
                      <w:rFonts w:hint="default"/>
                      <w:color w:val="000000" w:themeColor="text1"/>
                      <w:kern w:val="0"/>
                      <w:sz w:val="21"/>
                      <w:szCs w:val="21"/>
                      <w:highlight w:val="none"/>
                      <w:lang w:bidi="ar"/>
                      <w14:textFill>
                        <w14:solidFill>
                          <w14:schemeClr w14:val="tx1"/>
                        </w14:solidFill>
                      </w14:textFill>
                    </w:rPr>
                  </w:pPr>
                </w:p>
              </w:tc>
              <w:tc>
                <w:tcPr>
                  <w:tcW w:w="3175" w:type="dxa"/>
                  <w:gridSpan w:val="3"/>
                  <w:noWrap/>
                  <w:vAlign w:val="center"/>
                </w:tcPr>
                <w:p w14:paraId="4275B939">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无组织排放量</w:t>
                  </w:r>
                </w:p>
              </w:tc>
              <w:tc>
                <w:tcPr>
                  <w:tcW w:w="1037" w:type="dxa"/>
                  <w:noWrap/>
                  <w:vAlign w:val="center"/>
                </w:tcPr>
                <w:p w14:paraId="44234D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0.123 </w:t>
                  </w:r>
                </w:p>
              </w:tc>
            </w:tr>
            <w:tr w14:paraId="6EE9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3991CBF0">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color w:val="000000" w:themeColor="text1"/>
                      <w:kern w:val="0"/>
                      <w:sz w:val="21"/>
                      <w:szCs w:val="21"/>
                      <w:highlight w:val="none"/>
                      <w:lang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114" w:type="dxa"/>
                  <w:noWrap/>
                  <w:vAlign w:val="center"/>
                </w:tcPr>
                <w:p w14:paraId="26BAAAB5">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404" w:type="dxa"/>
                  <w:gridSpan w:val="2"/>
                  <w:vMerge w:val="continue"/>
                  <w:noWrap/>
                  <w:vAlign w:val="center"/>
                </w:tcPr>
                <w:p w14:paraId="1B8001B7">
                  <w:pPr>
                    <w:keepNext w:val="0"/>
                    <w:keepLines w:val="0"/>
                    <w:suppressLineNumbers w:val="0"/>
                    <w:shd w:val="clear" w:color="auto" w:fill="auto"/>
                    <w:spacing w:before="0" w:beforeAutospacing="0" w:after="0" w:afterAutospacing="0"/>
                    <w:ind w:left="0" w:leftChars="0" w:right="0" w:rightChars="0"/>
                    <w:jc w:val="center"/>
                    <w:rPr>
                      <w:rFonts w:hint="default"/>
                      <w:color w:val="000000" w:themeColor="text1"/>
                      <w:kern w:val="0"/>
                      <w:sz w:val="21"/>
                      <w:szCs w:val="21"/>
                      <w:highlight w:val="none"/>
                      <w:lang w:bidi="ar"/>
                      <w14:textFill>
                        <w14:solidFill>
                          <w14:schemeClr w14:val="tx1"/>
                        </w14:solidFill>
                      </w14:textFill>
                    </w:rPr>
                  </w:pPr>
                </w:p>
              </w:tc>
              <w:tc>
                <w:tcPr>
                  <w:tcW w:w="3175" w:type="dxa"/>
                  <w:gridSpan w:val="3"/>
                  <w:noWrap/>
                  <w:vAlign w:val="center"/>
                </w:tcPr>
                <w:p w14:paraId="7B298BE1">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废气处理设施去除量</w:t>
                  </w:r>
                </w:p>
              </w:tc>
              <w:tc>
                <w:tcPr>
                  <w:tcW w:w="1037" w:type="dxa"/>
                  <w:noWrap/>
                  <w:vAlign w:val="center"/>
                </w:tcPr>
                <w:p w14:paraId="42E8534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0.830 </w:t>
                  </w:r>
                </w:p>
              </w:tc>
            </w:tr>
            <w:tr w14:paraId="4231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5A36EA27">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color w:val="000000" w:themeColor="text1"/>
                      <w:kern w:val="0"/>
                      <w:sz w:val="21"/>
                      <w:szCs w:val="21"/>
                      <w:highlight w:val="none"/>
                      <w:lang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114" w:type="dxa"/>
                  <w:noWrap/>
                  <w:vAlign w:val="center"/>
                </w:tcPr>
                <w:p w14:paraId="2BCC63BD">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404" w:type="dxa"/>
                  <w:gridSpan w:val="2"/>
                  <w:vMerge w:val="continue"/>
                  <w:noWrap/>
                  <w:vAlign w:val="center"/>
                </w:tcPr>
                <w:p w14:paraId="77EB7CBC">
                  <w:pPr>
                    <w:keepNext w:val="0"/>
                    <w:keepLines w:val="0"/>
                    <w:suppressLineNumbers w:val="0"/>
                    <w:shd w:val="clear" w:color="auto" w:fill="auto"/>
                    <w:spacing w:before="0" w:beforeAutospacing="0" w:after="0" w:afterAutospacing="0"/>
                    <w:ind w:left="0" w:leftChars="0" w:right="0" w:rightChars="0"/>
                    <w:jc w:val="center"/>
                    <w:rPr>
                      <w:rFonts w:hint="default"/>
                      <w:color w:val="000000" w:themeColor="text1"/>
                      <w:kern w:val="0"/>
                      <w:sz w:val="21"/>
                      <w:szCs w:val="21"/>
                      <w:highlight w:val="none"/>
                      <w:lang w:bidi="ar"/>
                      <w14:textFill>
                        <w14:solidFill>
                          <w14:schemeClr w14:val="tx1"/>
                        </w14:solidFill>
                      </w14:textFill>
                    </w:rPr>
                  </w:pPr>
                </w:p>
              </w:tc>
              <w:tc>
                <w:tcPr>
                  <w:tcW w:w="3175" w:type="dxa"/>
                  <w:gridSpan w:val="3"/>
                  <w:noWrap/>
                  <w:vAlign w:val="center"/>
                </w:tcPr>
                <w:p w14:paraId="2E060472">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小计</w:t>
                  </w:r>
                </w:p>
              </w:tc>
              <w:tc>
                <w:tcPr>
                  <w:tcW w:w="1037" w:type="dxa"/>
                  <w:noWrap/>
                  <w:vAlign w:val="bottom"/>
                </w:tcPr>
                <w:p w14:paraId="147F17DF">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1.230 </w:t>
                  </w:r>
                </w:p>
              </w:tc>
            </w:tr>
            <w:tr w14:paraId="599A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7E760A99">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color w:val="000000" w:themeColor="text1"/>
                      <w:kern w:val="0"/>
                      <w:sz w:val="21"/>
                      <w:szCs w:val="21"/>
                      <w:highlight w:val="none"/>
                      <w:lang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1114" w:type="dxa"/>
                  <w:noWrap/>
                  <w:vAlign w:val="center"/>
                </w:tcPr>
                <w:p w14:paraId="62EC5A84">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eastAsia"/>
                      <w:color w:val="000000" w:themeColor="text1"/>
                      <w:sz w:val="21"/>
                      <w:szCs w:val="21"/>
                      <w:highlight w:val="none"/>
                      <w:lang w:val="en-US" w:eastAsia="zh-CN"/>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w:t>
                  </w:r>
                </w:p>
              </w:tc>
              <w:tc>
                <w:tcPr>
                  <w:tcW w:w="4579" w:type="dxa"/>
                  <w:gridSpan w:val="5"/>
                  <w:noWrap/>
                  <w:vAlign w:val="center"/>
                </w:tcPr>
                <w:p w14:paraId="59309CA7">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eastAsia="宋体"/>
                      <w:color w:val="000000" w:themeColor="text1"/>
                      <w:kern w:val="0"/>
                      <w:sz w:val="21"/>
                      <w:szCs w:val="21"/>
                      <w:highlight w:val="none"/>
                      <w:lang w:val="en-US" w:eastAsia="zh-CN"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水分蒸发</w:t>
                  </w:r>
                </w:p>
              </w:tc>
              <w:tc>
                <w:tcPr>
                  <w:tcW w:w="1037" w:type="dxa"/>
                  <w:noWrap/>
                  <w:vAlign w:val="bottom"/>
                </w:tcPr>
                <w:p w14:paraId="3E4123AF">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3.450 </w:t>
                  </w:r>
                </w:p>
              </w:tc>
            </w:tr>
            <w:tr w14:paraId="59A14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645F4F03">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color w:val="000000" w:themeColor="text1"/>
                      <w:kern w:val="0"/>
                      <w:sz w:val="21"/>
                      <w:szCs w:val="21"/>
                      <w:highlight w:val="none"/>
                      <w:lang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合计</w:t>
                  </w:r>
                </w:p>
              </w:tc>
              <w:tc>
                <w:tcPr>
                  <w:tcW w:w="1114" w:type="dxa"/>
                  <w:noWrap/>
                  <w:vAlign w:val="center"/>
                </w:tcPr>
                <w:p w14:paraId="736F82FB">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default"/>
                      <w:color w:val="000000" w:themeColor="text1"/>
                      <w:kern w:val="0"/>
                      <w:sz w:val="21"/>
                      <w:szCs w:val="21"/>
                      <w:highlight w:val="none"/>
                      <w:lang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13.860</w:t>
                  </w:r>
                </w:p>
              </w:tc>
              <w:tc>
                <w:tcPr>
                  <w:tcW w:w="4579" w:type="dxa"/>
                  <w:gridSpan w:val="5"/>
                  <w:noWrap/>
                  <w:vAlign w:val="center"/>
                </w:tcPr>
                <w:p w14:paraId="53EC0F1C">
                  <w:pPr>
                    <w:keepNext w:val="0"/>
                    <w:keepLines w:val="0"/>
                    <w:widowControl/>
                    <w:suppressLineNumbers w:val="0"/>
                    <w:shd w:val="clear" w:color="auto" w:fill="auto"/>
                    <w:spacing w:before="0" w:beforeAutospacing="0" w:after="0" w:afterAutospacing="0"/>
                    <w:ind w:left="0" w:leftChars="0" w:right="0" w:rightChars="0"/>
                    <w:jc w:val="center"/>
                    <w:textAlignment w:val="bottom"/>
                    <w:rPr>
                      <w:rFonts w:hint="eastAsia" w:eastAsia="宋体"/>
                      <w:color w:val="000000" w:themeColor="text1"/>
                      <w:kern w:val="0"/>
                      <w:sz w:val="21"/>
                      <w:szCs w:val="21"/>
                      <w:highlight w:val="none"/>
                      <w:lang w:val="en-US" w:eastAsia="zh-CN" w:bidi="ar"/>
                      <w14:textFill>
                        <w14:solidFill>
                          <w14:schemeClr w14:val="tx1"/>
                        </w14:solidFill>
                      </w14:textFill>
                    </w:rPr>
                  </w:pPr>
                  <w:r>
                    <w:rPr>
                      <w:rFonts w:hint="default"/>
                      <w:color w:val="000000" w:themeColor="text1"/>
                      <w:kern w:val="0"/>
                      <w:sz w:val="21"/>
                      <w:szCs w:val="21"/>
                      <w:highlight w:val="none"/>
                      <w:lang w:bidi="ar"/>
                      <w14:textFill>
                        <w14:solidFill>
                          <w14:schemeClr w14:val="tx1"/>
                        </w14:solidFill>
                      </w14:textFill>
                    </w:rPr>
                    <w:t>合计</w:t>
                  </w:r>
                </w:p>
              </w:tc>
              <w:tc>
                <w:tcPr>
                  <w:tcW w:w="1037" w:type="dxa"/>
                  <w:noWrap/>
                  <w:vAlign w:val="bottom"/>
                </w:tcPr>
                <w:p w14:paraId="07E5B897">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13.860 </w:t>
                  </w:r>
                </w:p>
              </w:tc>
            </w:tr>
            <w:tr w14:paraId="4EF7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993" w:type="dxa"/>
                  <w:gridSpan w:val="8"/>
                  <w:noWrap/>
                  <w:vAlign w:val="center"/>
                </w:tcPr>
                <w:p w14:paraId="3CF4170B">
                  <w:pPr>
                    <w:keepNext w:val="0"/>
                    <w:keepLines w:val="0"/>
                    <w:widowControl/>
                    <w:suppressLineNumbers w:val="0"/>
                    <w:shd w:val="clear" w:color="auto" w:fill="auto"/>
                    <w:spacing w:before="0" w:beforeAutospacing="0" w:after="0" w:afterAutospacing="0"/>
                    <w:ind w:left="0" w:right="0"/>
                    <w:jc w:val="center"/>
                    <w:textAlignment w:val="bottom"/>
                    <w:rPr>
                      <w:rFonts w:hint="default"/>
                      <w:b/>
                      <w:bCs/>
                      <w:color w:val="000000" w:themeColor="text1"/>
                      <w:sz w:val="21"/>
                      <w:szCs w:val="21"/>
                      <w:highlight w:val="none"/>
                      <w14:textFill>
                        <w14:solidFill>
                          <w14:schemeClr w14:val="tx1"/>
                        </w14:solidFill>
                      </w14:textFill>
                    </w:rPr>
                  </w:pPr>
                  <w:r>
                    <w:rPr>
                      <w:rStyle w:val="41"/>
                      <w:rFonts w:hint="eastAsia"/>
                      <w:b/>
                      <w:bCs/>
                      <w:color w:val="000000" w:themeColor="text1"/>
                      <w:sz w:val="21"/>
                      <w:szCs w:val="21"/>
                      <w:highlight w:val="none"/>
                      <w:lang w:val="en-US" w:eastAsia="zh-CN" w:bidi="ar"/>
                      <w14:textFill>
                        <w14:solidFill>
                          <w14:schemeClr w14:val="tx1"/>
                        </w14:solidFill>
                      </w14:textFill>
                    </w:rPr>
                    <w:t>全厂</w:t>
                  </w:r>
                  <w:r>
                    <w:rPr>
                      <w:rStyle w:val="41"/>
                      <w:b/>
                      <w:bCs/>
                      <w:color w:val="000000" w:themeColor="text1"/>
                      <w:sz w:val="21"/>
                      <w:szCs w:val="21"/>
                      <w:highlight w:val="none"/>
                      <w:lang w:bidi="ar"/>
                      <w14:textFill>
                        <w14:solidFill>
                          <w14:schemeClr w14:val="tx1"/>
                        </w14:solidFill>
                      </w14:textFill>
                    </w:rPr>
                    <w:t>VOCs</w:t>
                  </w:r>
                  <w:r>
                    <w:rPr>
                      <w:rFonts w:hint="default"/>
                      <w:b/>
                      <w:bCs/>
                      <w:color w:val="000000" w:themeColor="text1"/>
                      <w:kern w:val="0"/>
                      <w:sz w:val="21"/>
                      <w:szCs w:val="21"/>
                      <w:highlight w:val="none"/>
                      <w:lang w:bidi="ar"/>
                      <w14:textFill>
                        <w14:solidFill>
                          <w14:schemeClr w14:val="tx1"/>
                        </w14:solidFill>
                      </w14:textFill>
                    </w:rPr>
                    <w:t>（以非甲烷总烃计）</w:t>
                  </w:r>
                </w:p>
              </w:tc>
            </w:tr>
            <w:tr w14:paraId="2D93B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377" w:type="dxa"/>
                  <w:gridSpan w:val="2"/>
                  <w:noWrap/>
                  <w:vAlign w:val="center"/>
                </w:tcPr>
                <w:p w14:paraId="6239B1C9">
                  <w:pPr>
                    <w:keepNext w:val="0"/>
                    <w:keepLines w:val="0"/>
                    <w:widowControl/>
                    <w:suppressLineNumbers w:val="0"/>
                    <w:shd w:val="clear" w:color="auto" w:fill="auto"/>
                    <w:spacing w:before="0" w:beforeAutospacing="0" w:after="0" w:afterAutospacing="0"/>
                    <w:ind w:left="0" w:right="0"/>
                    <w:jc w:val="center"/>
                    <w:textAlignment w:val="bottom"/>
                    <w:rPr>
                      <w:rFonts w:hint="default"/>
                      <w:b/>
                      <w:bCs/>
                      <w:color w:val="000000" w:themeColor="text1"/>
                      <w:sz w:val="21"/>
                      <w:szCs w:val="21"/>
                      <w:highlight w:val="none"/>
                      <w14:textFill>
                        <w14:solidFill>
                          <w14:schemeClr w14:val="tx1"/>
                        </w14:solidFill>
                      </w14:textFill>
                    </w:rPr>
                  </w:pPr>
                  <w:r>
                    <w:rPr>
                      <w:rFonts w:hint="default"/>
                      <w:b/>
                      <w:bCs/>
                      <w:color w:val="000000" w:themeColor="text1"/>
                      <w:kern w:val="0"/>
                      <w:sz w:val="21"/>
                      <w:szCs w:val="21"/>
                      <w:highlight w:val="none"/>
                      <w:lang w:bidi="ar"/>
                      <w14:textFill>
                        <w14:solidFill>
                          <w14:schemeClr w14:val="tx1"/>
                        </w14:solidFill>
                      </w14:textFill>
                    </w:rPr>
                    <w:t>投入</w:t>
                  </w:r>
                  <w:r>
                    <w:rPr>
                      <w:rStyle w:val="41"/>
                      <w:b/>
                      <w:bCs/>
                      <w:color w:val="000000" w:themeColor="text1"/>
                      <w:sz w:val="21"/>
                      <w:szCs w:val="21"/>
                      <w:highlight w:val="none"/>
                      <w:lang w:bidi="ar"/>
                      <w14:textFill>
                        <w14:solidFill>
                          <w14:schemeClr w14:val="tx1"/>
                        </w14:solidFill>
                      </w14:textFill>
                    </w:rPr>
                    <w:t>t/a</w:t>
                  </w:r>
                </w:p>
              </w:tc>
              <w:tc>
                <w:tcPr>
                  <w:tcW w:w="5616" w:type="dxa"/>
                  <w:gridSpan w:val="6"/>
                  <w:noWrap/>
                  <w:vAlign w:val="center"/>
                </w:tcPr>
                <w:p w14:paraId="55661501">
                  <w:pPr>
                    <w:keepNext w:val="0"/>
                    <w:keepLines w:val="0"/>
                    <w:widowControl/>
                    <w:suppressLineNumbers w:val="0"/>
                    <w:shd w:val="clear" w:color="auto" w:fill="auto"/>
                    <w:spacing w:before="0" w:beforeAutospacing="0" w:after="0" w:afterAutospacing="0"/>
                    <w:ind w:left="0" w:right="0"/>
                    <w:jc w:val="center"/>
                    <w:textAlignment w:val="bottom"/>
                    <w:rPr>
                      <w:rFonts w:hint="default"/>
                      <w:b/>
                      <w:bCs/>
                      <w:color w:val="000000" w:themeColor="text1"/>
                      <w:sz w:val="21"/>
                      <w:szCs w:val="21"/>
                      <w:highlight w:val="none"/>
                      <w14:textFill>
                        <w14:solidFill>
                          <w14:schemeClr w14:val="tx1"/>
                        </w14:solidFill>
                      </w14:textFill>
                    </w:rPr>
                  </w:pPr>
                  <w:r>
                    <w:rPr>
                      <w:rFonts w:hint="default"/>
                      <w:b/>
                      <w:bCs/>
                      <w:color w:val="000000" w:themeColor="text1"/>
                      <w:kern w:val="0"/>
                      <w:sz w:val="21"/>
                      <w:szCs w:val="21"/>
                      <w:highlight w:val="none"/>
                      <w:lang w:bidi="ar"/>
                      <w14:textFill>
                        <w14:solidFill>
                          <w14:schemeClr w14:val="tx1"/>
                        </w14:solidFill>
                      </w14:textFill>
                    </w:rPr>
                    <w:t>产出</w:t>
                  </w:r>
                  <w:r>
                    <w:rPr>
                      <w:rStyle w:val="41"/>
                      <w:b/>
                      <w:bCs/>
                      <w:color w:val="000000" w:themeColor="text1"/>
                      <w:sz w:val="21"/>
                      <w:szCs w:val="21"/>
                      <w:highlight w:val="none"/>
                      <w:lang w:bidi="ar"/>
                      <w14:textFill>
                        <w14:solidFill>
                          <w14:schemeClr w14:val="tx1"/>
                        </w14:solidFill>
                      </w14:textFill>
                    </w:rPr>
                    <w:t>t/a</w:t>
                  </w:r>
                </w:p>
              </w:tc>
            </w:tr>
            <w:tr w14:paraId="0CF5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3" w:type="dxa"/>
                  <w:noWrap/>
                  <w:vAlign w:val="bottom"/>
                </w:tcPr>
                <w:p w14:paraId="5A58513B">
                  <w:pPr>
                    <w:keepNext w:val="0"/>
                    <w:keepLines w:val="0"/>
                    <w:widowControl/>
                    <w:suppressLineNumbers w:val="0"/>
                    <w:jc w:val="center"/>
                    <w:textAlignment w:val="bottom"/>
                    <w:rPr>
                      <w:rFonts w:hint="default"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VOCs</w:t>
                  </w:r>
                </w:p>
              </w:tc>
              <w:tc>
                <w:tcPr>
                  <w:tcW w:w="1114" w:type="dxa"/>
                  <w:noWrap/>
                  <w:vAlign w:val="bottom"/>
                </w:tcPr>
                <w:p w14:paraId="04841E8F">
                  <w:pPr>
                    <w:keepNext w:val="0"/>
                    <w:keepLines w:val="0"/>
                    <w:widowControl/>
                    <w:suppressLineNumbers w:val="0"/>
                    <w:jc w:val="center"/>
                    <w:textAlignment w:val="bottom"/>
                    <w:rPr>
                      <w:rFonts w:hint="default" w:eastAsia="等线"/>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2.460</w:t>
                  </w:r>
                </w:p>
              </w:tc>
              <w:tc>
                <w:tcPr>
                  <w:tcW w:w="907" w:type="dxa"/>
                  <w:vMerge w:val="restart"/>
                  <w:noWrap/>
                  <w:vAlign w:val="center"/>
                </w:tcPr>
                <w:p w14:paraId="2C0AF0DE">
                  <w:pPr>
                    <w:keepNext w:val="0"/>
                    <w:keepLines w:val="0"/>
                    <w:widowControl/>
                    <w:suppressLineNumbers w:val="0"/>
                    <w:jc w:val="center"/>
                    <w:textAlignment w:val="center"/>
                    <w:rPr>
                      <w:rFonts w:hint="default"/>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挥发分</w:t>
                  </w:r>
                </w:p>
              </w:tc>
              <w:tc>
                <w:tcPr>
                  <w:tcW w:w="3672" w:type="dxa"/>
                  <w:gridSpan w:val="4"/>
                  <w:noWrap/>
                  <w:vAlign w:val="center"/>
                </w:tcPr>
                <w:p w14:paraId="4211D4AB">
                  <w:pPr>
                    <w:keepNext w:val="0"/>
                    <w:keepLines w:val="0"/>
                    <w:widowControl/>
                    <w:suppressLineNumbers w:val="0"/>
                    <w:jc w:val="center"/>
                    <w:textAlignment w:val="center"/>
                    <w:rPr>
                      <w:rFonts w:hint="default"/>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有组织排放量</w:t>
                  </w:r>
                </w:p>
              </w:tc>
              <w:tc>
                <w:tcPr>
                  <w:tcW w:w="1037" w:type="dxa"/>
                  <w:noWrap/>
                  <w:vAlign w:val="center"/>
                </w:tcPr>
                <w:p w14:paraId="2EBD41F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0.55</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r>
            <w:tr w14:paraId="0FA1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2C6D97E8">
                  <w:pPr>
                    <w:keepNext w:val="0"/>
                    <w:keepLines w:val="0"/>
                    <w:widowControl/>
                    <w:suppressLineNumbers w:val="0"/>
                    <w:jc w:val="center"/>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114" w:type="dxa"/>
                  <w:noWrap/>
                  <w:vAlign w:val="center"/>
                </w:tcPr>
                <w:p w14:paraId="1C472108">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w:t>
                  </w:r>
                </w:p>
              </w:tc>
              <w:tc>
                <w:tcPr>
                  <w:tcW w:w="907" w:type="dxa"/>
                  <w:vMerge w:val="continue"/>
                  <w:noWrap/>
                  <w:vAlign w:val="center"/>
                </w:tcPr>
                <w:p w14:paraId="2844D49E">
                  <w:pPr>
                    <w:jc w:val="center"/>
                    <w:rPr>
                      <w:rFonts w:hint="default"/>
                      <w:color w:val="000000" w:themeColor="text1"/>
                      <w:sz w:val="21"/>
                      <w:szCs w:val="21"/>
                      <w:highlight w:val="none"/>
                      <w14:textFill>
                        <w14:solidFill>
                          <w14:schemeClr w14:val="tx1"/>
                        </w14:solidFill>
                      </w14:textFill>
                    </w:rPr>
                  </w:pPr>
                </w:p>
              </w:tc>
              <w:tc>
                <w:tcPr>
                  <w:tcW w:w="3672" w:type="dxa"/>
                  <w:gridSpan w:val="4"/>
                  <w:noWrap/>
                  <w:vAlign w:val="center"/>
                </w:tcPr>
                <w:p w14:paraId="3529AA69">
                  <w:pPr>
                    <w:keepNext w:val="0"/>
                    <w:keepLines w:val="0"/>
                    <w:widowControl/>
                    <w:suppressLineNumbers w:val="0"/>
                    <w:jc w:val="center"/>
                    <w:textAlignment w:val="center"/>
                    <w:rPr>
                      <w:rFonts w:hint="default"/>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无组织排放量</w:t>
                  </w:r>
                </w:p>
              </w:tc>
              <w:tc>
                <w:tcPr>
                  <w:tcW w:w="1037" w:type="dxa"/>
                  <w:noWrap/>
                  <w:vAlign w:val="center"/>
                </w:tcPr>
                <w:p w14:paraId="36951D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0.246</w:t>
                  </w:r>
                </w:p>
              </w:tc>
            </w:tr>
            <w:tr w14:paraId="50ED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center"/>
                </w:tcPr>
                <w:p w14:paraId="1BFACBAD">
                  <w:pPr>
                    <w:keepNext w:val="0"/>
                    <w:keepLines w:val="0"/>
                    <w:widowControl/>
                    <w:suppressLineNumbers w:val="0"/>
                    <w:jc w:val="center"/>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114" w:type="dxa"/>
                  <w:noWrap/>
                  <w:vAlign w:val="center"/>
                </w:tcPr>
                <w:p w14:paraId="783F9AB0">
                  <w:pPr>
                    <w:jc w:val="center"/>
                    <w:rPr>
                      <w:rFonts w:hint="default" w:eastAsia="等线"/>
                      <w:color w:val="000000" w:themeColor="text1"/>
                      <w:sz w:val="21"/>
                      <w:szCs w:val="21"/>
                      <w:highlight w:val="none"/>
                      <w:lang w:val="en-US" w:eastAsia="zh-CN"/>
                      <w14:textFill>
                        <w14:solidFill>
                          <w14:schemeClr w14:val="tx1"/>
                        </w14:solidFill>
                      </w14:textFill>
                    </w:rPr>
                  </w:pPr>
                  <w:r>
                    <w:rPr>
                      <w:rFonts w:hint="eastAsia" w:eastAsia="等线"/>
                      <w:color w:val="000000" w:themeColor="text1"/>
                      <w:sz w:val="21"/>
                      <w:szCs w:val="21"/>
                      <w:highlight w:val="none"/>
                      <w:lang w:val="en-US" w:eastAsia="zh-CN"/>
                      <w14:textFill>
                        <w14:solidFill>
                          <w14:schemeClr w14:val="tx1"/>
                        </w14:solidFill>
                      </w14:textFill>
                    </w:rPr>
                    <w:t>/</w:t>
                  </w:r>
                </w:p>
              </w:tc>
              <w:tc>
                <w:tcPr>
                  <w:tcW w:w="907" w:type="dxa"/>
                  <w:vMerge w:val="continue"/>
                  <w:noWrap/>
                  <w:vAlign w:val="center"/>
                </w:tcPr>
                <w:p w14:paraId="15CC4B38">
                  <w:pPr>
                    <w:jc w:val="center"/>
                    <w:rPr>
                      <w:rFonts w:hint="default"/>
                      <w:color w:val="000000" w:themeColor="text1"/>
                      <w:sz w:val="21"/>
                      <w:szCs w:val="21"/>
                      <w:highlight w:val="none"/>
                      <w14:textFill>
                        <w14:solidFill>
                          <w14:schemeClr w14:val="tx1"/>
                        </w14:solidFill>
                      </w14:textFill>
                    </w:rPr>
                  </w:pPr>
                </w:p>
              </w:tc>
              <w:tc>
                <w:tcPr>
                  <w:tcW w:w="3672" w:type="dxa"/>
                  <w:gridSpan w:val="4"/>
                  <w:noWrap/>
                  <w:vAlign w:val="center"/>
                </w:tcPr>
                <w:p w14:paraId="346289E3">
                  <w:pPr>
                    <w:keepNext w:val="0"/>
                    <w:keepLines w:val="0"/>
                    <w:widowControl/>
                    <w:suppressLineNumbers w:val="0"/>
                    <w:jc w:val="center"/>
                    <w:textAlignment w:val="center"/>
                    <w:rPr>
                      <w:rFonts w:hint="default"/>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废气处理设施去除量</w:t>
                  </w:r>
                </w:p>
              </w:tc>
              <w:tc>
                <w:tcPr>
                  <w:tcW w:w="1037" w:type="dxa"/>
                  <w:noWrap/>
                  <w:vAlign w:val="center"/>
                </w:tcPr>
                <w:p w14:paraId="2C159E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1.66</w:t>
                  </w:r>
                </w:p>
              </w:tc>
            </w:tr>
            <w:tr w14:paraId="3B72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63" w:type="dxa"/>
                  <w:noWrap/>
                  <w:vAlign w:val="bottom"/>
                </w:tcPr>
                <w:p w14:paraId="3AE06FAA">
                  <w:pPr>
                    <w:keepNext w:val="0"/>
                    <w:keepLines w:val="0"/>
                    <w:widowControl/>
                    <w:suppressLineNumbers w:val="0"/>
                    <w:jc w:val="center"/>
                    <w:textAlignment w:val="bottom"/>
                    <w:rPr>
                      <w:rFonts w:hint="default"/>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合计</w:t>
                  </w:r>
                </w:p>
              </w:tc>
              <w:tc>
                <w:tcPr>
                  <w:tcW w:w="1114" w:type="dxa"/>
                  <w:noWrap/>
                  <w:vAlign w:val="bottom"/>
                </w:tcPr>
                <w:p w14:paraId="342F8482">
                  <w:pPr>
                    <w:keepNext w:val="0"/>
                    <w:keepLines w:val="0"/>
                    <w:widowControl/>
                    <w:suppressLineNumbers w:val="0"/>
                    <w:jc w:val="center"/>
                    <w:textAlignment w:val="bottom"/>
                    <w:rPr>
                      <w:rFonts w:hint="default" w:eastAsia="等线"/>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2.460</w:t>
                  </w:r>
                </w:p>
              </w:tc>
              <w:tc>
                <w:tcPr>
                  <w:tcW w:w="4579" w:type="dxa"/>
                  <w:gridSpan w:val="5"/>
                  <w:noWrap/>
                  <w:vAlign w:val="center"/>
                </w:tcPr>
                <w:p w14:paraId="4C4C0BB6">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合计</w:t>
                  </w:r>
                </w:p>
              </w:tc>
              <w:tc>
                <w:tcPr>
                  <w:tcW w:w="1037" w:type="dxa"/>
                  <w:noWrap/>
                  <w:vAlign w:val="center"/>
                </w:tcPr>
                <w:p w14:paraId="2C6CD1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2.460</w:t>
                  </w:r>
                </w:p>
              </w:tc>
            </w:tr>
          </w:tbl>
          <w:p w14:paraId="4AF7B3AB">
            <w:pPr>
              <w:keepNext w:val="0"/>
              <w:keepLines w:val="0"/>
              <w:suppressLineNumbers w:val="0"/>
              <w:shd w:val="clear" w:color="auto" w:fill="auto"/>
              <w:spacing w:before="0" w:beforeAutospacing="0" w:after="0" w:afterAutospacing="0"/>
              <w:ind w:left="0" w:right="0"/>
              <w:rPr>
                <w:rFonts w:hint="default" w:eastAsia="黑体"/>
                <w:color w:val="000000" w:themeColor="text1"/>
                <w:highlight w:val="none"/>
                <w14:textFill>
                  <w14:solidFill>
                    <w14:schemeClr w14:val="tx1"/>
                  </w14:solidFill>
                </w14:textFill>
              </w:rPr>
            </w:pPr>
          </w:p>
          <w:p w14:paraId="78EC8E2B">
            <w:pPr>
              <w:pStyle w:val="15"/>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60" w:lineRule="auto"/>
              <w:ind w:left="0" w:right="0" w:firstLine="420" w:firstLineChars="200"/>
              <w:textAlignment w:val="auto"/>
              <w:rPr>
                <w:rFonts w:hint="default"/>
                <w:color w:val="000000" w:themeColor="text1"/>
                <w14:textFill>
                  <w14:solidFill>
                    <w14:schemeClr w14:val="tx1"/>
                  </w14:solidFill>
                </w14:textFill>
              </w:rPr>
            </w:pPr>
          </w:p>
        </w:tc>
      </w:tr>
    </w:tbl>
    <w:p w14:paraId="15044B81">
      <w:pPr>
        <w:rPr>
          <w:rFonts w:ascii="Times New Roman" w:hAnsi="Times New Roman" w:eastAsia="黑体"/>
          <w:snapToGrid w:val="0"/>
          <w:color w:val="000000" w:themeColor="text1"/>
          <w:sz w:val="30"/>
          <w:szCs w:val="30"/>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13131"/>
      </w:tblGrid>
      <w:tr w14:paraId="79E1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5" w:type="dxa"/>
            <w:vAlign w:val="center"/>
          </w:tcPr>
          <w:p w14:paraId="4BECEF8F">
            <w:pPr>
              <w:rPr>
                <w:rFonts w:ascii="Times New Roman" w:hAnsi="Times New Roman" w:eastAsia="黑体"/>
                <w:snapToGrid w:val="0"/>
                <w:color w:val="000000" w:themeColor="text1"/>
                <w:sz w:val="30"/>
                <w:szCs w:val="30"/>
                <w:vertAlign w:val="baseline"/>
                <w14:textFill>
                  <w14:solidFill>
                    <w14:schemeClr w14:val="tx1"/>
                  </w14:solidFill>
                </w14:textFill>
              </w:rPr>
            </w:pPr>
            <w:r>
              <w:rPr>
                <w:rFonts w:hint="default" w:ascii="Times New Roman" w:hAnsi="Times New Roman"/>
                <w:color w:val="000000" w:themeColor="text1"/>
                <w:sz w:val="24"/>
                <w:szCs w:val="24"/>
                <w14:textFill>
                  <w14:solidFill>
                    <w14:schemeClr w14:val="tx1"/>
                  </w14:solidFill>
                </w14:textFill>
              </w:rPr>
              <w:t>建设内容</w:t>
            </w:r>
          </w:p>
        </w:tc>
        <w:tc>
          <w:tcPr>
            <w:tcW w:w="13131" w:type="dxa"/>
          </w:tcPr>
          <w:p w14:paraId="42DEEE85">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object>
                <v:shape id="_x0000_i1025" o:spt="75" type="#_x0000_t75" style="height:341.55pt;width:384.65pt;" o:ole="t" filled="f" o:preferrelative="t" stroked="f" coordsize="21600,21600">
                  <v:path/>
                  <v:fill on="f" focussize="0,0"/>
                  <v:stroke on="f"/>
                  <v:imagedata r:id="rId18" o:title=""/>
                  <o:lock v:ext="edit" aspectratio="f"/>
                  <w10:wrap type="none"/>
                  <w10:anchorlock/>
                </v:shape>
                <o:OLEObject Type="Embed" ProgID="Visio.Drawing.11" ShapeID="_x0000_i1025" DrawAspect="Content" ObjectID="_1468075725" r:id="rId17">
                  <o:LockedField>false</o:LockedField>
                </o:OLEObject>
              </w:object>
            </w:r>
          </w:p>
          <w:p w14:paraId="4EFEBB9C">
            <w:pPr>
              <w:keepNext w:val="0"/>
              <w:keepLines w:val="0"/>
              <w:suppressLineNumbers w:val="0"/>
              <w:adjustRightInd w:val="0"/>
              <w:snapToGrid w:val="0"/>
              <w:spacing w:before="0" w:beforeAutospacing="0" w:after="0" w:afterAutospacing="0" w:line="360" w:lineRule="auto"/>
              <w:ind w:left="0" w:right="0"/>
              <w:jc w:val="center"/>
              <w:rPr>
                <w:rFonts w:hint="default"/>
                <w:b/>
                <w:bCs/>
                <w:color w:val="000000" w:themeColor="text1"/>
                <w:highlight w:val="none"/>
                <w14:textFill>
                  <w14:solidFill>
                    <w14:schemeClr w14:val="tx1"/>
                  </w14:solidFill>
                </w14:textFill>
              </w:rPr>
            </w:pPr>
            <w:r>
              <w:rPr>
                <w:rFonts w:hint="default"/>
                <w:b/>
                <w:bCs/>
                <w:color w:val="000000" w:themeColor="text1"/>
                <w:sz w:val="24"/>
                <w:highlight w:val="none"/>
                <w14:textFill>
                  <w14:solidFill>
                    <w14:schemeClr w14:val="tx1"/>
                  </w14:solidFill>
                </w14:textFill>
              </w:rPr>
              <w:t>图2</w:t>
            </w:r>
            <w:r>
              <w:rPr>
                <w:rFonts w:hint="eastAsia"/>
                <w:b/>
                <w:bCs/>
                <w:color w:val="000000" w:themeColor="text1"/>
                <w:sz w:val="24"/>
                <w:highlight w:val="none"/>
                <w:lang w:val="en-US" w:eastAsia="zh-CN"/>
                <w14:textFill>
                  <w14:solidFill>
                    <w14:schemeClr w14:val="tx1"/>
                  </w14:solidFill>
                </w14:textFill>
              </w:rPr>
              <w:t xml:space="preserve">-2 </w:t>
            </w:r>
            <w:r>
              <w:rPr>
                <w:rFonts w:hint="default"/>
                <w:b/>
                <w:bCs/>
                <w:color w:val="000000" w:themeColor="text1"/>
                <w:sz w:val="24"/>
                <w:highlight w:val="none"/>
                <w14:textFill>
                  <w14:solidFill>
                    <w14:schemeClr w14:val="tx1"/>
                  </w14:solidFill>
                </w14:textFill>
              </w:rPr>
              <w:t>喷涂工序漆料平衡图  单位t/a</w:t>
            </w:r>
          </w:p>
          <w:p w14:paraId="4D2781D2">
            <w:pPr>
              <w:keepNext w:val="0"/>
              <w:keepLines w:val="0"/>
              <w:suppressLineNumbers w:val="0"/>
              <w:adjustRightInd w:val="0"/>
              <w:snapToGrid w:val="0"/>
              <w:spacing w:before="0" w:beforeAutospacing="0" w:after="0" w:afterAutospacing="0" w:line="360" w:lineRule="auto"/>
              <w:ind w:left="0" w:right="0"/>
              <w:jc w:val="cente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object>
                <v:shape id="_x0000_i1026" o:spt="75" type="#_x0000_t75" style="height:338.4pt;width:387.7pt;" o:ole="t" filled="f" o:preferrelative="t" stroked="f" coordsize="21600,21600">
                  <v:path/>
                  <v:fill on="f" focussize="0,0"/>
                  <v:stroke on="f"/>
                  <v:imagedata r:id="rId20" o:title=""/>
                  <o:lock v:ext="edit" aspectratio="f"/>
                  <w10:wrap type="none"/>
                  <w10:anchorlock/>
                </v:shape>
                <o:OLEObject Type="Embed" ProgID="Visio.Drawing.11" ShapeID="_x0000_i1026" DrawAspect="Content" ObjectID="_1468075726" r:id="rId19">
                  <o:LockedField>false</o:LockedField>
                </o:OLEObject>
              </w:object>
            </w:r>
          </w:p>
          <w:p w14:paraId="165F8996">
            <w:pPr>
              <w:adjustRightInd w:val="0"/>
              <w:snapToGrid w:val="0"/>
              <w:spacing w:line="360" w:lineRule="auto"/>
              <w:jc w:val="center"/>
              <w:rPr>
                <w:rFonts w:hint="eastAsia" w:ascii="Times New Roman" w:hAnsi="Times New Roman" w:eastAsia="宋体"/>
                <w:snapToGrid w:val="0"/>
                <w:color w:val="000000" w:themeColor="text1"/>
                <w:sz w:val="30"/>
                <w:szCs w:val="30"/>
                <w:vertAlign w:val="baseline"/>
                <w:lang w:val="en-US" w:eastAsia="zh-CN"/>
                <w14:textFill>
                  <w14:solidFill>
                    <w14:schemeClr w14:val="tx1"/>
                  </w14:solidFill>
                </w14:textFill>
              </w:rPr>
            </w:pPr>
            <w:r>
              <w:rPr>
                <w:rFonts w:hint="default"/>
                <w:b/>
                <w:bCs/>
                <w:color w:val="000000" w:themeColor="text1"/>
                <w:sz w:val="24"/>
                <w:highlight w:val="none"/>
                <w14:textFill>
                  <w14:solidFill>
                    <w14:schemeClr w14:val="tx1"/>
                  </w14:solidFill>
                </w14:textFill>
              </w:rPr>
              <w:t>图2-</w:t>
            </w:r>
            <w:r>
              <w:rPr>
                <w:rFonts w:hint="eastAsia"/>
                <w:b/>
                <w:bCs/>
                <w:color w:val="000000" w:themeColor="text1"/>
                <w:sz w:val="24"/>
                <w:highlight w:val="none"/>
                <w:lang w:val="en-US" w:eastAsia="zh-CN"/>
                <w14:textFill>
                  <w14:solidFill>
                    <w14:schemeClr w14:val="tx1"/>
                  </w14:solidFill>
                </w14:textFill>
              </w:rPr>
              <w:t xml:space="preserve">3 </w:t>
            </w:r>
            <w:r>
              <w:rPr>
                <w:rFonts w:hint="default"/>
                <w:b/>
                <w:bCs/>
                <w:color w:val="000000" w:themeColor="text1"/>
                <w:sz w:val="24"/>
                <w:highlight w:val="none"/>
                <w14:textFill>
                  <w14:solidFill>
                    <w14:schemeClr w14:val="tx1"/>
                  </w14:solidFill>
                </w14:textFill>
              </w:rPr>
              <w:t>喷涂工序</w:t>
            </w:r>
            <w:r>
              <w:rPr>
                <w:rFonts w:hint="eastAsia"/>
                <w:b/>
                <w:bCs/>
                <w:color w:val="000000" w:themeColor="text1"/>
                <w:sz w:val="24"/>
                <w:highlight w:val="none"/>
                <w:lang w:val="en-US" w:eastAsia="zh-CN"/>
                <w14:textFill>
                  <w14:solidFill>
                    <w14:schemeClr w14:val="tx1"/>
                  </w14:solidFill>
                </w14:textFill>
              </w:rPr>
              <w:t>非甲烷总烃</w:t>
            </w:r>
            <w:r>
              <w:rPr>
                <w:rFonts w:hint="default"/>
                <w:b/>
                <w:bCs/>
                <w:color w:val="000000" w:themeColor="text1"/>
                <w:sz w:val="24"/>
                <w:highlight w:val="none"/>
                <w14:textFill>
                  <w14:solidFill>
                    <w14:schemeClr w14:val="tx1"/>
                  </w14:solidFill>
                </w14:textFill>
              </w:rPr>
              <w:t>平衡图</w:t>
            </w:r>
            <w:r>
              <w:rPr>
                <w:rFonts w:hint="eastAsia"/>
                <w:b/>
                <w:bCs/>
                <w:color w:val="000000" w:themeColor="text1"/>
                <w:sz w:val="24"/>
                <w:highlight w:val="none"/>
                <w:lang w:val="en-US" w:eastAsia="zh-CN"/>
                <w14:textFill>
                  <w14:solidFill>
                    <w14:schemeClr w14:val="tx1"/>
                  </w14:solidFill>
                </w14:textFill>
              </w:rPr>
              <w:t xml:space="preserve">  </w:t>
            </w:r>
            <w:r>
              <w:rPr>
                <w:rFonts w:hint="default"/>
                <w:b/>
                <w:bCs/>
                <w:color w:val="000000" w:themeColor="text1"/>
                <w:sz w:val="24"/>
                <w:highlight w:val="none"/>
                <w14:textFill>
                  <w14:solidFill>
                    <w14:schemeClr w14:val="tx1"/>
                  </w14:solidFill>
                </w14:textFill>
              </w:rPr>
              <w:t>单位t/</w:t>
            </w:r>
            <w:r>
              <w:rPr>
                <w:rFonts w:hint="eastAsia"/>
                <w:b/>
                <w:bCs/>
                <w:color w:val="000000" w:themeColor="text1"/>
                <w:sz w:val="24"/>
                <w:highlight w:val="none"/>
                <w:lang w:val="en-US" w:eastAsia="zh-CN"/>
                <w14:textFill>
                  <w14:solidFill>
                    <w14:schemeClr w14:val="tx1"/>
                  </w14:solidFill>
                </w14:textFill>
              </w:rPr>
              <w:t>a</w:t>
            </w:r>
          </w:p>
        </w:tc>
      </w:tr>
    </w:tbl>
    <w:p w14:paraId="0BA5A18B">
      <w:pPr>
        <w:rPr>
          <w:rFonts w:ascii="Times New Roman" w:hAnsi="Times New Roman" w:eastAsia="黑体"/>
          <w:snapToGrid w:val="0"/>
          <w:color w:val="000000" w:themeColor="text1"/>
          <w:sz w:val="30"/>
          <w:szCs w:val="30"/>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2"/>
        <w:gridCol w:w="361"/>
        <w:gridCol w:w="8298"/>
      </w:tblGrid>
      <w:tr w14:paraId="48C7E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2" w:type="dxa"/>
            <w:vAlign w:val="center"/>
          </w:tcPr>
          <w:p w14:paraId="7EE9D871">
            <w:pPr>
              <w:pStyle w:val="1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olor w:val="000000" w:themeColor="text1"/>
                <w:sz w:val="24"/>
                <w:szCs w:val="24"/>
                <w14:textFill>
                  <w14:solidFill>
                    <w14:schemeClr w14:val="tx1"/>
                  </w14:solidFill>
                </w14:textFill>
              </w:rPr>
            </w:pPr>
            <w:r>
              <w:rPr>
                <w:rFonts w:hint="default" w:ascii="Times New Roman" w:hAnsi="Times New Roman"/>
                <w:color w:val="000000" w:themeColor="text1"/>
                <w:sz w:val="24"/>
                <w:szCs w:val="24"/>
                <w14:textFill>
                  <w14:solidFill>
                    <w14:schemeClr w14:val="tx1"/>
                  </w14:solidFill>
                </w14:textFill>
              </w:rPr>
              <w:t>建设内容</w:t>
            </w:r>
          </w:p>
        </w:tc>
        <w:tc>
          <w:tcPr>
            <w:tcW w:w="8659" w:type="dxa"/>
            <w:gridSpan w:val="2"/>
            <w:vAlign w:val="top"/>
          </w:tcPr>
          <w:p w14:paraId="47A17242">
            <w:pPr>
              <w:keepNext w:val="0"/>
              <w:keepLines w:val="0"/>
              <w:suppressLineNumbers w:val="0"/>
              <w:adjustRightInd w:val="0"/>
              <w:snapToGrid w:val="0"/>
              <w:spacing w:before="0" w:beforeAutospacing="0" w:after="0" w:afterAutospacing="0" w:line="360" w:lineRule="auto"/>
              <w:ind w:left="0" w:right="0"/>
              <w:rPr>
                <w:rFonts w:hint="default"/>
                <w:b/>
                <w:bCs/>
                <w:color w:val="000000" w:themeColor="text1"/>
                <w:sz w:val="24"/>
                <w:szCs w:val="24"/>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8、</w:t>
            </w:r>
            <w:r>
              <w:rPr>
                <w:rFonts w:hint="default"/>
                <w:b/>
                <w:bCs/>
                <w:color w:val="000000" w:themeColor="text1"/>
                <w:sz w:val="24"/>
                <w:szCs w:val="24"/>
                <w14:textFill>
                  <w14:solidFill>
                    <w14:schemeClr w14:val="tx1"/>
                  </w14:solidFill>
                </w14:textFill>
              </w:rPr>
              <w:t>公用工程</w:t>
            </w:r>
          </w:p>
          <w:p w14:paraId="0C3360AA">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（1）供电</w:t>
            </w:r>
          </w:p>
          <w:p w14:paraId="5015192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szCs w:val="24"/>
                <w:highlight w:val="none"/>
                <w14:textFill>
                  <w14:solidFill>
                    <w14:schemeClr w14:val="tx1"/>
                  </w14:solidFill>
                </w14:textFill>
              </w:rPr>
            </w:pPr>
            <w:r>
              <w:rPr>
                <w:rFonts w:hint="default"/>
                <w:color w:val="000000" w:themeColor="text1"/>
                <w:sz w:val="24"/>
                <w:szCs w:val="24"/>
                <w14:textFill>
                  <w14:solidFill>
                    <w14:schemeClr w14:val="tx1"/>
                  </w14:solidFill>
                </w14:textFill>
              </w:rPr>
              <w:t>本项目用电由市政供电系统供电，厂房供电系统已建成，</w:t>
            </w:r>
            <w:r>
              <w:rPr>
                <w:rFonts w:hint="default"/>
                <w:color w:val="000000" w:themeColor="text1"/>
                <w:sz w:val="24"/>
                <w:szCs w:val="24"/>
                <w:highlight w:val="none"/>
                <w14:textFill>
                  <w14:solidFill>
                    <w14:schemeClr w14:val="tx1"/>
                  </w14:solidFill>
                </w14:textFill>
              </w:rPr>
              <w:t>用量为</w:t>
            </w:r>
            <w:r>
              <w:rPr>
                <w:rFonts w:hint="default"/>
                <w:color w:val="000000" w:themeColor="text1"/>
                <w:sz w:val="24"/>
                <w:szCs w:val="24"/>
                <w:highlight w:val="none"/>
                <w:lang w:val="en-US" w:eastAsia="zh-CN"/>
                <w14:textFill>
                  <w14:solidFill>
                    <w14:schemeClr w14:val="tx1"/>
                  </w14:solidFill>
                </w14:textFill>
              </w:rPr>
              <w:t>25</w:t>
            </w:r>
            <w:r>
              <w:rPr>
                <w:rFonts w:hint="default"/>
                <w:color w:val="000000" w:themeColor="text1"/>
                <w:sz w:val="24"/>
                <w:szCs w:val="24"/>
                <w:highlight w:val="none"/>
                <w14:textFill>
                  <w14:solidFill>
                    <w14:schemeClr w14:val="tx1"/>
                  </w14:solidFill>
                </w14:textFill>
              </w:rPr>
              <w:t>万kW•h/a。</w:t>
            </w:r>
          </w:p>
          <w:p w14:paraId="1A58632A">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（2）给排水</w:t>
            </w:r>
          </w:p>
          <w:p w14:paraId="1EB82C39">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1）供水</w:t>
            </w:r>
          </w:p>
          <w:p w14:paraId="2B17A687">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本项目</w:t>
            </w:r>
            <w:r>
              <w:rPr>
                <w:rFonts w:hint="default"/>
                <w:color w:val="000000" w:themeColor="text1"/>
                <w:sz w:val="24"/>
                <w:szCs w:val="24"/>
                <w:lang w:val="en-US" w:eastAsia="zh-CN"/>
                <w14:textFill>
                  <w14:solidFill>
                    <w14:schemeClr w14:val="tx1"/>
                  </w14:solidFill>
                </w14:textFill>
              </w:rPr>
              <w:t>不设置</w:t>
            </w:r>
            <w:r>
              <w:rPr>
                <w:rFonts w:hint="default"/>
                <w:color w:val="000000" w:themeColor="text1"/>
                <w:sz w:val="24"/>
                <w:szCs w:val="24"/>
                <w:lang w:eastAsia="zh-CN"/>
                <w14:textFill>
                  <w14:solidFill>
                    <w14:schemeClr w14:val="tx1"/>
                  </w14:solidFill>
                </w14:textFill>
              </w:rPr>
              <w:t>食堂</w:t>
            </w:r>
            <w:r>
              <w:rPr>
                <w:rFonts w:hint="default"/>
                <w:color w:val="000000" w:themeColor="text1"/>
                <w:sz w:val="24"/>
                <w:szCs w:val="24"/>
                <w:lang w:val="en-US" w:eastAsia="zh-CN"/>
                <w14:textFill>
                  <w14:solidFill>
                    <w14:schemeClr w14:val="tx1"/>
                  </w14:solidFill>
                </w14:textFill>
              </w:rPr>
              <w:t>宿舍</w:t>
            </w:r>
            <w:r>
              <w:rPr>
                <w:rFonts w:hint="default"/>
                <w:color w:val="000000" w:themeColor="text1"/>
                <w:sz w:val="24"/>
                <w:szCs w:val="24"/>
                <w14:textFill>
                  <w14:solidFill>
                    <w14:schemeClr w14:val="tx1"/>
                  </w14:solidFill>
                </w14:textFill>
              </w:rPr>
              <w:t>，厂房内地面用</w:t>
            </w:r>
            <w:r>
              <w:rPr>
                <w:rFonts w:hint="default"/>
                <w:color w:val="000000" w:themeColor="text1"/>
                <w:sz w:val="24"/>
                <w:szCs w:val="24"/>
                <w:lang w:val="en-US" w:eastAsia="zh-CN"/>
                <w14:textFill>
                  <w14:solidFill>
                    <w14:schemeClr w14:val="tx1"/>
                  </w14:solidFill>
                </w14:textFill>
              </w:rPr>
              <w:t>扫帚</w:t>
            </w:r>
            <w:r>
              <w:rPr>
                <w:rFonts w:hint="default"/>
                <w:color w:val="000000" w:themeColor="text1"/>
                <w:sz w:val="24"/>
                <w:szCs w:val="24"/>
                <w14:textFill>
                  <w14:solidFill>
                    <w14:schemeClr w14:val="tx1"/>
                  </w14:solidFill>
                </w14:textFill>
              </w:rPr>
              <w:t>清洁，用水主要为生活用水、洗手用水</w:t>
            </w:r>
            <w:r>
              <w:rPr>
                <w:rFonts w:hint="default"/>
                <w:color w:val="000000" w:themeColor="text1"/>
                <w:sz w:val="24"/>
                <w:szCs w:val="24"/>
                <w:lang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洗枪用水、水帘湿式漆雾净化用水</w:t>
            </w:r>
            <w:r>
              <w:rPr>
                <w:rFonts w:hint="default"/>
                <w:color w:val="000000" w:themeColor="text1"/>
                <w:sz w:val="24"/>
                <w:szCs w:val="24"/>
                <w14:textFill>
                  <w14:solidFill>
                    <w14:schemeClr w14:val="tx1"/>
                  </w14:solidFill>
                </w14:textFill>
              </w:rPr>
              <w:t>。</w:t>
            </w:r>
          </w:p>
          <w:p w14:paraId="54683B8B">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bCs/>
                <w:color w:val="000000" w:themeColor="text1"/>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fldChar w:fldCharType="begin"/>
            </w:r>
            <w:r>
              <w:rPr>
                <w:rFonts w:hint="default"/>
                <w:bCs/>
                <w:color w:val="000000" w:themeColor="text1"/>
                <w:sz w:val="24"/>
                <w:szCs w:val="24"/>
                <w14:textFill>
                  <w14:solidFill>
                    <w14:schemeClr w14:val="tx1"/>
                  </w14:solidFill>
                </w14:textFill>
              </w:rPr>
              <w:instrText xml:space="preserve"> = 1 \* GB3 </w:instrText>
            </w:r>
            <w:r>
              <w:rPr>
                <w:rFonts w:hint="default"/>
                <w:bCs/>
                <w:color w:val="000000" w:themeColor="text1"/>
                <w:sz w:val="24"/>
                <w:szCs w:val="24"/>
                <w14:textFill>
                  <w14:solidFill>
                    <w14:schemeClr w14:val="tx1"/>
                  </w14:solidFill>
                </w14:textFill>
              </w:rPr>
              <w:fldChar w:fldCharType="separate"/>
            </w:r>
            <w:r>
              <w:rPr>
                <w:rFonts w:hint="default"/>
                <w:bCs/>
                <w:color w:val="000000" w:themeColor="text1"/>
                <w:sz w:val="24"/>
                <w:szCs w:val="24"/>
                <w14:textFill>
                  <w14:solidFill>
                    <w14:schemeClr w14:val="tx1"/>
                  </w14:solidFill>
                </w14:textFill>
              </w:rPr>
              <w:t>①</w:t>
            </w:r>
            <w:r>
              <w:rPr>
                <w:rFonts w:hint="default"/>
                <w:bCs/>
                <w:color w:val="000000" w:themeColor="text1"/>
                <w:sz w:val="24"/>
                <w:szCs w:val="24"/>
                <w14:textFill>
                  <w14:solidFill>
                    <w14:schemeClr w14:val="tx1"/>
                  </w14:solidFill>
                </w14:textFill>
              </w:rPr>
              <w:fldChar w:fldCharType="end"/>
            </w:r>
            <w:r>
              <w:rPr>
                <w:rFonts w:hint="default"/>
                <w:bCs/>
                <w:color w:val="000000" w:themeColor="text1"/>
                <w:sz w:val="24"/>
                <w:szCs w:val="24"/>
                <w14:textFill>
                  <w14:solidFill>
                    <w14:schemeClr w14:val="tx1"/>
                  </w14:solidFill>
                </w14:textFill>
              </w:rPr>
              <w:t>生活用水</w:t>
            </w:r>
          </w:p>
          <w:p w14:paraId="0598775F">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highlight w:val="none"/>
                <w:lang w:val="en-US" w:eastAsia="zh-CN"/>
                <w14:textFill>
                  <w14:solidFill>
                    <w14:schemeClr w14:val="tx1"/>
                  </w14:solidFill>
                </w14:textFill>
              </w:rPr>
              <w:t>参考</w:t>
            </w:r>
            <w:r>
              <w:rPr>
                <w:rFonts w:hint="default"/>
                <w:color w:val="000000" w:themeColor="text1"/>
                <w:sz w:val="24"/>
                <w:highlight w:val="none"/>
                <w14:textFill>
                  <w14:solidFill>
                    <w14:schemeClr w14:val="tx1"/>
                  </w14:solidFill>
                </w14:textFill>
              </w:rPr>
              <w:t>重庆市水利局</w:t>
            </w:r>
            <w:r>
              <w:rPr>
                <w:rFonts w:hint="default"/>
                <w:color w:val="000000" w:themeColor="text1"/>
                <w:sz w:val="24"/>
                <w:highlight w:val="none"/>
                <w:lang w:eastAsia="zh-CN"/>
                <w14:textFill>
                  <w14:solidFill>
                    <w14:schemeClr w14:val="tx1"/>
                  </w14:solidFill>
                </w14:textFill>
              </w:rPr>
              <w:t>、</w:t>
            </w:r>
            <w:r>
              <w:rPr>
                <w:rFonts w:hint="default"/>
                <w:color w:val="000000" w:themeColor="text1"/>
                <w:sz w:val="24"/>
                <w:highlight w:val="none"/>
                <w14:textFill>
                  <w14:solidFill>
                    <w14:schemeClr w14:val="tx1"/>
                  </w14:solidFill>
                </w14:textFill>
              </w:rPr>
              <w:t>重庆市经济和信息化委员会</w:t>
            </w:r>
            <w:r>
              <w:rPr>
                <w:rFonts w:hint="default"/>
                <w:color w:val="000000" w:themeColor="text1"/>
                <w:sz w:val="24"/>
                <w:highlight w:val="none"/>
                <w:lang w:eastAsia="zh-CN"/>
                <w14:textFill>
                  <w14:solidFill>
                    <w14:schemeClr w14:val="tx1"/>
                  </w14:solidFill>
                </w14:textFill>
              </w:rPr>
              <w:t>、</w:t>
            </w:r>
            <w:r>
              <w:rPr>
                <w:rFonts w:hint="default"/>
                <w:color w:val="000000" w:themeColor="text1"/>
                <w:sz w:val="24"/>
                <w:highlight w:val="none"/>
                <w14:textFill>
                  <w14:solidFill>
                    <w14:schemeClr w14:val="tx1"/>
                  </w14:solidFill>
                </w14:textFill>
              </w:rPr>
              <w:t>重庆市城市管理局</w:t>
            </w:r>
            <w:r>
              <w:rPr>
                <w:rFonts w:hint="default"/>
                <w:color w:val="000000" w:themeColor="text1"/>
                <w:sz w:val="24"/>
                <w:highlight w:val="none"/>
                <w:lang w:eastAsia="zh-CN"/>
                <w14:textFill>
                  <w14:solidFill>
                    <w14:schemeClr w14:val="tx1"/>
                  </w14:solidFill>
                </w14:textFill>
              </w:rPr>
              <w:t>、</w:t>
            </w:r>
            <w:r>
              <w:rPr>
                <w:rFonts w:hint="default"/>
                <w:color w:val="000000" w:themeColor="text1"/>
                <w:sz w:val="24"/>
                <w:highlight w:val="none"/>
                <w14:textFill>
                  <w14:solidFill>
                    <w14:schemeClr w14:val="tx1"/>
                  </w14:solidFill>
                </w14:textFill>
              </w:rPr>
              <w:t>重庆市市场监督管理局关于印发《重庆市第二三产业用水定额</w:t>
            </w:r>
            <w:r>
              <w:rPr>
                <w:rFonts w:hint="default"/>
                <w:color w:val="000000" w:themeColor="text1"/>
                <w:sz w:val="24"/>
                <w:highlight w:val="none"/>
                <w:lang w:eastAsia="zh-CN"/>
                <w14:textFill>
                  <w14:solidFill>
                    <w14:schemeClr w14:val="tx1"/>
                  </w14:solidFill>
                </w14:textFill>
              </w:rPr>
              <w:t>（</w:t>
            </w:r>
            <w:r>
              <w:rPr>
                <w:rFonts w:hint="default"/>
                <w:color w:val="000000" w:themeColor="text1"/>
                <w:sz w:val="24"/>
                <w:highlight w:val="none"/>
                <w14:textFill>
                  <w14:solidFill>
                    <w14:schemeClr w14:val="tx1"/>
                  </w14:solidFill>
                </w14:textFill>
              </w:rPr>
              <w:t>2020</w:t>
            </w:r>
            <w:r>
              <w:rPr>
                <w:rFonts w:hint="default"/>
                <w:color w:val="000000" w:themeColor="text1"/>
                <w:sz w:val="24"/>
                <w:highlight w:val="none"/>
                <w:lang w:eastAsia="zh-CN"/>
                <w14:textFill>
                  <w14:solidFill>
                    <w14:schemeClr w14:val="tx1"/>
                  </w14:solidFill>
                </w14:textFill>
              </w:rPr>
              <w:t>）</w:t>
            </w:r>
            <w:r>
              <w:rPr>
                <w:rFonts w:hint="default"/>
                <w:color w:val="000000" w:themeColor="text1"/>
                <w:sz w:val="24"/>
                <w:highlight w:val="none"/>
                <w14:textFill>
                  <w14:solidFill>
                    <w14:schemeClr w14:val="tx1"/>
                  </w14:solidFill>
                </w14:textFill>
              </w:rPr>
              <w:t>年版》的通知</w:t>
            </w:r>
            <w:r>
              <w:rPr>
                <w:rFonts w:hint="default"/>
                <w:color w:val="000000" w:themeColor="text1"/>
                <w:sz w:val="24"/>
                <w:highlight w:val="none"/>
                <w:lang w:eastAsia="zh-CN"/>
                <w14:textFill>
                  <w14:solidFill>
                    <w14:schemeClr w14:val="tx1"/>
                  </w14:solidFill>
                </w14:textFill>
              </w:rPr>
              <w:t>，</w:t>
            </w:r>
            <w:r>
              <w:rPr>
                <w:rFonts w:hint="default"/>
                <w:color w:val="000000" w:themeColor="text1"/>
                <w:sz w:val="24"/>
                <w:highlight w:val="none"/>
                <w14:textFill>
                  <w14:solidFill>
                    <w14:schemeClr w14:val="tx1"/>
                  </w14:solidFill>
                </w14:textFill>
              </w:rPr>
              <w:t>员工生活用水按照</w:t>
            </w:r>
            <w:r>
              <w:rPr>
                <w:rFonts w:hint="eastAsia"/>
                <w:color w:val="000000" w:themeColor="text1"/>
                <w:sz w:val="24"/>
                <w:highlight w:val="none"/>
                <w:lang w:val="en-US" w:eastAsia="zh-CN"/>
                <w14:textFill>
                  <w14:solidFill>
                    <w14:schemeClr w14:val="tx1"/>
                  </w14:solidFill>
                </w14:textFill>
              </w:rPr>
              <w:t>50</w:t>
            </w:r>
            <w:r>
              <w:rPr>
                <w:rFonts w:hint="default"/>
                <w:color w:val="000000" w:themeColor="text1"/>
                <w:sz w:val="24"/>
                <w:highlight w:val="none"/>
                <w14:textFill>
                  <w14:solidFill>
                    <w14:schemeClr w14:val="tx1"/>
                  </w14:solidFill>
                </w14:textFill>
              </w:rPr>
              <w:t>L/人•d计。本项目劳动定员共</w:t>
            </w:r>
            <w:r>
              <w:rPr>
                <w:rFonts w:hint="default"/>
                <w:color w:val="000000" w:themeColor="text1"/>
                <w:sz w:val="24"/>
                <w:highlight w:val="none"/>
                <w:lang w:val="en-US" w:eastAsia="zh-CN"/>
                <w14:textFill>
                  <w14:solidFill>
                    <w14:schemeClr w14:val="tx1"/>
                  </w14:solidFill>
                </w14:textFill>
              </w:rPr>
              <w:t>20</w:t>
            </w:r>
            <w:r>
              <w:rPr>
                <w:rFonts w:hint="default"/>
                <w:color w:val="000000" w:themeColor="text1"/>
                <w:sz w:val="24"/>
                <w:highlight w:val="none"/>
                <w14:textFill>
                  <w14:solidFill>
                    <w14:schemeClr w14:val="tx1"/>
                  </w14:solidFill>
                </w14:textFill>
              </w:rPr>
              <w:t>人，年工作</w:t>
            </w:r>
            <w:r>
              <w:rPr>
                <w:rFonts w:hint="default"/>
                <w:color w:val="000000" w:themeColor="text1"/>
                <w:sz w:val="24"/>
                <w:highlight w:val="none"/>
                <w:lang w:val="en-US" w:eastAsia="zh-CN"/>
                <w14:textFill>
                  <w14:solidFill>
                    <w14:schemeClr w14:val="tx1"/>
                  </w14:solidFill>
                </w14:textFill>
              </w:rPr>
              <w:t>300</w:t>
            </w:r>
            <w:r>
              <w:rPr>
                <w:rFonts w:hint="default"/>
                <w:color w:val="000000" w:themeColor="text1"/>
                <w:sz w:val="24"/>
                <w:highlight w:val="none"/>
                <w14:textFill>
                  <w14:solidFill>
                    <w14:schemeClr w14:val="tx1"/>
                  </w14:solidFill>
                </w14:textFill>
              </w:rPr>
              <w:t>天，则生活用水量合计</w:t>
            </w:r>
            <w:r>
              <w:rPr>
                <w:rFonts w:hint="eastAsia"/>
                <w:color w:val="000000" w:themeColor="text1"/>
                <w:sz w:val="24"/>
                <w:highlight w:val="none"/>
                <w:lang w:val="en-US" w:eastAsia="zh-CN"/>
                <w14:textFill>
                  <w14:solidFill>
                    <w14:schemeClr w14:val="tx1"/>
                  </w14:solidFill>
                </w14:textFill>
              </w:rPr>
              <w:t>1</w:t>
            </w:r>
            <w:r>
              <w:rPr>
                <w:rFonts w:hint="default"/>
                <w:color w:val="000000" w:themeColor="text1"/>
                <w:sz w:val="24"/>
                <w:highlight w:val="none"/>
                <w14:textFill>
                  <w14:solidFill>
                    <w14:schemeClr w14:val="tx1"/>
                  </w14:solidFill>
                </w14:textFill>
              </w:rPr>
              <w:t>m³/d，产污系数按0.9计，则生活污水排放量为</w:t>
            </w:r>
            <w:r>
              <w:rPr>
                <w:rFonts w:hint="eastAsia"/>
                <w:color w:val="000000" w:themeColor="text1"/>
                <w:sz w:val="24"/>
                <w:highlight w:val="none"/>
                <w:lang w:val="en-US" w:eastAsia="zh-CN"/>
                <w14:textFill>
                  <w14:solidFill>
                    <w14:schemeClr w14:val="tx1"/>
                  </w14:solidFill>
                </w14:textFill>
              </w:rPr>
              <w:t>0.9</w:t>
            </w:r>
            <w:r>
              <w:rPr>
                <w:rFonts w:hint="default"/>
                <w:color w:val="000000" w:themeColor="text1"/>
                <w:sz w:val="24"/>
                <w:highlight w:val="none"/>
                <w14:textFill>
                  <w14:solidFill>
                    <w14:schemeClr w14:val="tx1"/>
                  </w14:solidFill>
                </w14:textFill>
              </w:rPr>
              <w:t>m³/d。</w:t>
            </w:r>
            <w:r>
              <w:rPr>
                <w:rFonts w:hint="default"/>
                <w:bCs/>
                <w:color w:val="000000" w:themeColor="text1"/>
                <w:kern w:val="0"/>
                <w:sz w:val="24"/>
                <w:szCs w:val="24"/>
                <w14:textFill>
                  <w14:solidFill>
                    <w14:schemeClr w14:val="tx1"/>
                  </w14:solidFill>
                </w14:textFill>
              </w:rPr>
              <w:t>生活</w:t>
            </w:r>
            <w:r>
              <w:rPr>
                <w:rFonts w:hint="default"/>
                <w:color w:val="000000" w:themeColor="text1"/>
                <w:sz w:val="24"/>
                <w:szCs w:val="24"/>
                <w14:textFill>
                  <w14:solidFill>
                    <w14:schemeClr w14:val="tx1"/>
                  </w14:solidFill>
                </w14:textFill>
              </w:rPr>
              <w:t>污水中主要污染物为COD、BOD</w:t>
            </w:r>
            <w:r>
              <w:rPr>
                <w:rFonts w:hint="default"/>
                <w:color w:val="000000" w:themeColor="text1"/>
                <w:sz w:val="24"/>
                <w:szCs w:val="24"/>
                <w:vertAlign w:val="subscript"/>
                <w14:textFill>
                  <w14:solidFill>
                    <w14:schemeClr w14:val="tx1"/>
                  </w14:solidFill>
                </w14:textFill>
              </w:rPr>
              <w:t>5</w:t>
            </w:r>
            <w:r>
              <w:rPr>
                <w:rFonts w:hint="default"/>
                <w:color w:val="000000" w:themeColor="text1"/>
                <w:sz w:val="24"/>
                <w:szCs w:val="24"/>
                <w14:textFill>
                  <w14:solidFill>
                    <w14:schemeClr w14:val="tx1"/>
                  </w14:solidFill>
                </w14:textFill>
              </w:rPr>
              <w:t>、SS、NH</w:t>
            </w:r>
            <w:r>
              <w:rPr>
                <w:rFonts w:hint="default"/>
                <w:color w:val="000000" w:themeColor="text1"/>
                <w:sz w:val="24"/>
                <w:szCs w:val="24"/>
                <w:vertAlign w:val="subscript"/>
                <w14:textFill>
                  <w14:solidFill>
                    <w14:schemeClr w14:val="tx1"/>
                  </w14:solidFill>
                </w14:textFill>
              </w:rPr>
              <w:t>3</w:t>
            </w:r>
            <w:r>
              <w:rPr>
                <w:rFonts w:hint="default"/>
                <w:color w:val="000000" w:themeColor="text1"/>
                <w:sz w:val="24"/>
                <w:szCs w:val="24"/>
                <w14:textFill>
                  <w14:solidFill>
                    <w14:schemeClr w14:val="tx1"/>
                  </w14:solidFill>
                </w14:textFill>
              </w:rPr>
              <w:t>-N、总磷，浓度分别约为</w:t>
            </w:r>
            <w:r>
              <w:rPr>
                <w:rFonts w:hint="default"/>
                <w:color w:val="000000" w:themeColor="text1"/>
                <w:sz w:val="24"/>
                <w:szCs w:val="24"/>
                <w:lang w:val="en-US" w:eastAsia="zh-CN"/>
                <w14:textFill>
                  <w14:solidFill>
                    <w14:schemeClr w14:val="tx1"/>
                  </w14:solidFill>
                </w14:textFill>
              </w:rPr>
              <w:t>550</w:t>
            </w:r>
            <w:r>
              <w:rPr>
                <w:rFonts w:hint="default"/>
                <w:color w:val="000000" w:themeColor="text1"/>
                <w:sz w:val="24"/>
                <w:szCs w:val="24"/>
                <w14:textFill>
                  <w14:solidFill>
                    <w14:schemeClr w14:val="tx1"/>
                  </w14:solidFill>
                </w14:textFill>
              </w:rPr>
              <w:t>mg/L、</w:t>
            </w:r>
            <w:r>
              <w:rPr>
                <w:rFonts w:hint="default"/>
                <w:color w:val="000000" w:themeColor="text1"/>
                <w:sz w:val="24"/>
                <w:szCs w:val="24"/>
                <w:lang w:val="en-US" w:eastAsia="zh-CN"/>
                <w14:textFill>
                  <w14:solidFill>
                    <w14:schemeClr w14:val="tx1"/>
                  </w14:solidFill>
                </w14:textFill>
              </w:rPr>
              <w:t>400</w:t>
            </w:r>
            <w:r>
              <w:rPr>
                <w:rFonts w:hint="default"/>
                <w:color w:val="000000" w:themeColor="text1"/>
                <w:sz w:val="24"/>
                <w:szCs w:val="24"/>
                <w14:textFill>
                  <w14:solidFill>
                    <w14:schemeClr w14:val="tx1"/>
                  </w14:solidFill>
                </w14:textFill>
              </w:rPr>
              <w:t>mg/L、</w:t>
            </w:r>
            <w:r>
              <w:rPr>
                <w:rFonts w:hint="default"/>
                <w:color w:val="000000" w:themeColor="text1"/>
                <w:sz w:val="24"/>
                <w:szCs w:val="24"/>
                <w:lang w:val="en-US" w:eastAsia="zh-CN"/>
                <w14:textFill>
                  <w14:solidFill>
                    <w14:schemeClr w14:val="tx1"/>
                  </w14:solidFill>
                </w14:textFill>
              </w:rPr>
              <w:t>450</w:t>
            </w:r>
            <w:r>
              <w:rPr>
                <w:rFonts w:hint="default"/>
                <w:color w:val="000000" w:themeColor="text1"/>
                <w:sz w:val="24"/>
                <w:szCs w:val="24"/>
                <w14:textFill>
                  <w14:solidFill>
                    <w14:schemeClr w14:val="tx1"/>
                  </w14:solidFill>
                </w14:textFill>
              </w:rPr>
              <w:t>mg/L、</w:t>
            </w:r>
            <w:r>
              <w:rPr>
                <w:rFonts w:hint="default"/>
                <w:color w:val="000000" w:themeColor="text1"/>
                <w:sz w:val="24"/>
                <w:szCs w:val="24"/>
                <w:lang w:val="en-US" w:eastAsia="zh-CN"/>
                <w14:textFill>
                  <w14:solidFill>
                    <w14:schemeClr w14:val="tx1"/>
                  </w14:solidFill>
                </w14:textFill>
              </w:rPr>
              <w:t>60</w:t>
            </w:r>
            <w:r>
              <w:rPr>
                <w:rFonts w:hint="default"/>
                <w:color w:val="000000" w:themeColor="text1"/>
                <w:sz w:val="24"/>
                <w:szCs w:val="24"/>
                <w14:textFill>
                  <w14:solidFill>
                    <w14:schemeClr w14:val="tx1"/>
                  </w14:solidFill>
                </w14:textFill>
              </w:rPr>
              <w:t>mg/L、</w:t>
            </w:r>
            <w:r>
              <w:rPr>
                <w:rFonts w:hint="default"/>
                <w:color w:val="000000" w:themeColor="text1"/>
                <w:sz w:val="24"/>
                <w:szCs w:val="24"/>
                <w:lang w:val="en-US" w:eastAsia="zh-CN"/>
                <w14:textFill>
                  <w14:solidFill>
                    <w14:schemeClr w14:val="tx1"/>
                  </w14:solidFill>
                </w14:textFill>
              </w:rPr>
              <w:t>10</w:t>
            </w:r>
            <w:r>
              <w:rPr>
                <w:rFonts w:hint="default"/>
                <w:color w:val="000000" w:themeColor="text1"/>
                <w:sz w:val="24"/>
                <w:szCs w:val="24"/>
                <w14:textFill>
                  <w14:solidFill>
                    <w14:schemeClr w14:val="tx1"/>
                  </w14:solidFill>
                </w14:textFill>
              </w:rPr>
              <w:t>mg/L。</w:t>
            </w:r>
          </w:p>
          <w:p w14:paraId="5763A00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fldChar w:fldCharType="begin"/>
            </w:r>
            <w:r>
              <w:rPr>
                <w:rFonts w:hint="default" w:ascii="Times New Roman" w:hAnsi="Times New Roman" w:cs="Times New Roman"/>
                <w:bCs/>
                <w:color w:val="000000" w:themeColor="text1"/>
                <w:sz w:val="24"/>
                <w:szCs w:val="24"/>
                <w14:textFill>
                  <w14:solidFill>
                    <w14:schemeClr w14:val="tx1"/>
                  </w14:solidFill>
                </w14:textFill>
              </w:rPr>
              <w:instrText xml:space="preserve"> = 2 \* GB3 </w:instrText>
            </w:r>
            <w:r>
              <w:rPr>
                <w:rFonts w:hint="default" w:ascii="Times New Roman" w:hAnsi="Times New Roman" w:cs="Times New Roman"/>
                <w:bCs/>
                <w:color w:val="000000" w:themeColor="text1"/>
                <w:sz w:val="24"/>
                <w:szCs w:val="24"/>
                <w14:textFill>
                  <w14:solidFill>
                    <w14:schemeClr w14:val="tx1"/>
                  </w14:solidFill>
                </w14:textFill>
              </w:rPr>
              <w:fldChar w:fldCharType="separate"/>
            </w:r>
            <w:r>
              <w:rPr>
                <w:rFonts w:hint="default" w:ascii="Times New Roman" w:hAnsi="Times New Roman" w:cs="Times New Roman"/>
                <w:bCs/>
                <w:color w:val="000000" w:themeColor="text1"/>
                <w:sz w:val="24"/>
                <w:szCs w:val="24"/>
                <w14:textFill>
                  <w14:solidFill>
                    <w14:schemeClr w14:val="tx1"/>
                  </w14:solidFill>
                </w14:textFill>
              </w:rPr>
              <w:t>②</w:t>
            </w:r>
            <w:r>
              <w:rPr>
                <w:rFonts w:hint="default" w:ascii="Times New Roman" w:hAnsi="Times New Roman" w:cs="Times New Roman"/>
                <w:bCs/>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14:textFill>
                  <w14:solidFill>
                    <w14:schemeClr w14:val="tx1"/>
                  </w14:solidFill>
                </w14:textFill>
              </w:rPr>
              <w:t>洗手用水</w:t>
            </w:r>
          </w:p>
          <w:p w14:paraId="3DC3F7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本项目洗手的地点位于厂房外卫生间，洗手用水按5L/人•d计算，本项目厂房</w:t>
            </w:r>
            <w:r>
              <w:rPr>
                <w:rFonts w:hint="default" w:ascii="Times New Roman" w:hAnsi="Times New Roman" w:cs="Times New Roman"/>
                <w:color w:val="000000" w:themeColor="text1"/>
                <w:sz w:val="24"/>
                <w:szCs w:val="24"/>
                <w14:textFill>
                  <w14:solidFill>
                    <w14:schemeClr w14:val="tx1"/>
                  </w14:solidFill>
                </w14:textFill>
              </w:rPr>
              <w:t>劳动定员</w:t>
            </w:r>
            <w:r>
              <w:rPr>
                <w:rFonts w:hint="default" w:ascii="Times New Roman" w:hAnsi="Times New Roman" w:cs="Times New Roman"/>
                <w:color w:val="000000" w:themeColor="text1"/>
                <w:sz w:val="24"/>
                <w:szCs w:val="24"/>
                <w:lang w:val="en-US" w:eastAsia="zh-CN"/>
                <w14:textFill>
                  <w14:solidFill>
                    <w14:schemeClr w14:val="tx1"/>
                  </w14:solidFill>
                </w14:textFill>
              </w:rPr>
              <w:t>20</w:t>
            </w:r>
            <w:r>
              <w:rPr>
                <w:rFonts w:hint="default" w:ascii="Times New Roman" w:hAnsi="Times New Roman" w:cs="Times New Roman"/>
                <w:color w:val="000000" w:themeColor="text1"/>
                <w:sz w:val="24"/>
                <w:szCs w:val="24"/>
                <w14:textFill>
                  <w14:solidFill>
                    <w14:schemeClr w14:val="tx1"/>
                  </w14:solidFill>
                </w14:textFill>
              </w:rPr>
              <w:t>人</w:t>
            </w:r>
            <w:r>
              <w:rPr>
                <w:rFonts w:hint="default" w:ascii="Times New Roman" w:hAnsi="Times New Roman" w:cs="Times New Roman"/>
                <w:color w:val="000000" w:themeColor="text1"/>
                <w:kern w:val="0"/>
                <w:sz w:val="24"/>
                <w:szCs w:val="24"/>
                <w14:textFill>
                  <w14:solidFill>
                    <w14:schemeClr w14:val="tx1"/>
                  </w14:solidFill>
                </w14:textFill>
              </w:rPr>
              <w:t>，则洗手用水量为</w:t>
            </w:r>
            <w:r>
              <w:rPr>
                <w:rFonts w:hint="default" w:ascii="Times New Roman" w:hAnsi="Times New Roman" w:cs="Times New Roman"/>
                <w:color w:val="000000" w:themeColor="text1"/>
                <w:kern w:val="0"/>
                <w:sz w:val="24"/>
                <w:szCs w:val="24"/>
                <w:lang w:val="en-US" w:eastAsia="zh-CN"/>
                <w14:textFill>
                  <w14:solidFill>
                    <w14:schemeClr w14:val="tx1"/>
                  </w14:solidFill>
                </w14:textFill>
              </w:rPr>
              <w:t>0.1</w:t>
            </w:r>
            <w:r>
              <w:rPr>
                <w:rFonts w:hint="default" w:ascii="Times New Roman" w:hAnsi="Times New Roman" w:cs="Times New Roman"/>
                <w:color w:val="000000" w:themeColor="text1"/>
                <w:kern w:val="0"/>
                <w:sz w:val="24"/>
                <w:szCs w:val="24"/>
                <w14:textFill>
                  <w14:solidFill>
                    <w14:schemeClr w14:val="tx1"/>
                  </w14:solidFill>
                </w14:textFill>
              </w:rPr>
              <w:t>m</w:t>
            </w:r>
            <w:r>
              <w:rPr>
                <w:rFonts w:hint="default" w:ascii="Times New Roman" w:hAnsi="Times New Roman" w:cs="Times New Roman"/>
                <w:color w:val="000000" w:themeColor="text1"/>
                <w:kern w:val="0"/>
                <w:sz w:val="24"/>
                <w:szCs w:val="24"/>
                <w:vertAlign w:val="superscript"/>
                <w14:textFill>
                  <w14:solidFill>
                    <w14:schemeClr w14:val="tx1"/>
                  </w14:solidFill>
                </w14:textFill>
              </w:rPr>
              <w:t>3</w:t>
            </w:r>
            <w:r>
              <w:rPr>
                <w:rFonts w:hint="default" w:ascii="Times New Roman" w:hAnsi="Times New Roman" w:cs="Times New Roman"/>
                <w:color w:val="000000" w:themeColor="text1"/>
                <w:kern w:val="0"/>
                <w:sz w:val="24"/>
                <w:szCs w:val="24"/>
                <w14:textFill>
                  <w14:solidFill>
                    <w14:schemeClr w14:val="tx1"/>
                  </w14:solidFill>
                </w14:textFill>
              </w:rPr>
              <w:t>/d。</w:t>
            </w:r>
            <w:r>
              <w:rPr>
                <w:rFonts w:hint="default" w:ascii="Times New Roman" w:hAnsi="Times New Roman" w:cs="Times New Roman"/>
                <w:bCs/>
                <w:color w:val="000000" w:themeColor="text1"/>
                <w:kern w:val="0"/>
                <w:sz w:val="24"/>
                <w:szCs w:val="24"/>
                <w14:textFill>
                  <w14:solidFill>
                    <w14:schemeClr w14:val="tx1"/>
                  </w14:solidFill>
                </w14:textFill>
              </w:rPr>
              <w:t>排污系数按0.9计，则洗手废水产生量为</w:t>
            </w:r>
            <w:r>
              <w:rPr>
                <w:rFonts w:hint="default" w:ascii="Times New Roman" w:hAnsi="Times New Roman" w:cs="Times New Roman"/>
                <w:bCs/>
                <w:color w:val="000000" w:themeColor="text1"/>
                <w:kern w:val="0"/>
                <w:sz w:val="24"/>
                <w:szCs w:val="24"/>
                <w:lang w:val="en-US" w:eastAsia="zh-CN"/>
                <w14:textFill>
                  <w14:solidFill>
                    <w14:schemeClr w14:val="tx1"/>
                  </w14:solidFill>
                </w14:textFill>
              </w:rPr>
              <w:t>0.09</w:t>
            </w:r>
            <w:r>
              <w:rPr>
                <w:rFonts w:hint="default" w:ascii="Times New Roman" w:hAnsi="Times New Roman" w:cs="Times New Roman"/>
                <w:color w:val="000000" w:themeColor="text1"/>
                <w:kern w:val="0"/>
                <w:sz w:val="24"/>
                <w:szCs w:val="24"/>
                <w14:textFill>
                  <w14:solidFill>
                    <w14:schemeClr w14:val="tx1"/>
                  </w14:solidFill>
                </w14:textFill>
              </w:rPr>
              <w:t>m</w:t>
            </w:r>
            <w:r>
              <w:rPr>
                <w:rFonts w:hint="default" w:ascii="Times New Roman" w:hAnsi="Times New Roman" w:cs="Times New Roman"/>
                <w:color w:val="000000" w:themeColor="text1"/>
                <w:kern w:val="0"/>
                <w:sz w:val="24"/>
                <w:szCs w:val="24"/>
                <w:vertAlign w:val="superscript"/>
                <w14:textFill>
                  <w14:solidFill>
                    <w14:schemeClr w14:val="tx1"/>
                  </w14:solidFill>
                </w14:textFill>
              </w:rPr>
              <w:t>3</w:t>
            </w:r>
            <w:r>
              <w:rPr>
                <w:rFonts w:hint="default" w:ascii="Times New Roman" w:hAnsi="Times New Roman" w:cs="Times New Roman"/>
                <w:color w:val="000000" w:themeColor="text1"/>
                <w:kern w:val="0"/>
                <w:sz w:val="24"/>
                <w:szCs w:val="24"/>
                <w14:textFill>
                  <w14:solidFill>
                    <w14:schemeClr w14:val="tx1"/>
                  </w14:solidFill>
                </w14:textFill>
              </w:rPr>
              <w:t>/d</w:t>
            </w:r>
            <w:r>
              <w:rPr>
                <w:rFonts w:hint="default" w:ascii="Times New Roman" w:hAnsi="Times New Roman" w:cs="Times New Roman"/>
                <w:bCs/>
                <w:color w:val="000000" w:themeColor="text1"/>
                <w:kern w:val="0"/>
                <w:sz w:val="24"/>
                <w:szCs w:val="24"/>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洗手废水</w:t>
            </w:r>
            <w:r>
              <w:rPr>
                <w:rFonts w:hint="default" w:ascii="Times New Roman" w:hAnsi="Times New Roman" w:cs="Times New Roman"/>
                <w:color w:val="000000" w:themeColor="text1"/>
                <w:sz w:val="24"/>
                <w:szCs w:val="24"/>
                <w14:textFill>
                  <w14:solidFill>
                    <w14:schemeClr w14:val="tx1"/>
                  </w14:solidFill>
                </w14:textFill>
              </w:rPr>
              <w:t>中主要污染物为COD、SS、石油类，浓度分别约为</w:t>
            </w:r>
            <w:r>
              <w:rPr>
                <w:rFonts w:hint="default" w:ascii="Times New Roman" w:hAnsi="Times New Roman" w:cs="Times New Roman"/>
                <w:color w:val="000000" w:themeColor="text1"/>
                <w:sz w:val="24"/>
                <w:szCs w:val="24"/>
                <w:lang w:val="en-US" w:eastAsia="zh-CN"/>
                <w14:textFill>
                  <w14:solidFill>
                    <w14:schemeClr w14:val="tx1"/>
                  </w14:solidFill>
                </w14:textFill>
              </w:rPr>
              <w:t>550</w:t>
            </w:r>
            <w:r>
              <w:rPr>
                <w:rFonts w:hint="default" w:ascii="Times New Roman" w:hAnsi="Times New Roman" w:cs="Times New Roman"/>
                <w:color w:val="000000" w:themeColor="text1"/>
                <w:sz w:val="24"/>
                <w:szCs w:val="24"/>
                <w14:textFill>
                  <w14:solidFill>
                    <w14:schemeClr w14:val="tx1"/>
                  </w14:solidFill>
                </w14:textFill>
              </w:rPr>
              <w:t>mg/L、</w:t>
            </w:r>
            <w:r>
              <w:rPr>
                <w:rFonts w:hint="default" w:ascii="Times New Roman" w:hAnsi="Times New Roman" w:cs="Times New Roman"/>
                <w:color w:val="000000" w:themeColor="text1"/>
                <w:sz w:val="24"/>
                <w:szCs w:val="24"/>
                <w:lang w:val="en-US" w:eastAsia="zh-CN"/>
                <w14:textFill>
                  <w14:solidFill>
                    <w14:schemeClr w14:val="tx1"/>
                  </w14:solidFill>
                </w14:textFill>
              </w:rPr>
              <w:t>450</w:t>
            </w:r>
            <w:r>
              <w:rPr>
                <w:rFonts w:hint="default" w:ascii="Times New Roman" w:hAnsi="Times New Roman" w:cs="Times New Roman"/>
                <w:color w:val="000000" w:themeColor="text1"/>
                <w:sz w:val="24"/>
                <w:szCs w:val="24"/>
                <w14:textFill>
                  <w14:solidFill>
                    <w14:schemeClr w14:val="tx1"/>
                  </w14:solidFill>
                </w14:textFill>
              </w:rPr>
              <w:t>mg/L、30mg/L，</w:t>
            </w:r>
            <w:r>
              <w:rPr>
                <w:rFonts w:hint="default" w:ascii="Times New Roman" w:hAnsi="Times New Roman" w:cs="Times New Roman"/>
                <w:color w:val="000000" w:themeColor="text1"/>
                <w:kern w:val="0"/>
                <w:sz w:val="24"/>
                <w:szCs w:val="24"/>
                <w14:textFill>
                  <w14:solidFill>
                    <w14:schemeClr w14:val="tx1"/>
                  </w14:solidFill>
                </w14:textFill>
              </w:rPr>
              <w:t>经</w:t>
            </w:r>
            <w:r>
              <w:rPr>
                <w:rFonts w:hint="eastAsia" w:cs="Times New Roman"/>
                <w:color w:val="000000" w:themeColor="text1"/>
                <w:kern w:val="0"/>
                <w:sz w:val="24"/>
                <w:szCs w:val="24"/>
                <w:lang w:val="en-US" w:eastAsia="zh-CN"/>
                <w14:textFill>
                  <w14:solidFill>
                    <w14:schemeClr w14:val="tx1"/>
                  </w14:solidFill>
                </w14:textFill>
              </w:rPr>
              <w:t>油水分离器</w:t>
            </w:r>
            <w:r>
              <w:rPr>
                <w:rFonts w:hint="default" w:ascii="Times New Roman" w:hAnsi="Times New Roman" w:cs="Times New Roman"/>
                <w:color w:val="000000" w:themeColor="text1"/>
                <w:kern w:val="0"/>
                <w:sz w:val="24"/>
                <w:szCs w:val="24"/>
                <w14:textFill>
                  <w14:solidFill>
                    <w14:schemeClr w14:val="tx1"/>
                  </w14:solidFill>
                </w14:textFill>
              </w:rPr>
              <w:t>预处理后进入生化池处理。</w:t>
            </w:r>
          </w:p>
          <w:p w14:paraId="254D5F1D">
            <w:pPr>
              <w:pStyle w:val="20"/>
              <w:keepNext w:val="0"/>
              <w:keepLines w:val="0"/>
              <w:pageBreakBefore w:val="0"/>
              <w:suppressLineNumbers w:val="0"/>
              <w:kinsoku/>
              <w:wordWrap/>
              <w:overflowPunct/>
              <w:topLinePunct w:val="0"/>
              <w:autoSpaceDE/>
              <w:autoSpaceDN/>
              <w:bidi w:val="0"/>
              <w:snapToGrid w:val="0"/>
              <w:spacing w:before="0" w:beforeAutospacing="0" w:after="0" w:afterAutospacing="0" w:line="360" w:lineRule="auto"/>
              <w:ind w:left="0" w:right="0" w:firstLine="420"/>
              <w:textAlignment w:val="auto"/>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③</w:t>
            </w:r>
            <w:r>
              <w:rPr>
                <w:rFonts w:hint="default" w:ascii="Times New Roman" w:hAnsi="Times New Roman" w:cs="Times New Roman"/>
                <w:color w:val="000000" w:themeColor="text1"/>
                <w:kern w:val="0"/>
                <w:sz w:val="24"/>
                <w:szCs w:val="24"/>
                <w:lang w:val="en-US" w:eastAsia="zh-CN"/>
                <w14:textFill>
                  <w14:solidFill>
                    <w14:schemeClr w14:val="tx1"/>
                  </w14:solidFill>
                </w14:textFill>
              </w:rPr>
              <w:t>洗枪用水</w:t>
            </w:r>
          </w:p>
          <w:p w14:paraId="236321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水性漆喷涂后喷枪、输漆管道清洗均用自来水清洗。</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根据业主提供资料，洗枪用水约为</w:t>
            </w:r>
            <w:r>
              <w:rPr>
                <w:rFonts w:hint="eastAsia"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L</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把·天</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cs="Times New Roman"/>
                <w:color w:val="000000" w:themeColor="text1"/>
                <w:sz w:val="24"/>
                <w:szCs w:val="24"/>
                <w:highlight w:val="none"/>
                <w14:textFill>
                  <w14:solidFill>
                    <w14:schemeClr w14:val="tx1"/>
                  </w14:solidFill>
                </w14:textFill>
              </w:rPr>
              <w:t>共</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把喷枪</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每天清洗一次，</w:t>
            </w:r>
            <w:r>
              <w:rPr>
                <w:rFonts w:hint="eastAsia" w:cs="Times New Roman"/>
                <w:color w:val="000000" w:themeColor="text1"/>
                <w:sz w:val="24"/>
                <w:szCs w:val="24"/>
                <w:highlight w:val="none"/>
                <w:lang w:val="en-US" w:eastAsia="zh-CN"/>
                <w14:textFill>
                  <w14:solidFill>
                    <w14:schemeClr w14:val="tx1"/>
                  </w14:solidFill>
                </w14:textFill>
              </w:rPr>
              <w:t>洗枪废水回用于调漆，</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喷涂工作天数为300天</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每天</w:t>
            </w:r>
            <w:r>
              <w:rPr>
                <w:rFonts w:hint="default" w:ascii="Times New Roman" w:hAnsi="Times New Roman" w:cs="Times New Roman"/>
                <w:color w:val="000000" w:themeColor="text1"/>
                <w:sz w:val="24"/>
                <w:szCs w:val="24"/>
                <w:highlight w:val="none"/>
                <w14:textFill>
                  <w14:solidFill>
                    <w14:schemeClr w14:val="tx1"/>
                  </w14:solidFill>
                </w14:textFill>
              </w:rPr>
              <w:t>喷枪清洗用水为</w:t>
            </w:r>
            <w:r>
              <w:rPr>
                <w:rFonts w:hint="eastAsia" w:cs="Times New Roman"/>
                <w:color w:val="000000" w:themeColor="text1"/>
                <w:sz w:val="24"/>
                <w:szCs w:val="24"/>
                <w:highlight w:val="none"/>
                <w:lang w:val="en-US" w:eastAsia="zh-CN"/>
                <w14:textFill>
                  <w14:solidFill>
                    <w14:schemeClr w14:val="tx1"/>
                  </w14:solidFill>
                </w14:textFill>
              </w:rPr>
              <w:t>0.012</w:t>
            </w:r>
            <w:r>
              <w:rPr>
                <w:rFonts w:hint="default" w:ascii="Times New Roman" w:hAnsi="Times New Roman" w:cs="Times New Roman"/>
                <w:color w:val="000000" w:themeColor="text1"/>
                <w:sz w:val="24"/>
                <w:szCs w:val="24"/>
                <w:highlight w:val="none"/>
                <w14:textFill>
                  <w14:solidFill>
                    <w14:schemeClr w14:val="tx1"/>
                  </w14:solidFill>
                </w14:textFill>
              </w:rPr>
              <w:t>m³/</w:t>
            </w:r>
            <w:r>
              <w:rPr>
                <w:rFonts w:hint="eastAsia" w:cs="Times New Roman"/>
                <w:color w:val="000000" w:themeColor="text1"/>
                <w:sz w:val="24"/>
                <w:szCs w:val="24"/>
                <w:highlight w:val="none"/>
                <w:lang w:val="en-US" w:eastAsia="zh-CN"/>
                <w14:textFill>
                  <w14:solidFill>
                    <w14:schemeClr w14:val="tx1"/>
                  </w14:solidFill>
                </w14:textFill>
              </w:rPr>
              <w:t>d</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损耗量系数为0.1</w:t>
            </w:r>
            <w:r>
              <w:rPr>
                <w:rFonts w:hint="default" w:ascii="Times New Roman" w:hAnsi="Times New Roman" w:cs="Times New Roman"/>
                <w:color w:val="000000" w:themeColor="text1"/>
                <w:sz w:val="24"/>
                <w:szCs w:val="24"/>
                <w:highlight w:val="none"/>
                <w14:textFill>
                  <w14:solidFill>
                    <w14:schemeClr w14:val="tx1"/>
                  </w14:solidFill>
                </w14:textFill>
              </w:rPr>
              <w:t>，则洗枪废水</w:t>
            </w:r>
            <w:r>
              <w:rPr>
                <w:rFonts w:hint="eastAsia" w:cs="Times New Roman"/>
                <w:color w:val="000000" w:themeColor="text1"/>
                <w:sz w:val="24"/>
                <w:szCs w:val="24"/>
                <w:highlight w:val="none"/>
                <w:lang w:val="en-US" w:eastAsia="zh-CN"/>
                <w14:textFill>
                  <w14:solidFill>
                    <w14:schemeClr w14:val="tx1"/>
                  </w14:solidFill>
                </w14:textFill>
              </w:rPr>
              <w:t>回用量为3.24</w:t>
            </w:r>
            <w:r>
              <w:rPr>
                <w:rFonts w:hint="default" w:ascii="Times New Roman" w:hAnsi="Times New Roman" w:cs="Times New Roman"/>
                <w:color w:val="000000" w:themeColor="text1"/>
                <w:sz w:val="24"/>
                <w:szCs w:val="24"/>
                <w:highlight w:val="none"/>
                <w14:textFill>
                  <w14:solidFill>
                    <w14:schemeClr w14:val="tx1"/>
                  </w14:solidFill>
                </w14:textFill>
              </w:rPr>
              <w:t>m³/</w:t>
            </w:r>
            <w:r>
              <w:rPr>
                <w:rFonts w:hint="eastAsia" w:cs="Times New Roman"/>
                <w:color w:val="000000" w:themeColor="text1"/>
                <w:sz w:val="24"/>
                <w:szCs w:val="24"/>
                <w:highlight w:val="none"/>
                <w:lang w:val="en-US" w:eastAsia="zh-CN"/>
                <w14:textFill>
                  <w14:solidFill>
                    <w14:schemeClr w14:val="tx1"/>
                  </w14:solidFill>
                </w14:textFill>
              </w:rPr>
              <w:t>a</w:t>
            </w:r>
            <w:r>
              <w:rPr>
                <w:rFonts w:hint="default" w:ascii="Times New Roman" w:hAnsi="Times New Roman" w:cs="Times New Roman"/>
                <w:color w:val="000000" w:themeColor="text1"/>
                <w:sz w:val="24"/>
                <w:szCs w:val="24"/>
                <w:highlight w:val="none"/>
                <w14:textFill>
                  <w14:solidFill>
                    <w14:schemeClr w14:val="tx1"/>
                  </w14:solidFill>
                </w14:textFill>
              </w:rPr>
              <w:t>。</w:t>
            </w:r>
          </w:p>
          <w:p w14:paraId="2D7411BA">
            <w:pPr>
              <w:pStyle w:val="20"/>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420"/>
              <w:textAlignment w:val="auto"/>
              <w:rPr>
                <w:rFonts w:hint="default" w:ascii="Times New Roman" w:hAnsi="Times New Roman"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④</w:t>
            </w:r>
            <w:r>
              <w:rPr>
                <w:rFonts w:hint="default" w:ascii="Times New Roman" w:hAnsi="Times New Roman" w:cs="Times New Roman"/>
                <w:color w:val="000000" w:themeColor="text1"/>
                <w:kern w:val="0"/>
                <w:sz w:val="24"/>
                <w:szCs w:val="24"/>
                <w:lang w:val="en-US" w:eastAsia="zh-CN"/>
                <w14:textFill>
                  <w14:solidFill>
                    <w14:schemeClr w14:val="tx1"/>
                  </w14:solidFill>
                </w14:textFill>
              </w:rPr>
              <w:t>喷漆水帘湿式漆雾净化用排水</w:t>
            </w:r>
          </w:p>
          <w:p w14:paraId="03292396">
            <w:pPr>
              <w:pStyle w:val="38"/>
              <w:keepNext w:val="0"/>
              <w:keepLines w:val="0"/>
              <w:pageBreakBefore w:val="0"/>
              <w:suppressLineNumbers w:val="0"/>
              <w:kinsoku/>
              <w:wordWrap/>
              <w:overflowPunct/>
              <w:topLinePunct w:val="0"/>
              <w:autoSpaceDE/>
              <w:autoSpaceDN/>
              <w:bidi w:val="0"/>
              <w:snapToGrid w:val="0"/>
              <w:spacing w:before="0" w:beforeAutospacing="0" w:after="0" w:afterAutospacing="0"/>
              <w:ind w:left="0" w:right="0" w:firstLine="480"/>
              <w:jc w:val="both"/>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喷漆室</w:t>
            </w:r>
            <w:r>
              <w:rPr>
                <w:rFonts w:hint="default"/>
                <w:color w:val="000000" w:themeColor="text1"/>
                <w:highlight w:val="none"/>
                <w:lang w:val="en-US" w:eastAsia="zh-CN"/>
                <w14:textFill>
                  <w14:solidFill>
                    <w14:schemeClr w14:val="tx1"/>
                  </w14:solidFill>
                </w14:textFill>
              </w:rPr>
              <w:t>内</w:t>
            </w:r>
            <w:r>
              <w:rPr>
                <w:rFonts w:hint="default"/>
                <w:color w:val="000000" w:themeColor="text1"/>
                <w:highlight w:val="none"/>
                <w14:textFill>
                  <w14:solidFill>
                    <w14:schemeClr w14:val="tx1"/>
                  </w14:solidFill>
                </w14:textFill>
              </w:rPr>
              <w:t>水经抽水泵抽至上方经</w:t>
            </w:r>
            <w:r>
              <w:rPr>
                <w:rFonts w:hint="default"/>
                <w:color w:val="000000" w:themeColor="text1"/>
                <w:highlight w:val="none"/>
                <w:lang w:val="en-US" w:eastAsia="zh-CN"/>
                <w14:textFill>
                  <w14:solidFill>
                    <w14:schemeClr w14:val="tx1"/>
                  </w14:solidFill>
                </w14:textFill>
              </w:rPr>
              <w:t>水帘湿式漆雾净化设备</w:t>
            </w:r>
            <w:r>
              <w:rPr>
                <w:rFonts w:hint="default"/>
                <w:color w:val="000000" w:themeColor="text1"/>
                <w:highlight w:val="none"/>
                <w14:textFill>
                  <w14:solidFill>
                    <w14:schemeClr w14:val="tx1"/>
                  </w14:solidFill>
                </w14:textFill>
              </w:rPr>
              <w:t>从而将废气中的漆雾颗粒带至循环水池积聚形成漆渣。喷漆</w:t>
            </w:r>
            <w:r>
              <w:rPr>
                <w:rFonts w:hint="default"/>
                <w:color w:val="000000" w:themeColor="text1"/>
                <w:highlight w:val="none"/>
                <w:lang w:val="en-US" w:eastAsia="zh-CN"/>
                <w14:textFill>
                  <w14:solidFill>
                    <w14:schemeClr w14:val="tx1"/>
                  </w14:solidFill>
                </w14:textFill>
              </w:rPr>
              <w:t>共设置</w:t>
            </w:r>
            <w:r>
              <w:rPr>
                <w:rFonts w:hint="eastAsia"/>
                <w:color w:val="000000" w:themeColor="text1"/>
                <w:highlight w:val="none"/>
                <w:lang w:val="en-US" w:eastAsia="zh-CN"/>
                <w14:textFill>
                  <w14:solidFill>
                    <w14:schemeClr w14:val="tx1"/>
                  </w14:solidFill>
                </w14:textFill>
              </w:rPr>
              <w:t>4</w:t>
            </w:r>
            <w:r>
              <w:rPr>
                <w:rFonts w:hint="default"/>
                <w:color w:val="000000" w:themeColor="text1"/>
                <w:highlight w:val="none"/>
                <w14:textFill>
                  <w14:solidFill>
                    <w14:schemeClr w14:val="tx1"/>
                  </w14:solidFill>
                </w14:textFill>
              </w:rPr>
              <w:t>个</w:t>
            </w:r>
            <w:r>
              <w:rPr>
                <w:rFonts w:hint="default"/>
                <w:color w:val="000000" w:themeColor="text1"/>
                <w:highlight w:val="none"/>
                <w:lang w:val="en-US" w:eastAsia="zh-CN"/>
                <w14:textFill>
                  <w14:solidFill>
                    <w14:schemeClr w14:val="tx1"/>
                  </w14:solidFill>
                </w14:textFill>
              </w:rPr>
              <w:t>水帘湿式漆雾净化</w:t>
            </w:r>
            <w:r>
              <w:rPr>
                <w:rFonts w:hint="default"/>
                <w:color w:val="000000" w:themeColor="text1"/>
                <w:highlight w:val="none"/>
                <w14:textFill>
                  <w14:solidFill>
                    <w14:schemeClr w14:val="tx1"/>
                  </w14:solidFill>
                </w14:textFill>
              </w:rPr>
              <w:t>循环水池（</w:t>
            </w:r>
            <w:r>
              <w:rPr>
                <w:rFonts w:hint="default"/>
                <w:color w:val="000000" w:themeColor="text1"/>
                <w:highlight w:val="none"/>
                <w:lang w:val="en-US" w:eastAsia="zh-CN"/>
                <w14:textFill>
                  <w14:solidFill>
                    <w14:schemeClr w14:val="tx1"/>
                  </w14:solidFill>
                </w14:textFill>
              </w:rPr>
              <w:t>单个水池有效容积为2.5</w:t>
            </w:r>
            <w:r>
              <w:rPr>
                <w:rFonts w:hint="default"/>
                <w:color w:val="000000" w:themeColor="text1"/>
                <w:highlight w:val="none"/>
                <w14:textFill>
                  <w14:solidFill>
                    <w14:schemeClr w14:val="tx1"/>
                  </w14:solidFill>
                </w14:textFill>
              </w:rPr>
              <w:t>m³）。</w:t>
            </w:r>
          </w:p>
          <w:p w14:paraId="7F4E538A">
            <w:pPr>
              <w:pStyle w:val="38"/>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参照《涂装车间设计手册》（第三版）第4章</w:t>
            </w:r>
            <w:r>
              <w:rPr>
                <w:rFonts w:hint="default"/>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喷漆室及其相关设备设计</w:t>
            </w:r>
            <w:r>
              <w:rPr>
                <w:rFonts w:hint="default"/>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中4.3.3</w:t>
            </w:r>
            <w:r>
              <w:rPr>
                <w:rFonts w:hint="default"/>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湿式喷漆室的总供水量计算</w:t>
            </w:r>
            <w:r>
              <w:rPr>
                <w:rFonts w:hint="default"/>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③水幕（瀑布）式捕集漆雾装置的供水量计算法：</w:t>
            </w:r>
          </w:p>
          <w:p w14:paraId="22A8ABF4">
            <w:pPr>
              <w:pStyle w:val="38"/>
              <w:keepNext w:val="0"/>
              <w:keepLines w:val="0"/>
              <w:suppressLineNumbers w:val="0"/>
              <w:spacing w:before="0" w:beforeAutospacing="0" w:after="0" w:afterAutospacing="0"/>
              <w:ind w:left="0" w:leftChars="0" w:right="0" w:firstLine="0" w:firstLineChars="0"/>
              <w:jc w:val="center"/>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Gw=LδV×3600</w:t>
            </w:r>
          </w:p>
          <w:p w14:paraId="362E9B1C">
            <w:pPr>
              <w:pStyle w:val="38"/>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式中Gw——总供水量，m³/h；</w:t>
            </w:r>
          </w:p>
          <w:p w14:paraId="3A5A6D85">
            <w:pPr>
              <w:pStyle w:val="38"/>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L——喷漆室（或供水槽、</w:t>
            </w:r>
            <w:r>
              <w:rPr>
                <w:rFonts w:hint="eastAsia"/>
                <w:color w:val="000000" w:themeColor="text1"/>
                <w:highlight w:val="none"/>
                <w:lang w:val="en-US" w:eastAsia="zh-CN"/>
                <w14:textFill>
                  <w14:solidFill>
                    <w14:schemeClr w14:val="tx1"/>
                  </w14:solidFill>
                </w14:textFill>
              </w:rPr>
              <w:t>趟</w:t>
            </w:r>
            <w:r>
              <w:rPr>
                <w:rFonts w:hint="default"/>
                <w:color w:val="000000" w:themeColor="text1"/>
                <w:highlight w:val="none"/>
                <w14:textFill>
                  <w14:solidFill>
                    <w14:schemeClr w14:val="tx1"/>
                  </w14:solidFill>
                </w14:textFill>
              </w:rPr>
              <w:t>水板）的长度，</w:t>
            </w:r>
            <w:r>
              <w:rPr>
                <w:rFonts w:hint="default"/>
                <w:color w:val="000000" w:themeColor="text1"/>
                <w:highlight w:val="none"/>
                <w:lang w:eastAsia="zh-CN"/>
                <w14:textFill>
                  <w14:solidFill>
                    <w14:schemeClr w14:val="tx1"/>
                  </w14:solidFill>
                </w14:textFill>
              </w:rPr>
              <w:t>本评价取</w:t>
            </w:r>
            <w:r>
              <w:rPr>
                <w:rFonts w:hint="default"/>
                <w:color w:val="000000" w:themeColor="text1"/>
                <w:highlight w:val="none"/>
                <w:lang w:val="en-US" w:eastAsia="zh-CN"/>
                <w14:textFill>
                  <w14:solidFill>
                    <w14:schemeClr w14:val="tx1"/>
                  </w14:solidFill>
                </w14:textFill>
              </w:rPr>
              <w:t>水池长度</w:t>
            </w:r>
            <w:r>
              <w:rPr>
                <w:rFonts w:hint="default"/>
                <w:color w:val="000000" w:themeColor="text1"/>
                <w:highlight w:val="none"/>
                <w:lang w:eastAsia="zh-CN"/>
                <w14:textFill>
                  <w14:solidFill>
                    <w14:schemeClr w14:val="tx1"/>
                  </w14:solidFill>
                </w14:textFill>
              </w:rPr>
              <w:t>进行计算，</w:t>
            </w:r>
            <w:r>
              <w:rPr>
                <w:rFonts w:hint="default"/>
                <w:color w:val="000000" w:themeColor="text1"/>
                <w:highlight w:val="none"/>
                <w:lang w:val="en-US" w:eastAsia="zh-CN"/>
                <w14:textFill>
                  <w14:solidFill>
                    <w14:schemeClr w14:val="tx1"/>
                  </w14:solidFill>
                </w14:textFill>
              </w:rPr>
              <w:t>2m</w:t>
            </w:r>
            <w:r>
              <w:rPr>
                <w:rFonts w:hint="default"/>
                <w:color w:val="000000" w:themeColor="text1"/>
                <w:highlight w:val="none"/>
                <w14:textFill>
                  <w14:solidFill>
                    <w14:schemeClr w14:val="tx1"/>
                  </w14:solidFill>
                </w14:textFill>
              </w:rPr>
              <w:t>；</w:t>
            </w:r>
          </w:p>
          <w:p w14:paraId="48997180">
            <w:pPr>
              <w:pStyle w:val="38"/>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δ——溢流水槽或</w:t>
            </w:r>
            <w:r>
              <w:rPr>
                <w:rFonts w:hint="eastAsia"/>
                <w:color w:val="000000" w:themeColor="text1"/>
                <w:highlight w:val="none"/>
                <w:lang w:val="en-US" w:eastAsia="zh-CN"/>
                <w14:textFill>
                  <w14:solidFill>
                    <w14:schemeClr w14:val="tx1"/>
                  </w14:solidFill>
                </w14:textFill>
              </w:rPr>
              <w:t>趟</w:t>
            </w:r>
            <w:r>
              <w:rPr>
                <w:rFonts w:hint="default"/>
                <w:color w:val="000000" w:themeColor="text1"/>
                <w:highlight w:val="none"/>
                <w14:textFill>
                  <w14:solidFill>
                    <w14:schemeClr w14:val="tx1"/>
                  </w14:solidFill>
                </w14:textFill>
              </w:rPr>
              <w:t>水板的水层平均厚度，取值0.003m；</w:t>
            </w:r>
          </w:p>
          <w:p w14:paraId="7324D617">
            <w:pPr>
              <w:pStyle w:val="38"/>
              <w:keepNext w:val="0"/>
              <w:keepLines w:val="0"/>
              <w:suppressLineNumbers w:val="0"/>
              <w:spacing w:before="0" w:beforeAutospacing="0" w:after="0" w:afterAutospacing="0"/>
              <w:ind w:left="0" w:right="0"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V——水流速度，取值0.4m/s；</w:t>
            </w:r>
          </w:p>
          <w:p w14:paraId="7D3D6EC0">
            <w:pPr>
              <w:pStyle w:val="38"/>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jc w:val="both"/>
              <w:textAlignment w:val="auto"/>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计算出</w:t>
            </w:r>
            <w:r>
              <w:rPr>
                <w:rFonts w:hint="default"/>
                <w:color w:val="000000" w:themeColor="text1"/>
                <w:highlight w:val="none"/>
                <w:lang w:val="en-US" w:eastAsia="zh-CN"/>
                <w14:textFill>
                  <w14:solidFill>
                    <w14:schemeClr w14:val="tx1"/>
                  </w14:solidFill>
                </w14:textFill>
              </w:rPr>
              <w:t>水帘湿式漆雾净化</w:t>
            </w:r>
            <w:r>
              <w:rPr>
                <w:rFonts w:hint="default"/>
                <w:color w:val="000000" w:themeColor="text1"/>
                <w:highlight w:val="none"/>
                <w14:textFill>
                  <w14:solidFill>
                    <w14:schemeClr w14:val="tx1"/>
                  </w14:solidFill>
                </w14:textFill>
              </w:rPr>
              <w:t>总循环水量约</w:t>
            </w:r>
            <w:r>
              <w:rPr>
                <w:rFonts w:hint="default"/>
                <w:color w:val="000000" w:themeColor="text1"/>
                <w:highlight w:val="none"/>
                <w:lang w:val="en-US" w:eastAsia="zh-CN"/>
                <w14:textFill>
                  <w14:solidFill>
                    <w14:schemeClr w14:val="tx1"/>
                  </w14:solidFill>
                </w14:textFill>
              </w:rPr>
              <w:t>34.56</w:t>
            </w:r>
            <w:r>
              <w:rPr>
                <w:rFonts w:hint="default"/>
                <w:color w:val="000000" w:themeColor="text1"/>
                <w:highlight w:val="none"/>
                <w14:textFill>
                  <w14:solidFill>
                    <w14:schemeClr w14:val="tx1"/>
                  </w14:solidFill>
                </w14:textFill>
              </w:rPr>
              <w:t>m³/h（</w:t>
            </w:r>
            <w:r>
              <w:rPr>
                <w:rFonts w:hint="eastAsia"/>
                <w:color w:val="000000" w:themeColor="text1"/>
                <w:highlight w:val="none"/>
                <w:lang w:val="en-US" w:eastAsia="zh-CN"/>
                <w14:textFill>
                  <w14:solidFill>
                    <w14:schemeClr w14:val="tx1"/>
                  </w14:solidFill>
                </w14:textFill>
              </w:rPr>
              <w:t>93.312</w:t>
            </w:r>
            <w:r>
              <w:rPr>
                <w:rFonts w:hint="default"/>
                <w:color w:val="000000" w:themeColor="text1"/>
                <w:highlight w:val="none"/>
                <w14:textFill>
                  <w14:solidFill>
                    <w14:schemeClr w14:val="tx1"/>
                  </w14:solidFill>
                </w14:textFill>
              </w:rPr>
              <w:t>m³/d，每天有效喷漆时间</w:t>
            </w:r>
            <w:r>
              <w:rPr>
                <w:rFonts w:hint="default"/>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.7</w:t>
            </w:r>
            <w:r>
              <w:rPr>
                <w:rFonts w:hint="default"/>
                <w:color w:val="000000" w:themeColor="text1"/>
                <w:highlight w:val="none"/>
                <w14:textFill>
                  <w14:solidFill>
                    <w14:schemeClr w14:val="tx1"/>
                  </w14:solidFill>
                </w14:textFill>
              </w:rPr>
              <w:t>h</w:t>
            </w:r>
            <w:r>
              <w:rPr>
                <w:rFonts w:hint="default"/>
                <w:color w:val="000000" w:themeColor="text1"/>
                <w:highlight w:val="none"/>
                <w:lang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年喷漆天数为300</w:t>
            </w:r>
            <w:r>
              <w:rPr>
                <w:rFonts w:hint="default"/>
                <w:color w:val="000000" w:themeColor="text1"/>
                <w:highlight w:val="none"/>
                <w14:textFill>
                  <w14:solidFill>
                    <w14:schemeClr w14:val="tx1"/>
                  </w14:solidFill>
                </w14:textFill>
              </w:rPr>
              <w:t>）。循环过程会有水分损失，补充水量约为循环水量的1%，则补充水量为</w:t>
            </w:r>
            <w:r>
              <w:rPr>
                <w:rFonts w:hint="default"/>
                <w:color w:val="000000" w:themeColor="text1"/>
                <w:highlight w:val="none"/>
                <w:lang w:val="en-US" w:eastAsia="zh-CN"/>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93</w:t>
            </w:r>
            <w:r>
              <w:rPr>
                <w:rFonts w:hint="default"/>
                <w:color w:val="000000" w:themeColor="text1"/>
                <w:highlight w:val="none"/>
                <w14:textFill>
                  <w14:solidFill>
                    <w14:schemeClr w14:val="tx1"/>
                  </w14:solidFill>
                </w14:textFill>
              </w:rPr>
              <w:t>m</w:t>
            </w:r>
            <w:r>
              <w:rPr>
                <w:rFonts w:hint="default"/>
                <w:color w:val="000000" w:themeColor="text1"/>
                <w:highlight w:val="none"/>
                <w:vertAlign w:val="superscript"/>
                <w14:textFill>
                  <w14:solidFill>
                    <w14:schemeClr w14:val="tx1"/>
                  </w14:solidFill>
                </w14:textFill>
              </w:rPr>
              <w:t>3</w:t>
            </w:r>
            <w:r>
              <w:rPr>
                <w:rFonts w:hint="default"/>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279</w:t>
            </w:r>
            <w:r>
              <w:rPr>
                <w:rFonts w:hint="default"/>
                <w:color w:val="000000" w:themeColor="text1"/>
                <w:highlight w:val="none"/>
                <w14:textFill>
                  <w14:solidFill>
                    <w14:schemeClr w14:val="tx1"/>
                  </w14:solidFill>
                </w14:textFill>
              </w:rPr>
              <w:t>m</w:t>
            </w:r>
            <w:r>
              <w:rPr>
                <w:rFonts w:hint="default"/>
                <w:color w:val="000000" w:themeColor="text1"/>
                <w:highlight w:val="none"/>
                <w:vertAlign w:val="superscript"/>
                <w14:textFill>
                  <w14:solidFill>
                    <w14:schemeClr w14:val="tx1"/>
                  </w14:solidFill>
                </w14:textFill>
              </w:rPr>
              <w:t>3</w:t>
            </w:r>
            <w:r>
              <w:rPr>
                <w:rFonts w:hint="default"/>
                <w:color w:val="000000" w:themeColor="text1"/>
                <w:highlight w:val="none"/>
                <w14:textFill>
                  <w14:solidFill>
                    <w14:schemeClr w14:val="tx1"/>
                  </w14:solidFill>
                </w14:textFill>
              </w:rPr>
              <w:t>/a）。循环水通过杀菌除臭、絮凝沉淀后，定期打捞漆渣，循环利用，为保证漆雾去除率，循环水池废水需</w:t>
            </w:r>
            <w:r>
              <w:rPr>
                <w:rFonts w:hint="default"/>
                <w:color w:val="000000" w:themeColor="text1"/>
                <w:highlight w:val="none"/>
                <w:lang w:val="en-US" w:eastAsia="zh-CN"/>
                <w14:textFill>
                  <w14:solidFill>
                    <w14:schemeClr w14:val="tx1"/>
                  </w14:solidFill>
                </w14:textFill>
              </w:rPr>
              <w:t>半年</w:t>
            </w:r>
            <w:r>
              <w:rPr>
                <w:rFonts w:hint="default"/>
                <w:color w:val="000000" w:themeColor="text1"/>
                <w:highlight w:val="none"/>
                <w14:textFill>
                  <w14:solidFill>
                    <w14:schemeClr w14:val="tx1"/>
                  </w14:solidFill>
                </w14:textFill>
              </w:rPr>
              <w:t>换一次，排放的废水</w:t>
            </w:r>
            <w:r>
              <w:rPr>
                <w:rFonts w:hint="default" w:ascii="Times New Roman" w:hAnsi="Times New Roman" w:cs="Times New Roman"/>
                <w:color w:val="000000" w:themeColor="text1"/>
                <w:kern w:val="0"/>
                <w:sz w:val="24"/>
                <w:szCs w:val="24"/>
                <w14:textFill>
                  <w14:solidFill>
                    <w14:schemeClr w14:val="tx1"/>
                  </w14:solidFill>
                </w14:textFill>
              </w:rPr>
              <w:t>经</w:t>
            </w:r>
            <w:r>
              <w:rPr>
                <w:rFonts w:hint="default" w:cs="Times New Roman"/>
                <w:color w:val="000000" w:themeColor="text1"/>
                <w:kern w:val="0"/>
                <w:sz w:val="24"/>
                <w:szCs w:val="24"/>
                <w:lang w:val="en-US" w:eastAsia="zh-CN"/>
                <w14:textFill>
                  <w14:solidFill>
                    <w14:schemeClr w14:val="tx1"/>
                  </w14:solidFill>
                </w14:textFill>
              </w:rPr>
              <w:t>一体化生产废水处理站</w:t>
            </w:r>
            <w:r>
              <w:rPr>
                <w:rFonts w:hint="default" w:ascii="Times New Roman" w:hAnsi="Times New Roman" w:cs="Times New Roman"/>
                <w:color w:val="000000" w:themeColor="text1"/>
                <w:kern w:val="0"/>
                <w:sz w:val="24"/>
                <w:szCs w:val="24"/>
                <w14:textFill>
                  <w14:solidFill>
                    <w14:schemeClr w14:val="tx1"/>
                  </w14:solidFill>
                </w14:textFill>
              </w:rPr>
              <w:t>预处理后进入生化池处理。</w:t>
            </w:r>
          </w:p>
          <w:p w14:paraId="1DF10A71">
            <w:pPr>
              <w:pStyle w:val="20"/>
              <w:keepNext w:val="0"/>
              <w:keepLines w:val="0"/>
              <w:suppressLineNumbers w:val="0"/>
              <w:spacing w:beforeAutospacing="0" w:afterAutospacing="0" w:line="360" w:lineRule="auto"/>
              <w:ind w:left="0" w:firstLine="42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本项目水平衡图见图2-</w:t>
            </w:r>
            <w:r>
              <w:rPr>
                <w:rFonts w:hint="default" w:ascii="Times New Roman" w:hAnsi="Times New Roman" w:cs="Times New Roman"/>
                <w:color w:val="000000" w:themeColor="text1"/>
                <w:kern w:val="0"/>
                <w:sz w:val="24"/>
                <w:szCs w:val="24"/>
                <w:lang w:val="en-US" w:eastAsia="zh-CN"/>
                <w14:textFill>
                  <w14:solidFill>
                    <w14:schemeClr w14:val="tx1"/>
                  </w14:solidFill>
                </w14:textFill>
              </w:rPr>
              <w:t>4</w:t>
            </w:r>
            <w:r>
              <w:rPr>
                <w:rFonts w:hint="default" w:ascii="Times New Roman" w:hAnsi="Times New Roman" w:cs="Times New Roman"/>
                <w:color w:val="000000" w:themeColor="text1"/>
                <w:kern w:val="0"/>
                <w:sz w:val="24"/>
                <w:szCs w:val="24"/>
                <w14:textFill>
                  <w14:solidFill>
                    <w14:schemeClr w14:val="tx1"/>
                  </w14:solidFill>
                </w14:textFill>
              </w:rPr>
              <w:t>。</w:t>
            </w:r>
          </w:p>
          <w:p w14:paraId="64A4FCF9">
            <w:pPr>
              <w:pStyle w:val="2"/>
              <w:jc w:val="center"/>
              <w:rPr>
                <w:rFonts w:hint="default" w:ascii="Times New Roman" w:cs="Times New Roman"/>
                <w:color w:val="000000" w:themeColor="text1"/>
                <w14:textFill>
                  <w14:solidFill>
                    <w14:schemeClr w14:val="tx1"/>
                  </w14:solidFill>
                </w14:textFill>
              </w:rPr>
            </w:pPr>
            <w:r>
              <w:rPr>
                <w:rFonts w:hint="default" w:ascii="Times New Roman" w:cs="Times New Roman"/>
                <w:color w:val="000000" w:themeColor="text1"/>
                <w14:textFill>
                  <w14:solidFill>
                    <w14:schemeClr w14:val="tx1"/>
                  </w14:solidFill>
                </w14:textFill>
              </w:rPr>
              <w:object>
                <v:shape id="_x0000_i1027" o:spt="75" type="#_x0000_t75" style="height:230.8pt;width:402.75pt;" o:ole="t" filled="f" o:preferrelative="t" stroked="f" coordsize="21600,21600">
                  <v:path/>
                  <v:fill on="f" focussize="0,0"/>
                  <v:stroke on="f"/>
                  <v:imagedata r:id="rId22" o:title=""/>
                  <o:lock v:ext="edit" aspectratio="t"/>
                  <w10:wrap type="none"/>
                  <w10:anchorlock/>
                </v:shape>
                <o:OLEObject Type="Embed" ProgID="Visio.Drawing.11" ShapeID="_x0000_i1027" DrawAspect="Content" ObjectID="_1468075727" r:id="rId21">
                  <o:LockedField>false</o:LockedField>
                </o:OLEObject>
              </w:object>
            </w:r>
          </w:p>
          <w:p w14:paraId="5B06AB7E">
            <w:pPr>
              <w:pStyle w:val="2"/>
              <w:jc w:val="center"/>
              <w:rPr>
                <w:rFonts w:hint="default" w:asci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图2-</w:t>
            </w:r>
            <w:r>
              <w:rPr>
                <w:rFonts w:hint="default" w:ascii="Times New Roman" w:hAnsi="Times New Roman" w:cs="Times New Roman"/>
                <w:b/>
                <w:bCs/>
                <w:color w:val="000000" w:themeColor="text1"/>
                <w:sz w:val="24"/>
                <w:szCs w:val="24"/>
                <w:lang w:val="en-US" w:eastAsia="zh-CN"/>
                <w14:textFill>
                  <w14:solidFill>
                    <w14:schemeClr w14:val="tx1"/>
                  </w14:solidFill>
                </w14:textFill>
              </w:rPr>
              <w:t>4</w:t>
            </w:r>
            <w:r>
              <w:rPr>
                <w:rFonts w:hint="default" w:ascii="Times New Roman" w:hAnsi="Times New Roman" w:cs="Times New Roman"/>
                <w:b/>
                <w:bCs/>
                <w:color w:val="000000" w:themeColor="text1"/>
                <w:sz w:val="24"/>
                <w:szCs w:val="24"/>
                <w14:textFill>
                  <w14:solidFill>
                    <w14:schemeClr w14:val="tx1"/>
                  </w14:solidFill>
                </w14:textFill>
              </w:rPr>
              <w:t xml:space="preserve"> 项目水平衡图（</w:t>
            </w:r>
            <w:r>
              <w:rPr>
                <w:rFonts w:hint="default" w:ascii="Times New Roman" w:hAnsi="Times New Roman" w:cs="Times New Roman"/>
                <w:b/>
                <w:bCs/>
                <w:color w:val="000000" w:themeColor="text1"/>
                <w:sz w:val="24"/>
                <w:szCs w:val="24"/>
                <w:lang w:val="en-US" w:eastAsia="zh-CN"/>
                <w14:textFill>
                  <w14:solidFill>
                    <w14:schemeClr w14:val="tx1"/>
                  </w14:solidFill>
                </w14:textFill>
              </w:rPr>
              <w:t>日最大用排水量</w:t>
            </w:r>
            <w:r>
              <w:rPr>
                <w:rFonts w:hint="default" w:ascii="Times New Roman" w:hAnsi="Times New Roman" w:cs="Times New Roman"/>
                <w:b/>
                <w:bCs/>
                <w:color w:val="000000" w:themeColor="text1"/>
                <w:kern w:val="0"/>
                <w:sz w:val="24"/>
                <w:szCs w:val="24"/>
                <w14:textFill>
                  <w14:solidFill>
                    <w14:schemeClr w14:val="tx1"/>
                  </w14:solidFill>
                </w14:textFill>
              </w:rPr>
              <w:t>m</w:t>
            </w:r>
            <w:r>
              <w:rPr>
                <w:rFonts w:hint="default" w:ascii="Times New Roman" w:hAnsi="Times New Roman" w:cs="Times New Roman"/>
                <w:b/>
                <w:bCs/>
                <w:color w:val="000000" w:themeColor="text1"/>
                <w:kern w:val="0"/>
                <w:sz w:val="24"/>
                <w:szCs w:val="24"/>
                <w:vertAlign w:val="superscript"/>
                <w14:textFill>
                  <w14:solidFill>
                    <w14:schemeClr w14:val="tx1"/>
                  </w14:solidFill>
                </w14:textFill>
              </w:rPr>
              <w:t>3</w:t>
            </w:r>
            <w:r>
              <w:rPr>
                <w:rFonts w:hint="default" w:ascii="Times New Roman" w:hAnsi="Times New Roman" w:cs="Times New Roman"/>
                <w:b/>
                <w:bCs/>
                <w:color w:val="000000" w:themeColor="text1"/>
                <w:sz w:val="24"/>
                <w:szCs w:val="24"/>
                <w14:textFill>
                  <w14:solidFill>
                    <w14:schemeClr w14:val="tx1"/>
                  </w14:solidFill>
                </w14:textFill>
              </w:rPr>
              <w:t>/d）</w:t>
            </w:r>
          </w:p>
          <w:p w14:paraId="1A4DC6FC">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b/>
                <w:color w:val="000000" w:themeColor="text1"/>
                <w:kern w:val="0"/>
                <w:sz w:val="24"/>
                <w:szCs w:val="24"/>
                <w14:textFill>
                  <w14:solidFill>
                    <w14:schemeClr w14:val="tx1"/>
                  </w14:solidFill>
                </w14:textFill>
              </w:rPr>
            </w:pPr>
            <w:r>
              <w:rPr>
                <w:rFonts w:hint="default"/>
                <w:color w:val="000000" w:themeColor="text1"/>
                <w:sz w:val="24"/>
                <w:szCs w:val="24"/>
                <w14:textFill>
                  <w14:solidFill>
                    <w14:schemeClr w14:val="tx1"/>
                  </w14:solidFill>
                </w14:textFill>
              </w:rPr>
              <w:t>本项目营运期用水、排水情况见表2-</w:t>
            </w:r>
            <w:r>
              <w:rPr>
                <w:rFonts w:hint="default"/>
                <w:color w:val="000000" w:themeColor="text1"/>
                <w:sz w:val="24"/>
                <w:szCs w:val="24"/>
                <w:lang w:val="en-US" w:eastAsia="zh-CN"/>
                <w14:textFill>
                  <w14:solidFill>
                    <w14:schemeClr w14:val="tx1"/>
                  </w14:solidFill>
                </w14:textFill>
              </w:rPr>
              <w:t>16</w:t>
            </w:r>
            <w:r>
              <w:rPr>
                <w:rFonts w:hint="default"/>
                <w:color w:val="000000" w:themeColor="text1"/>
                <w:sz w:val="24"/>
                <w:szCs w:val="24"/>
                <w14:textFill>
                  <w14:solidFill>
                    <w14:schemeClr w14:val="tx1"/>
                  </w14:solidFill>
                </w14:textFill>
              </w:rPr>
              <w:t>。</w:t>
            </w:r>
          </w:p>
          <w:p w14:paraId="10878498">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4"/>
                <w:szCs w:val="24"/>
                <w14:textFill>
                  <w14:solidFill>
                    <w14:schemeClr w14:val="tx1"/>
                  </w14:solidFill>
                </w14:textFill>
              </w:rPr>
            </w:pPr>
            <w:r>
              <w:rPr>
                <w:rFonts w:hint="default"/>
                <w:b/>
                <w:color w:val="000000" w:themeColor="text1"/>
                <w:kern w:val="0"/>
                <w:sz w:val="24"/>
                <w:szCs w:val="24"/>
                <w14:textFill>
                  <w14:solidFill>
                    <w14:schemeClr w14:val="tx1"/>
                  </w14:solidFill>
                </w14:textFill>
              </w:rPr>
              <w:t>表2-</w:t>
            </w:r>
            <w:r>
              <w:rPr>
                <w:rFonts w:hint="default"/>
                <w:b/>
                <w:color w:val="000000" w:themeColor="text1"/>
                <w:kern w:val="0"/>
                <w:sz w:val="24"/>
                <w:szCs w:val="24"/>
                <w:lang w:val="en-US" w:eastAsia="zh-CN"/>
                <w14:textFill>
                  <w14:solidFill>
                    <w14:schemeClr w14:val="tx1"/>
                  </w14:solidFill>
                </w14:textFill>
              </w:rPr>
              <w:t>16</w:t>
            </w:r>
            <w:r>
              <w:rPr>
                <w:rFonts w:hint="default"/>
                <w:b/>
                <w:color w:val="000000" w:themeColor="text1"/>
                <w:kern w:val="0"/>
                <w:sz w:val="24"/>
                <w:szCs w:val="24"/>
                <w14:textFill>
                  <w14:solidFill>
                    <w14:schemeClr w14:val="tx1"/>
                  </w14:solidFill>
                </w14:textFill>
              </w:rPr>
              <w:t xml:space="preserve"> 项目营运期平均用水、排水一览表</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134"/>
              <w:gridCol w:w="1181"/>
              <w:gridCol w:w="1003"/>
              <w:gridCol w:w="1200"/>
              <w:gridCol w:w="1144"/>
              <w:gridCol w:w="1008"/>
            </w:tblGrid>
            <w:tr w14:paraId="14AC1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67" w:type="dxa"/>
                  <w:vAlign w:val="center"/>
                </w:tcPr>
                <w:p w14:paraId="04AA85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用水项目</w:t>
                  </w:r>
                </w:p>
              </w:tc>
              <w:tc>
                <w:tcPr>
                  <w:tcW w:w="1134" w:type="dxa"/>
                  <w:vAlign w:val="center"/>
                </w:tcPr>
                <w:p w14:paraId="2E0148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用水标准</w:t>
                  </w:r>
                </w:p>
              </w:tc>
              <w:tc>
                <w:tcPr>
                  <w:tcW w:w="1181" w:type="dxa"/>
                  <w:vAlign w:val="center"/>
                </w:tcPr>
                <w:p w14:paraId="1264A3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themeColor="text1"/>
                      <w:kern w:val="0"/>
                      <w:sz w:val="21"/>
                      <w:szCs w:val="21"/>
                      <w:lang w:val="en-US"/>
                      <w14:textFill>
                        <w14:solidFill>
                          <w14:schemeClr w14:val="tx1"/>
                        </w14:solidFill>
                      </w14:textFill>
                    </w:rPr>
                  </w:pPr>
                  <w:r>
                    <w:rPr>
                      <w:rFonts w:hint="default" w:cs="Times New Roman"/>
                      <w:i w:val="0"/>
                      <w:iCs w:val="0"/>
                      <w:color w:val="000000" w:themeColor="text1"/>
                      <w:kern w:val="0"/>
                      <w:sz w:val="21"/>
                      <w:szCs w:val="21"/>
                      <w:u w:val="none"/>
                      <w:lang w:val="en-US" w:eastAsia="zh-CN" w:bidi="ar"/>
                      <w14:textFill>
                        <w14:solidFill>
                          <w14:schemeClr w14:val="tx1"/>
                        </w14:solidFill>
                      </w14:textFill>
                    </w:rPr>
                    <w:t>用水数量</w:t>
                  </w:r>
                </w:p>
              </w:tc>
              <w:tc>
                <w:tcPr>
                  <w:tcW w:w="1003" w:type="dxa"/>
                  <w:vAlign w:val="center"/>
                </w:tcPr>
                <w:p w14:paraId="146F4C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用水量（</w:t>
                  </w:r>
                  <w:r>
                    <w:rPr>
                      <w:rStyle w:val="41"/>
                      <w:rFonts w:hint="default" w:ascii="Times New Roman" w:hAnsi="Times New Roman" w:eastAsia="宋体" w:cs="Times New Roman"/>
                      <w:color w:val="000000" w:themeColor="text1"/>
                      <w:sz w:val="21"/>
                      <w:szCs w:val="21"/>
                      <w:lang w:val="en-US" w:eastAsia="zh-CN" w:bidi="ar"/>
                      <w14:textFill>
                        <w14:solidFill>
                          <w14:schemeClr w14:val="tx1"/>
                        </w14:solidFill>
                      </w14:textFill>
                    </w:rPr>
                    <w:t>m</w:t>
                  </w:r>
                  <w:r>
                    <w:rPr>
                      <w:rStyle w:val="42"/>
                      <w:rFonts w:hint="default" w:ascii="Times New Roman" w:hAnsi="Times New Roman" w:eastAsia="宋体" w:cs="Times New Roman"/>
                      <w:color w:val="000000" w:themeColor="text1"/>
                      <w:sz w:val="21"/>
                      <w:szCs w:val="21"/>
                      <w:lang w:val="en-US" w:eastAsia="zh-CN" w:bidi="ar"/>
                      <w14:textFill>
                        <w14:solidFill>
                          <w14:schemeClr w14:val="tx1"/>
                        </w14:solidFill>
                      </w14:textFill>
                    </w:rPr>
                    <w:t>3</w:t>
                  </w:r>
                  <w:r>
                    <w:rPr>
                      <w:rStyle w:val="41"/>
                      <w:rFonts w:hint="default" w:ascii="Times New Roman" w:hAnsi="Times New Roman" w:eastAsia="宋体" w:cs="Times New Roman"/>
                      <w:color w:val="000000" w:themeColor="text1"/>
                      <w:sz w:val="21"/>
                      <w:szCs w:val="21"/>
                      <w:lang w:val="en-US" w:eastAsia="zh-CN" w:bidi="ar"/>
                      <w14:textFill>
                        <w14:solidFill>
                          <w14:schemeClr w14:val="tx1"/>
                        </w14:solidFill>
                      </w14:textFill>
                    </w:rPr>
                    <w:t>/d</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200" w:type="dxa"/>
                  <w:vAlign w:val="center"/>
                </w:tcPr>
                <w:p w14:paraId="0DAF11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排水量（</w:t>
                  </w:r>
                  <w:r>
                    <w:rPr>
                      <w:rStyle w:val="41"/>
                      <w:rFonts w:hint="default" w:ascii="Times New Roman" w:hAnsi="Times New Roman" w:eastAsia="宋体" w:cs="Times New Roman"/>
                      <w:color w:val="000000" w:themeColor="text1"/>
                      <w:sz w:val="21"/>
                      <w:szCs w:val="21"/>
                      <w:lang w:val="en-US" w:eastAsia="zh-CN" w:bidi="ar"/>
                      <w14:textFill>
                        <w14:solidFill>
                          <w14:schemeClr w14:val="tx1"/>
                        </w14:solidFill>
                      </w14:textFill>
                    </w:rPr>
                    <w:t>m</w:t>
                  </w:r>
                  <w:r>
                    <w:rPr>
                      <w:rStyle w:val="42"/>
                      <w:rFonts w:hint="default" w:ascii="Times New Roman" w:hAnsi="Times New Roman" w:eastAsia="宋体" w:cs="Times New Roman"/>
                      <w:color w:val="000000" w:themeColor="text1"/>
                      <w:sz w:val="21"/>
                      <w:szCs w:val="21"/>
                      <w:lang w:val="en-US" w:eastAsia="zh-CN" w:bidi="ar"/>
                      <w14:textFill>
                        <w14:solidFill>
                          <w14:schemeClr w14:val="tx1"/>
                        </w14:solidFill>
                      </w14:textFill>
                    </w:rPr>
                    <w:t>3</w:t>
                  </w:r>
                  <w:r>
                    <w:rPr>
                      <w:rStyle w:val="41"/>
                      <w:rFonts w:hint="default" w:ascii="Times New Roman" w:hAnsi="Times New Roman" w:eastAsia="宋体" w:cs="Times New Roman"/>
                      <w:color w:val="000000" w:themeColor="text1"/>
                      <w:sz w:val="21"/>
                      <w:szCs w:val="21"/>
                      <w:lang w:val="en-US" w:eastAsia="zh-CN" w:bidi="ar"/>
                      <w14:textFill>
                        <w14:solidFill>
                          <w14:schemeClr w14:val="tx1"/>
                        </w14:solidFill>
                      </w14:textFill>
                    </w:rPr>
                    <w:t>/d</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144" w:type="dxa"/>
                  <w:vAlign w:val="center"/>
                </w:tcPr>
                <w:p w14:paraId="067864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用水量（</w:t>
                  </w:r>
                  <w:r>
                    <w:rPr>
                      <w:rStyle w:val="41"/>
                      <w:rFonts w:hint="default" w:ascii="Times New Roman" w:hAnsi="Times New Roman" w:eastAsia="宋体" w:cs="Times New Roman"/>
                      <w:color w:val="000000" w:themeColor="text1"/>
                      <w:sz w:val="21"/>
                      <w:szCs w:val="21"/>
                      <w:lang w:val="en-US" w:eastAsia="zh-CN" w:bidi="ar"/>
                      <w14:textFill>
                        <w14:solidFill>
                          <w14:schemeClr w14:val="tx1"/>
                        </w14:solidFill>
                      </w14:textFill>
                    </w:rPr>
                    <w:t>m</w:t>
                  </w:r>
                  <w:r>
                    <w:rPr>
                      <w:rStyle w:val="42"/>
                      <w:rFonts w:hint="default" w:ascii="Times New Roman" w:hAnsi="Times New Roman" w:eastAsia="宋体" w:cs="Times New Roman"/>
                      <w:color w:val="000000" w:themeColor="text1"/>
                      <w:sz w:val="21"/>
                      <w:szCs w:val="21"/>
                      <w:lang w:val="en-US" w:eastAsia="zh-CN" w:bidi="ar"/>
                      <w14:textFill>
                        <w14:solidFill>
                          <w14:schemeClr w14:val="tx1"/>
                        </w14:solidFill>
                      </w14:textFill>
                    </w:rPr>
                    <w:t>3</w:t>
                  </w:r>
                  <w:r>
                    <w:rPr>
                      <w:rStyle w:val="41"/>
                      <w:rFonts w:hint="default" w:ascii="Times New Roman" w:hAnsi="Times New Roman" w:eastAsia="宋体" w:cs="Times New Roman"/>
                      <w:color w:val="000000" w:themeColor="text1"/>
                      <w:sz w:val="21"/>
                      <w:szCs w:val="21"/>
                      <w:lang w:val="en-US" w:eastAsia="zh-CN" w:bidi="ar"/>
                      <w14:textFill>
                        <w14:solidFill>
                          <w14:schemeClr w14:val="tx1"/>
                        </w14:solidFill>
                      </w14:textFill>
                    </w:rPr>
                    <w:t>/a</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008" w:type="dxa"/>
                  <w:vAlign w:val="center"/>
                </w:tcPr>
                <w:p w14:paraId="028E6CB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排水量（</w:t>
                  </w:r>
                  <w:r>
                    <w:rPr>
                      <w:rStyle w:val="41"/>
                      <w:rFonts w:hint="default" w:ascii="Times New Roman" w:hAnsi="Times New Roman" w:eastAsia="宋体" w:cs="Times New Roman"/>
                      <w:color w:val="000000" w:themeColor="text1"/>
                      <w:sz w:val="21"/>
                      <w:szCs w:val="21"/>
                      <w:lang w:val="en-US" w:eastAsia="zh-CN" w:bidi="ar"/>
                      <w14:textFill>
                        <w14:solidFill>
                          <w14:schemeClr w14:val="tx1"/>
                        </w14:solidFill>
                      </w14:textFill>
                    </w:rPr>
                    <w:t>m</w:t>
                  </w:r>
                  <w:r>
                    <w:rPr>
                      <w:rStyle w:val="42"/>
                      <w:rFonts w:hint="default" w:ascii="Times New Roman" w:hAnsi="Times New Roman" w:eastAsia="宋体" w:cs="Times New Roman"/>
                      <w:color w:val="000000" w:themeColor="text1"/>
                      <w:sz w:val="21"/>
                      <w:szCs w:val="21"/>
                      <w:lang w:val="en-US" w:eastAsia="zh-CN" w:bidi="ar"/>
                      <w14:textFill>
                        <w14:solidFill>
                          <w14:schemeClr w14:val="tx1"/>
                        </w14:solidFill>
                      </w14:textFill>
                    </w:rPr>
                    <w:t>3</w:t>
                  </w:r>
                  <w:r>
                    <w:rPr>
                      <w:rStyle w:val="41"/>
                      <w:rFonts w:hint="default" w:ascii="Times New Roman" w:hAnsi="Times New Roman" w:eastAsia="宋体" w:cs="Times New Roman"/>
                      <w:color w:val="000000" w:themeColor="text1"/>
                      <w:sz w:val="21"/>
                      <w:szCs w:val="21"/>
                      <w:lang w:val="en-US" w:eastAsia="zh-CN" w:bidi="ar"/>
                      <w14:textFill>
                        <w14:solidFill>
                          <w14:schemeClr w14:val="tx1"/>
                        </w14:solidFill>
                      </w14:textFill>
                    </w:rPr>
                    <w:t>/a</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r>
            <w:tr w14:paraId="7BAB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7" w:type="dxa"/>
                  <w:shd w:val="clear" w:color="auto" w:fill="auto"/>
                  <w:vAlign w:val="center"/>
                </w:tcPr>
                <w:p w14:paraId="2207B5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cs="Times New Roman"/>
                      <w:color w:val="000000" w:themeColor="text1"/>
                      <w:kern w:val="0"/>
                      <w:sz w:val="21"/>
                      <w:szCs w:val="21"/>
                      <w:lang w:eastAsia="zh-CN"/>
                      <w14:textFill>
                        <w14:solidFill>
                          <w14:schemeClr w14:val="tx1"/>
                        </w14:solidFill>
                      </w14:textFill>
                    </w:rPr>
                    <w:t>生活用水</w:t>
                  </w:r>
                </w:p>
              </w:tc>
              <w:tc>
                <w:tcPr>
                  <w:tcW w:w="1134" w:type="dxa"/>
                  <w:shd w:val="clear" w:color="auto" w:fill="auto"/>
                  <w:vAlign w:val="center"/>
                </w:tcPr>
                <w:p w14:paraId="70FE4C7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r>
                    <w:rPr>
                      <w:rFonts w:hint="default"/>
                      <w:color w:val="000000" w:themeColor="text1"/>
                      <w:sz w:val="21"/>
                      <w:szCs w:val="21"/>
                      <w:highlight w:val="none"/>
                      <w14:textFill>
                        <w14:solidFill>
                          <w14:schemeClr w14:val="tx1"/>
                        </w14:solidFill>
                      </w14:textFill>
                    </w:rPr>
                    <w:t>L/人•d</w:t>
                  </w:r>
                </w:p>
              </w:tc>
              <w:tc>
                <w:tcPr>
                  <w:tcW w:w="1181" w:type="dxa"/>
                  <w:shd w:val="clear" w:color="auto" w:fill="auto"/>
                  <w:vAlign w:val="center"/>
                </w:tcPr>
                <w:p w14:paraId="3ECF107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cs="Times New Roman"/>
                      <w:i w:val="0"/>
                      <w:iCs w:val="0"/>
                      <w:color w:val="000000" w:themeColor="text1"/>
                      <w:kern w:val="0"/>
                      <w:sz w:val="21"/>
                      <w:szCs w:val="21"/>
                      <w:u w:val="none"/>
                      <w:lang w:val="en-US" w:eastAsia="zh-CN" w:bidi="ar"/>
                      <w14:textFill>
                        <w14:solidFill>
                          <w14:schemeClr w14:val="tx1"/>
                        </w14:solidFill>
                      </w14:textFill>
                    </w:rPr>
                    <w:t>20人</w:t>
                  </w:r>
                </w:p>
              </w:tc>
              <w:tc>
                <w:tcPr>
                  <w:tcW w:w="1003" w:type="dxa"/>
                  <w:shd w:val="clear" w:color="auto" w:fill="auto"/>
                  <w:vAlign w:val="center"/>
                </w:tcPr>
                <w:p w14:paraId="3D43E94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1</w:t>
                  </w:r>
                </w:p>
              </w:tc>
              <w:tc>
                <w:tcPr>
                  <w:tcW w:w="1200" w:type="dxa"/>
                  <w:shd w:val="clear" w:color="auto" w:fill="auto"/>
                  <w:vAlign w:val="center"/>
                </w:tcPr>
                <w:p w14:paraId="64EA6B4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0.9</w:t>
                  </w:r>
                </w:p>
              </w:tc>
              <w:tc>
                <w:tcPr>
                  <w:tcW w:w="1144" w:type="dxa"/>
                  <w:shd w:val="clear" w:color="auto" w:fill="auto"/>
                  <w:vAlign w:val="center"/>
                </w:tcPr>
                <w:p w14:paraId="5C28714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300</w:t>
                  </w:r>
                </w:p>
              </w:tc>
              <w:tc>
                <w:tcPr>
                  <w:tcW w:w="1008" w:type="dxa"/>
                  <w:shd w:val="clear" w:color="auto" w:fill="auto"/>
                  <w:vAlign w:val="center"/>
                </w:tcPr>
                <w:p w14:paraId="069E3050">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270</w:t>
                  </w:r>
                </w:p>
              </w:tc>
            </w:tr>
            <w:tr w14:paraId="07EF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7" w:type="dxa"/>
                  <w:shd w:val="clear" w:color="auto" w:fill="auto"/>
                  <w:vAlign w:val="center"/>
                </w:tcPr>
                <w:p w14:paraId="6BED74F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洗手用水</w:t>
                  </w:r>
                </w:p>
              </w:tc>
              <w:tc>
                <w:tcPr>
                  <w:tcW w:w="1134" w:type="dxa"/>
                  <w:shd w:val="clear" w:color="auto" w:fill="auto"/>
                  <w:vAlign w:val="center"/>
                </w:tcPr>
                <w:p w14:paraId="35E9100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r>
                    <w:rPr>
                      <w:rFonts w:hint="default"/>
                      <w:color w:val="000000" w:themeColor="text1"/>
                      <w:kern w:val="0"/>
                      <w:sz w:val="21"/>
                      <w:szCs w:val="21"/>
                      <w14:textFill>
                        <w14:solidFill>
                          <w14:schemeClr w14:val="tx1"/>
                        </w14:solidFill>
                      </w14:textFill>
                    </w:rPr>
                    <w:t>L/人•d</w:t>
                  </w:r>
                </w:p>
              </w:tc>
              <w:tc>
                <w:tcPr>
                  <w:tcW w:w="1181" w:type="dxa"/>
                  <w:shd w:val="clear" w:color="auto" w:fill="auto"/>
                  <w:vAlign w:val="center"/>
                </w:tcPr>
                <w:p w14:paraId="5A284CB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sz w:val="21"/>
                      <w:szCs w:val="21"/>
                      <w14:textFill>
                        <w14:solidFill>
                          <w14:schemeClr w14:val="tx1"/>
                        </w14:solidFill>
                      </w14:textFill>
                    </w:rPr>
                  </w:pPr>
                  <w:r>
                    <w:rPr>
                      <w:rFonts w:hint="default" w:cs="Times New Roman"/>
                      <w:i w:val="0"/>
                      <w:iCs w:val="0"/>
                      <w:color w:val="000000" w:themeColor="text1"/>
                      <w:kern w:val="0"/>
                      <w:sz w:val="21"/>
                      <w:szCs w:val="21"/>
                      <w:u w:val="none"/>
                      <w:lang w:val="en-US" w:eastAsia="zh-CN" w:bidi="ar"/>
                      <w14:textFill>
                        <w14:solidFill>
                          <w14:schemeClr w14:val="tx1"/>
                        </w14:solidFill>
                      </w14:textFill>
                    </w:rPr>
                    <w:t>20</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人</w:t>
                  </w:r>
                </w:p>
              </w:tc>
              <w:tc>
                <w:tcPr>
                  <w:tcW w:w="1003" w:type="dxa"/>
                  <w:shd w:val="clear" w:color="auto" w:fill="auto"/>
                  <w:vAlign w:val="center"/>
                </w:tcPr>
                <w:p w14:paraId="14D6A92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0.1</w:t>
                  </w:r>
                </w:p>
              </w:tc>
              <w:tc>
                <w:tcPr>
                  <w:tcW w:w="1200" w:type="dxa"/>
                  <w:shd w:val="clear" w:color="auto" w:fill="auto"/>
                  <w:vAlign w:val="center"/>
                </w:tcPr>
                <w:p w14:paraId="46E27EA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0.09</w:t>
                  </w:r>
                </w:p>
              </w:tc>
              <w:tc>
                <w:tcPr>
                  <w:tcW w:w="1144" w:type="dxa"/>
                  <w:shd w:val="clear" w:color="auto" w:fill="auto"/>
                  <w:vAlign w:val="center"/>
                </w:tcPr>
                <w:p w14:paraId="2CA20DE0">
                  <w:pPr>
                    <w:keepNext w:val="0"/>
                    <w:keepLines w:val="0"/>
                    <w:widowControl/>
                    <w:suppressLineNumbers w:val="0"/>
                    <w:jc w:val="center"/>
                    <w:textAlignment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w:t>
                  </w:r>
                </w:p>
              </w:tc>
              <w:tc>
                <w:tcPr>
                  <w:tcW w:w="1008" w:type="dxa"/>
                  <w:shd w:val="clear" w:color="auto" w:fill="auto"/>
                  <w:vAlign w:val="center"/>
                </w:tcPr>
                <w:p w14:paraId="43174825">
                  <w:pPr>
                    <w:keepNext w:val="0"/>
                    <w:keepLines w:val="0"/>
                    <w:widowControl/>
                    <w:suppressLineNumbers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27</w:t>
                  </w:r>
                </w:p>
              </w:tc>
            </w:tr>
            <w:tr w14:paraId="7578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7" w:type="dxa"/>
                  <w:shd w:val="clear" w:color="auto" w:fill="auto"/>
                  <w:vAlign w:val="center"/>
                </w:tcPr>
                <w:p w14:paraId="1B47E1A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cs="Times New Roman"/>
                      <w:color w:val="000000" w:themeColor="text1"/>
                      <w:kern w:val="0"/>
                      <w:sz w:val="21"/>
                      <w:szCs w:val="21"/>
                      <w:lang w:val="en-US" w:eastAsia="zh-CN"/>
                      <w14:textFill>
                        <w14:solidFill>
                          <w14:schemeClr w14:val="tx1"/>
                        </w14:solidFill>
                      </w14:textFill>
                    </w:rPr>
                    <w:t>洗枪用水</w:t>
                  </w:r>
                </w:p>
              </w:tc>
              <w:tc>
                <w:tcPr>
                  <w:tcW w:w="1134" w:type="dxa"/>
                  <w:shd w:val="clear" w:color="auto" w:fill="auto"/>
                  <w:vAlign w:val="center"/>
                </w:tcPr>
                <w:p w14:paraId="698E981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14:textFill>
                        <w14:solidFill>
                          <w14:schemeClr w14:val="tx1"/>
                        </w14:solidFill>
                      </w14:textFill>
                    </w:rPr>
                    <w:t>L</w:t>
                  </w:r>
                  <w:r>
                    <w:rPr>
                      <w:rFonts w:hint="default"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t>把·天</w:t>
                  </w:r>
                </w:p>
              </w:tc>
              <w:tc>
                <w:tcPr>
                  <w:tcW w:w="1181" w:type="dxa"/>
                  <w:shd w:val="clear" w:color="auto" w:fill="auto"/>
                  <w:vAlign w:val="center"/>
                </w:tcPr>
                <w:p w14:paraId="41DCC5B6">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cs="Times New Roman"/>
                      <w:color w:val="000000" w:themeColor="text1"/>
                      <w:kern w:val="0"/>
                      <w:sz w:val="21"/>
                      <w:szCs w:val="21"/>
                      <w:vertAlign w:val="baseline"/>
                      <w:lang w:val="en-US" w:eastAsia="zh-CN"/>
                      <w14:textFill>
                        <w14:solidFill>
                          <w14:schemeClr w14:val="tx1"/>
                        </w14:solidFill>
                      </w14:textFill>
                    </w:rPr>
                    <w:t>4把</w:t>
                  </w:r>
                </w:p>
              </w:tc>
              <w:tc>
                <w:tcPr>
                  <w:tcW w:w="1003" w:type="dxa"/>
                  <w:shd w:val="clear" w:color="auto" w:fill="auto"/>
                  <w:vAlign w:val="center"/>
                </w:tcPr>
                <w:p w14:paraId="593D2E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0.012</w:t>
                  </w:r>
                </w:p>
              </w:tc>
              <w:tc>
                <w:tcPr>
                  <w:tcW w:w="1200" w:type="dxa"/>
                  <w:shd w:val="clear" w:color="auto" w:fill="auto"/>
                  <w:vAlign w:val="center"/>
                </w:tcPr>
                <w:p w14:paraId="4568BE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0.0108</w:t>
                  </w:r>
                </w:p>
              </w:tc>
              <w:tc>
                <w:tcPr>
                  <w:tcW w:w="1144" w:type="dxa"/>
                  <w:shd w:val="clear" w:color="auto" w:fill="auto"/>
                  <w:vAlign w:val="center"/>
                </w:tcPr>
                <w:p w14:paraId="3F2B55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3.6</w:t>
                  </w:r>
                </w:p>
              </w:tc>
              <w:tc>
                <w:tcPr>
                  <w:tcW w:w="1008" w:type="dxa"/>
                  <w:shd w:val="clear" w:color="auto" w:fill="auto"/>
                  <w:vAlign w:val="center"/>
                </w:tcPr>
                <w:p w14:paraId="031440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2"/>
                      <w:szCs w:val="22"/>
                      <w:u w:val="none"/>
                      <w:lang w:val="en-US" w:eastAsia="zh-CN" w:bidi="ar"/>
                      <w14:textFill>
                        <w14:solidFill>
                          <w14:schemeClr w14:val="tx1"/>
                        </w14:solidFill>
                      </w14:textFill>
                    </w:rPr>
                    <w:t>3.24</w:t>
                  </w:r>
                </w:p>
              </w:tc>
            </w:tr>
            <w:tr w14:paraId="0183A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7" w:type="dxa"/>
                  <w:shd w:val="clear" w:color="auto" w:fill="auto"/>
                  <w:vAlign w:val="center"/>
                </w:tcPr>
                <w:p w14:paraId="466FC418">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cs="Times New Roman"/>
                      <w:i w:val="0"/>
                      <w:iCs w:val="0"/>
                      <w:color w:val="000000" w:themeColor="text1"/>
                      <w:kern w:val="0"/>
                      <w:sz w:val="21"/>
                      <w:szCs w:val="21"/>
                      <w:u w:val="none"/>
                      <w:lang w:val="en-US" w:eastAsia="zh-CN" w:bidi="ar"/>
                      <w14:textFill>
                        <w14:solidFill>
                          <w14:schemeClr w14:val="tx1"/>
                        </w14:solidFill>
                      </w14:textFill>
                    </w:rPr>
                    <w:t>喷漆水帘湿式漆雾净化</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用水</w:t>
                  </w:r>
                </w:p>
              </w:tc>
              <w:tc>
                <w:tcPr>
                  <w:tcW w:w="2315" w:type="dxa"/>
                  <w:gridSpan w:val="2"/>
                  <w:shd w:val="clear" w:color="auto" w:fill="auto"/>
                  <w:vAlign w:val="center"/>
                </w:tcPr>
                <w:p w14:paraId="5EE78F1D">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cs="Times New Roman"/>
                      <w:i w:val="0"/>
                      <w:iCs w:val="0"/>
                      <w:color w:val="000000" w:themeColor="text1"/>
                      <w:kern w:val="0"/>
                      <w:sz w:val="21"/>
                      <w:szCs w:val="21"/>
                      <w:u w:val="none"/>
                      <w:lang w:val="en-US" w:eastAsia="zh-CN" w:bidi="ar"/>
                      <w14:textFill>
                        <w14:solidFill>
                          <w14:schemeClr w14:val="tx1"/>
                        </w14:solidFill>
                      </w14:textFill>
                    </w:rPr>
                    <w:t>/</w:t>
                  </w:r>
                </w:p>
              </w:tc>
              <w:tc>
                <w:tcPr>
                  <w:tcW w:w="1003" w:type="dxa"/>
                  <w:shd w:val="clear" w:color="auto" w:fill="auto"/>
                  <w:vAlign w:val="center"/>
                </w:tcPr>
                <w:p w14:paraId="15386B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0.93</w:t>
                  </w:r>
                </w:p>
              </w:tc>
              <w:tc>
                <w:tcPr>
                  <w:tcW w:w="1200" w:type="dxa"/>
                  <w:shd w:val="clear" w:color="auto" w:fill="auto"/>
                  <w:vAlign w:val="center"/>
                </w:tcPr>
                <w:p w14:paraId="126314EA">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cs="Times New Roman"/>
                      <w:i w:val="0"/>
                      <w:iCs w:val="0"/>
                      <w:color w:val="000000" w:themeColor="text1"/>
                      <w:kern w:val="0"/>
                      <w:sz w:val="21"/>
                      <w:szCs w:val="21"/>
                      <w:u w:val="none"/>
                      <w:lang w:val="en-US" w:eastAsia="zh-CN" w:bidi="ar"/>
                      <w14:textFill>
                        <w14:solidFill>
                          <w14:schemeClr w14:val="tx1"/>
                        </w14:solidFill>
                      </w14:textFill>
                    </w:rPr>
                    <w:t>10</w:t>
                  </w: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（1次）</w:t>
                  </w:r>
                </w:p>
              </w:tc>
              <w:tc>
                <w:tcPr>
                  <w:tcW w:w="1144" w:type="dxa"/>
                  <w:shd w:val="clear" w:color="auto" w:fill="auto"/>
                  <w:vAlign w:val="center"/>
                </w:tcPr>
                <w:p w14:paraId="40A79F6A">
                  <w:pPr>
                    <w:keepNext w:val="0"/>
                    <w:keepLines w:val="0"/>
                    <w:widowControl/>
                    <w:suppressLineNumbers w:val="0"/>
                    <w:jc w:val="center"/>
                    <w:textAlignment w:val="bottom"/>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299</w:t>
                  </w:r>
                </w:p>
              </w:tc>
              <w:tc>
                <w:tcPr>
                  <w:tcW w:w="1008" w:type="dxa"/>
                  <w:shd w:val="clear" w:color="auto" w:fill="auto"/>
                  <w:vAlign w:val="center"/>
                </w:tcPr>
                <w:p w14:paraId="0457C036">
                  <w:pPr>
                    <w:keepNext w:val="0"/>
                    <w:keepLines w:val="0"/>
                    <w:widowControl/>
                    <w:suppressLineNumbers w:val="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cs="Times New Roman"/>
                      <w:i w:val="0"/>
                      <w:iCs w:val="0"/>
                      <w:color w:val="000000" w:themeColor="text1"/>
                      <w:kern w:val="0"/>
                      <w:sz w:val="21"/>
                      <w:szCs w:val="21"/>
                      <w:u w:val="none"/>
                      <w:lang w:val="en-US" w:eastAsia="zh-CN" w:bidi="ar"/>
                      <w14:textFill>
                        <w14:solidFill>
                          <w14:schemeClr w14:val="tx1"/>
                        </w14:solidFill>
                      </w14:textFill>
                    </w:rPr>
                    <w:t>20</w:t>
                  </w:r>
                </w:p>
              </w:tc>
            </w:tr>
            <w:tr w14:paraId="06D1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2" w:type="dxa"/>
                  <w:gridSpan w:val="3"/>
                  <w:shd w:val="clear" w:color="auto" w:fill="auto"/>
                  <w:vAlign w:val="center"/>
                </w:tcPr>
                <w:p w14:paraId="788389D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合计</w:t>
                  </w:r>
                </w:p>
              </w:tc>
              <w:tc>
                <w:tcPr>
                  <w:tcW w:w="1003" w:type="dxa"/>
                  <w:shd w:val="clear" w:color="auto" w:fill="auto"/>
                  <w:vAlign w:val="bottom"/>
                </w:tcPr>
                <w:p w14:paraId="37F872AC">
                  <w:pPr>
                    <w:keepNext w:val="0"/>
                    <w:keepLines w:val="0"/>
                    <w:widowControl/>
                    <w:suppressLineNumbers w:val="0"/>
                    <w:jc w:val="center"/>
                    <w:textAlignment w:val="bottom"/>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2.042</w:t>
                  </w:r>
                </w:p>
              </w:tc>
              <w:tc>
                <w:tcPr>
                  <w:tcW w:w="1200" w:type="dxa"/>
                  <w:shd w:val="clear" w:color="auto" w:fill="auto"/>
                  <w:vAlign w:val="bottom"/>
                </w:tcPr>
                <w:p w14:paraId="7EC359CE">
                  <w:pPr>
                    <w:keepNext w:val="0"/>
                    <w:keepLines w:val="0"/>
                    <w:widowControl/>
                    <w:suppressLineNumbers w:val="0"/>
                    <w:jc w:val="center"/>
                    <w:textAlignment w:val="bottom"/>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11.0008</w:t>
                  </w:r>
                </w:p>
              </w:tc>
              <w:tc>
                <w:tcPr>
                  <w:tcW w:w="1144" w:type="dxa"/>
                  <w:shd w:val="clear" w:color="auto" w:fill="auto"/>
                  <w:vAlign w:val="bottom"/>
                </w:tcPr>
                <w:p w14:paraId="70628ADF">
                  <w:pPr>
                    <w:keepNext w:val="0"/>
                    <w:keepLines w:val="0"/>
                    <w:widowControl/>
                    <w:suppressLineNumbers w:val="0"/>
                    <w:jc w:val="center"/>
                    <w:textAlignment w:val="bottom"/>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632.6</w:t>
                  </w:r>
                </w:p>
              </w:tc>
              <w:tc>
                <w:tcPr>
                  <w:tcW w:w="1008" w:type="dxa"/>
                  <w:shd w:val="clear" w:color="auto" w:fill="auto"/>
                  <w:vAlign w:val="bottom"/>
                </w:tcPr>
                <w:p w14:paraId="509D63C8">
                  <w:pPr>
                    <w:keepNext w:val="0"/>
                    <w:keepLines w:val="0"/>
                    <w:widowControl/>
                    <w:suppressLineNumbers w:val="0"/>
                    <w:jc w:val="center"/>
                    <w:textAlignment w:val="bottom"/>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320.24</w:t>
                  </w:r>
                </w:p>
              </w:tc>
            </w:tr>
            <w:tr w14:paraId="2AE9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37" w:type="dxa"/>
                  <w:gridSpan w:val="7"/>
                  <w:shd w:val="clear" w:color="auto" w:fill="auto"/>
                  <w:vAlign w:val="center"/>
                </w:tcPr>
                <w:p w14:paraId="1DE36147">
                  <w:pPr>
                    <w:keepNext w:val="0"/>
                    <w:keepLines w:val="0"/>
                    <w:widowControl/>
                    <w:suppressLineNumbers w:val="0"/>
                    <w:spacing w:before="0" w:beforeAutospacing="0" w:after="0" w:afterAutospacing="0"/>
                    <w:ind w:left="0" w:right="0"/>
                    <w:jc w:val="both"/>
                    <w:textAlignment w:val="bottom"/>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排污系数按0.9计，年工作</w:t>
                  </w:r>
                  <w:r>
                    <w:rPr>
                      <w:rFonts w:hint="default" w:cs="Times New Roman"/>
                      <w:color w:val="000000" w:themeColor="text1"/>
                      <w:sz w:val="21"/>
                      <w:szCs w:val="21"/>
                      <w:lang w:val="en-US" w:eastAsia="zh-CN"/>
                      <w14:textFill>
                        <w14:solidFill>
                          <w14:schemeClr w14:val="tx1"/>
                        </w14:solidFill>
                      </w14:textFill>
                    </w:rPr>
                    <w:t>300</w:t>
                  </w:r>
                  <w:r>
                    <w:rPr>
                      <w:rFonts w:hint="default" w:ascii="Times New Roman" w:hAnsi="Times New Roman" w:cs="Times New Roman"/>
                      <w:color w:val="000000" w:themeColor="text1"/>
                      <w:sz w:val="21"/>
                      <w:szCs w:val="21"/>
                      <w14:textFill>
                        <w14:solidFill>
                          <w14:schemeClr w14:val="tx1"/>
                        </w14:solidFill>
                      </w14:textFill>
                    </w:rPr>
                    <w:t>天</w:t>
                  </w:r>
                </w:p>
              </w:tc>
            </w:tr>
          </w:tbl>
          <w:p w14:paraId="29C14FE7">
            <w:pPr>
              <w:keepNext w:val="0"/>
              <w:keepLines w:val="0"/>
              <w:suppressLineNumbers w:val="0"/>
              <w:adjustRightInd w:val="0"/>
              <w:snapToGrid w:val="0"/>
              <w:spacing w:before="0" w:beforeLines="50" w:beforeAutospacing="0" w:after="0" w:afterAutospacing="0" w:line="360" w:lineRule="auto"/>
              <w:ind w:left="0" w:right="0" w:firstLine="482" w:firstLineChars="200"/>
              <w:rPr>
                <w:rFonts w:hint="default"/>
                <w:b/>
                <w:bCs/>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2）排水</w:t>
            </w:r>
          </w:p>
          <w:p w14:paraId="335FF9A9">
            <w:pPr>
              <w:pStyle w:val="12"/>
              <w:keepNext w:val="0"/>
              <w:keepLines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洗枪废水</w:t>
            </w:r>
            <w:r>
              <w:rPr>
                <w:rFonts w:hint="eastAsia" w:ascii="Times New Roman" w:hAnsi="Times New Roman" w:eastAsia="宋体" w:cs="Times New Roman"/>
                <w:color w:val="000000" w:themeColor="text1"/>
                <w:kern w:val="2"/>
                <w:sz w:val="24"/>
                <w:szCs w:val="24"/>
                <w:lang w:val="en-US" w:eastAsia="zh-CN" w:bidi="ar"/>
                <w14:textFill>
                  <w14:solidFill>
                    <w14:schemeClr w14:val="tx1"/>
                  </w14:solidFill>
                </w14:textFill>
              </w:rPr>
              <w:t>回用于调漆；</w:t>
            </w:r>
            <w:r>
              <w:rPr>
                <w:rFonts w:hint="default" w:ascii="Times New Roman" w:hAnsi="Times New Roman" w:cs="Times New Roman"/>
                <w:color w:val="000000" w:themeColor="text1"/>
                <w:sz w:val="24"/>
                <w:szCs w:val="24"/>
                <w14:textFill>
                  <w14:solidFill>
                    <w14:schemeClr w14:val="tx1"/>
                  </w14:solidFill>
                </w14:textFill>
              </w:rPr>
              <w:t>洗手废水经</w:t>
            </w:r>
            <w:r>
              <w:rPr>
                <w:rFonts w:hint="default" w:ascii="Times New Roman" w:hAnsi="Times New Roman" w:cs="Times New Roman"/>
                <w:color w:val="000000" w:themeColor="text1"/>
                <w:sz w:val="24"/>
                <w:szCs w:val="24"/>
                <w:lang w:val="en-US" w:eastAsia="zh-CN"/>
                <w14:textFill>
                  <w14:solidFill>
                    <w14:schemeClr w14:val="tx1"/>
                  </w14:solidFill>
                </w14:textFill>
              </w:rPr>
              <w:t>油水分离器预</w:t>
            </w:r>
            <w:r>
              <w:rPr>
                <w:rFonts w:hint="default" w:ascii="Times New Roman" w:hAnsi="Times New Roman" w:cs="Times New Roman"/>
                <w:color w:val="000000" w:themeColor="text1"/>
                <w:sz w:val="24"/>
                <w:szCs w:val="24"/>
                <w14:textFill>
                  <w14:solidFill>
                    <w14:schemeClr w14:val="tx1"/>
                  </w14:solidFill>
                </w14:textFill>
              </w:rPr>
              <w:t>处理</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喷漆</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水帘湿式漆雾净化</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循环</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水池</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废水经</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一体化生产废水处理站</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进行预处理，</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预</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处理后的</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生产</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废水和生活污水</w:t>
            </w:r>
            <w:r>
              <w:rPr>
                <w:rFonts w:hint="default" w:ascii="Times New Roman" w:hAnsi="Times New Roman" w:cs="Times New Roman"/>
                <w:color w:val="000000" w:themeColor="text1"/>
                <w:kern w:val="2"/>
                <w:sz w:val="24"/>
                <w:szCs w:val="24"/>
                <w:lang w:val="en-US" w:eastAsia="zh-CN" w:bidi="ar"/>
                <w14:textFill>
                  <w14:solidFill>
                    <w14:schemeClr w14:val="tx1"/>
                  </w14:solidFill>
                </w14:textFill>
              </w:rPr>
              <w:t>、水帘湿式漆雾净化废水</w:t>
            </w:r>
            <w:r>
              <w:rPr>
                <w:rFonts w:hint="default" w:ascii="Times New Roman" w:hAnsi="Times New Roman" w:eastAsia="宋体" w:cs="Times New Roman"/>
                <w:color w:val="000000" w:themeColor="text1"/>
                <w:kern w:val="2"/>
                <w:sz w:val="24"/>
                <w:szCs w:val="24"/>
                <w:lang w:val="en-US" w:eastAsia="zh-CN" w:bidi="ar"/>
                <w14:textFill>
                  <w14:solidFill>
                    <w14:schemeClr w14:val="tx1"/>
                  </w14:solidFill>
                </w14:textFill>
              </w:rPr>
              <w:t>一并依托已建生化池处理</w:t>
            </w:r>
            <w:r>
              <w:rPr>
                <w:rFonts w:hint="default" w:ascii="Times New Roman" w:hAnsi="Times New Roman" w:cs="Times New Roman"/>
                <w:color w:val="000000" w:themeColor="text1"/>
                <w:sz w:val="24"/>
                <w:szCs w:val="28"/>
                <w:lang w:val="en-US" w:eastAsia="zh-CN"/>
                <w14:textFill>
                  <w14:solidFill>
                    <w14:schemeClr w14:val="tx1"/>
                  </w14:solidFill>
                </w14:textFill>
              </w:rPr>
              <w:t>达</w:t>
            </w:r>
            <w:r>
              <w:rPr>
                <w:rFonts w:hint="default" w:ascii="Times New Roman" w:hAnsi="Times New Roman" w:cs="Times New Roman"/>
                <w:color w:val="000000" w:themeColor="text1"/>
                <w:sz w:val="24"/>
                <w:szCs w:val="24"/>
                <w14:textFill>
                  <w14:solidFill>
                    <w14:schemeClr w14:val="tx1"/>
                  </w14:solidFill>
                </w14:textFill>
              </w:rPr>
              <w:t>《污水综合排放标准》（GB8978-1996）三级标准后进入园区污水管网，</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再由青杠污水处理厂深度处理，COD、BOD</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、NH</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-N、TP达《地表水环境质量标准》（GB3838-2002）IV类标准，其余污染物达《城镇污水处理厂污染物排放标准》（GB18918-2002）一级A标准排入璧南河</w:t>
            </w:r>
            <w:r>
              <w:rPr>
                <w:rFonts w:hint="default" w:ascii="Times New Roman" w:hAnsi="Times New Roman" w:cs="Times New Roman"/>
                <w:color w:val="000000" w:themeColor="text1"/>
                <w:sz w:val="24"/>
                <w:szCs w:val="24"/>
                <w:highlight w:val="none"/>
                <w14:textFill>
                  <w14:solidFill>
                    <w14:schemeClr w14:val="tx1"/>
                  </w14:solidFill>
                </w14:textFill>
              </w:rPr>
              <w:t>。</w:t>
            </w:r>
          </w:p>
          <w:p w14:paraId="34CD273A">
            <w:pPr>
              <w:keepNext w:val="0"/>
              <w:keepLines w:val="0"/>
              <w:suppressLineNumbers w:val="0"/>
              <w:adjustRightInd w:val="0"/>
              <w:snapToGrid w:val="0"/>
              <w:spacing w:before="0" w:beforeAutospacing="0" w:after="0" w:afterAutospacing="0" w:line="360" w:lineRule="auto"/>
              <w:ind w:left="0" w:right="0"/>
              <w:rPr>
                <w:rFonts w:hint="default"/>
                <w:b/>
                <w:bCs/>
                <w:snapToGrid w:val="0"/>
                <w:color w:val="000000" w:themeColor="text1"/>
                <w:sz w:val="24"/>
                <w:szCs w:val="24"/>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9</w:t>
            </w:r>
            <w:r>
              <w:rPr>
                <w:rFonts w:hint="default"/>
                <w:b/>
                <w:bCs/>
                <w:color w:val="000000" w:themeColor="text1"/>
                <w:sz w:val="24"/>
                <w:szCs w:val="24"/>
                <w14:textFill>
                  <w14:solidFill>
                    <w14:schemeClr w14:val="tx1"/>
                  </w14:solidFill>
                </w14:textFill>
              </w:rPr>
              <w:t>、</w:t>
            </w:r>
            <w:r>
              <w:rPr>
                <w:rFonts w:hint="default"/>
                <w:b/>
                <w:bCs/>
                <w:snapToGrid w:val="0"/>
                <w:color w:val="000000" w:themeColor="text1"/>
                <w:sz w:val="24"/>
                <w:szCs w:val="24"/>
                <w14:textFill>
                  <w14:solidFill>
                    <w14:schemeClr w14:val="tx1"/>
                  </w14:solidFill>
                </w14:textFill>
              </w:rPr>
              <w:t>工作制度与劳动定员</w:t>
            </w:r>
          </w:p>
          <w:p w14:paraId="1F3A2614">
            <w:pPr>
              <w:pStyle w:val="11"/>
              <w:keepNext w:val="0"/>
              <w:keepLines w:val="0"/>
              <w:suppressLineNumbers w:val="0"/>
              <w:spacing w:before="0" w:beforeAutospacing="0" w:after="0" w:afterAutospacing="0"/>
              <w:ind w:left="0" w:right="0"/>
              <w:jc w:val="both"/>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总员工人数</w:t>
            </w:r>
            <w:r>
              <w:rPr>
                <w:rFonts w:hint="default"/>
                <w:color w:val="000000" w:themeColor="text1"/>
                <w:sz w:val="24"/>
                <w:szCs w:val="24"/>
                <w:lang w:val="en-US" w:eastAsia="zh-CN"/>
                <w14:textFill>
                  <w14:solidFill>
                    <w14:schemeClr w14:val="tx1"/>
                  </w14:solidFill>
                </w14:textFill>
              </w:rPr>
              <w:t>20</w:t>
            </w:r>
            <w:r>
              <w:rPr>
                <w:rFonts w:hint="default"/>
                <w:color w:val="000000" w:themeColor="text1"/>
                <w:sz w:val="24"/>
                <w:szCs w:val="24"/>
                <w14:textFill>
                  <w14:solidFill>
                    <w14:schemeClr w14:val="tx1"/>
                  </w14:solidFill>
                </w14:textFill>
              </w:rPr>
              <w:t>人；一班8h制，年工作</w:t>
            </w:r>
            <w:r>
              <w:rPr>
                <w:rFonts w:hint="default"/>
                <w:color w:val="000000" w:themeColor="text1"/>
                <w:sz w:val="24"/>
                <w:szCs w:val="24"/>
                <w:lang w:val="en-US" w:eastAsia="zh-CN"/>
                <w14:textFill>
                  <w14:solidFill>
                    <w14:schemeClr w14:val="tx1"/>
                  </w14:solidFill>
                </w14:textFill>
              </w:rPr>
              <w:t>300</w:t>
            </w:r>
            <w:r>
              <w:rPr>
                <w:rFonts w:hint="default"/>
                <w:color w:val="000000" w:themeColor="text1"/>
                <w:sz w:val="24"/>
                <w:szCs w:val="24"/>
                <w14:textFill>
                  <w14:solidFill>
                    <w14:schemeClr w14:val="tx1"/>
                  </w14:solidFill>
                </w14:textFill>
              </w:rPr>
              <w:t>天；</w:t>
            </w:r>
            <w:r>
              <w:rPr>
                <w:rFonts w:hint="default"/>
                <w:color w:val="000000" w:themeColor="text1"/>
                <w:sz w:val="24"/>
                <w:szCs w:val="24"/>
                <w:lang w:val="en-US" w:eastAsia="zh-CN"/>
                <w14:textFill>
                  <w14:solidFill>
                    <w14:schemeClr w14:val="tx1"/>
                  </w14:solidFill>
                </w14:textFill>
              </w:rPr>
              <w:t>不设食宿</w:t>
            </w:r>
            <w:r>
              <w:rPr>
                <w:rFonts w:hint="default"/>
                <w:color w:val="000000" w:themeColor="text1"/>
                <w:sz w:val="24"/>
                <w:szCs w:val="24"/>
                <w14:textFill>
                  <w14:solidFill>
                    <w14:schemeClr w14:val="tx1"/>
                  </w14:solidFill>
                </w14:textFill>
              </w:rPr>
              <w:t>。</w:t>
            </w:r>
          </w:p>
          <w:p w14:paraId="2753EE7C">
            <w:pPr>
              <w:keepNext w:val="0"/>
              <w:keepLines w:val="0"/>
              <w:suppressLineNumbers w:val="0"/>
              <w:adjustRightInd w:val="0"/>
              <w:snapToGrid w:val="0"/>
              <w:spacing w:before="0" w:beforeAutospacing="0" w:after="0" w:afterAutospacing="0" w:line="360" w:lineRule="auto"/>
              <w:ind w:left="0" w:right="0"/>
              <w:rPr>
                <w:rFonts w:hint="default"/>
                <w:b/>
                <w:bCs/>
                <w:snapToGrid w:val="0"/>
                <w:color w:val="000000" w:themeColor="text1"/>
                <w:sz w:val="24"/>
                <w:szCs w:val="24"/>
                <w14:textFill>
                  <w14:solidFill>
                    <w14:schemeClr w14:val="tx1"/>
                  </w14:solidFill>
                </w14:textFill>
              </w:rPr>
            </w:pPr>
            <w:r>
              <w:rPr>
                <w:rFonts w:hint="default"/>
                <w:b/>
                <w:bCs/>
                <w:snapToGrid w:val="0"/>
                <w:color w:val="000000" w:themeColor="text1"/>
                <w:sz w:val="24"/>
                <w:szCs w:val="24"/>
                <w:lang w:val="en-US" w:eastAsia="zh-CN"/>
                <w14:textFill>
                  <w14:solidFill>
                    <w14:schemeClr w14:val="tx1"/>
                  </w14:solidFill>
                </w14:textFill>
              </w:rPr>
              <w:t>10</w:t>
            </w:r>
            <w:r>
              <w:rPr>
                <w:rFonts w:hint="default"/>
                <w:b/>
                <w:bCs/>
                <w:snapToGrid w:val="0"/>
                <w:color w:val="000000" w:themeColor="text1"/>
                <w:sz w:val="24"/>
                <w:szCs w:val="24"/>
                <w14:textFill>
                  <w14:solidFill>
                    <w14:schemeClr w14:val="tx1"/>
                  </w14:solidFill>
                </w14:textFill>
              </w:rPr>
              <w:t>、平面布置</w:t>
            </w:r>
          </w:p>
          <w:p w14:paraId="6FCDF44E">
            <w:pPr>
              <w:pStyle w:val="12"/>
              <w:keepNext w:val="0"/>
              <w:keepLines w:val="0"/>
              <w:pageBreakBefore w:val="0"/>
              <w:widowControl w:val="0"/>
              <w:suppressLineNumbers w:val="0"/>
              <w:kinsoku/>
              <w:wordWrap/>
              <w:overflowPunct/>
              <w:topLinePunct w:val="0"/>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eastAsia="方正仿宋_GBK" w:cs="Times New Roman"/>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w:t>
            </w:r>
            <w:r>
              <w:rPr>
                <w:rFonts w:hint="default" w:ascii="Times New Roman" w:hAnsi="Times New Roman" w:cs="Times New Roman"/>
                <w:bCs/>
                <w:color w:val="000000" w:themeColor="text1"/>
                <w:sz w:val="24"/>
                <w:szCs w:val="24"/>
                <w14:textFill>
                  <w14:solidFill>
                    <w14:schemeClr w14:val="tx1"/>
                  </w14:solidFill>
                </w14:textFill>
              </w:rPr>
              <w:t>位于</w:t>
            </w:r>
            <w:r>
              <w:rPr>
                <w:rFonts w:hint="default" w:ascii="Times New Roman" w:hAnsi="Times New Roman" w:cs="Times New Roman"/>
                <w:bCs/>
                <w:color w:val="000000" w:themeColor="text1"/>
                <w:sz w:val="24"/>
                <w:szCs w:val="24"/>
                <w:lang w:eastAsia="zh-CN"/>
                <w14:textFill>
                  <w14:solidFill>
                    <w14:schemeClr w14:val="tx1"/>
                  </w14:solidFill>
                </w14:textFill>
              </w:rPr>
              <w:t>璧山高</w:t>
            </w:r>
            <w:r>
              <w:rPr>
                <w:rFonts w:hint="default" w:ascii="Times New Roman" w:hAnsi="Times New Roman" w:cs="Times New Roman"/>
                <w:b w:val="0"/>
                <w:bCs/>
                <w:color w:val="000000" w:themeColor="text1"/>
                <w:sz w:val="24"/>
                <w:szCs w:val="24"/>
                <w:lang w:eastAsia="zh-CN"/>
                <w14:textFill>
                  <w14:solidFill>
                    <w14:schemeClr w14:val="tx1"/>
                  </w14:solidFill>
                </w14:textFill>
              </w:rPr>
              <w:t>新</w:t>
            </w:r>
            <w:r>
              <w:rPr>
                <w:rFonts w:hint="default" w:ascii="Times New Roman" w:hAnsi="Times New Roman" w:eastAsia="宋体" w:cs="Times New Roman"/>
                <w:b w:val="0"/>
                <w:bCs/>
                <w:color w:val="000000" w:themeColor="text1"/>
                <w:sz w:val="24"/>
                <w:szCs w:val="24"/>
                <w:lang w:eastAsia="zh-CN"/>
                <w14:textFill>
                  <w14:solidFill>
                    <w14:schemeClr w14:val="tx1"/>
                  </w14:solidFill>
                </w14:textFill>
              </w:rPr>
              <w:t>技术产业开发区青杠-来凤组团</w:t>
            </w:r>
            <w:r>
              <w:rPr>
                <w:rFonts w:hint="default" w:ascii="Times New Roman" w:hAnsi="Times New Roman" w:eastAsia="宋体" w:cs="Times New Roman"/>
                <w:b w:val="0"/>
                <w:bCs/>
                <w:color w:val="000000" w:themeColor="text1"/>
                <w:sz w:val="24"/>
                <w:szCs w:val="24"/>
                <w14:textFill>
                  <w14:solidFill>
                    <w14:schemeClr w14:val="tx1"/>
                  </w14:solidFill>
                </w14:textFill>
              </w:rPr>
              <w:t>，利用现有厂房建设</w:t>
            </w:r>
            <w:r>
              <w:rPr>
                <w:rFonts w:hint="eastAsia" w:ascii="Times New Roman" w:hAnsi="Times New Roman" w:cs="Times New Roman"/>
                <w:b w:val="0"/>
                <w:bCs/>
                <w:color w:val="000000" w:themeColor="text1"/>
                <w:sz w:val="24"/>
                <w:szCs w:val="24"/>
                <w:lang w:eastAsia="zh-CN"/>
                <w14:textFill>
                  <w14:solidFill>
                    <w14:schemeClr w14:val="tx1"/>
                  </w14:solidFill>
                </w14:textFill>
              </w:rPr>
              <w:t>“重庆三秋禾科技有限公司年产350万件摩托车配件制造项目”</w:t>
            </w:r>
            <w:r>
              <w:rPr>
                <w:rFonts w:hint="default" w:ascii="Times New Roman" w:hAnsi="Times New Roman" w:eastAsia="宋体" w:cs="Times New Roman"/>
                <w:b w:val="0"/>
                <w:bCs/>
                <w:color w:val="000000" w:themeColor="text1"/>
                <w:sz w:val="24"/>
                <w:szCs w:val="24"/>
                <w14:textFill>
                  <w14:solidFill>
                    <w14:schemeClr w14:val="tx1"/>
                  </w14:solidFill>
                </w14:textFill>
              </w:rPr>
              <w:t>。</w:t>
            </w:r>
          </w:p>
          <w:p w14:paraId="37AA7E85">
            <w:pPr>
              <w:pStyle w:val="12"/>
              <w:keepNext w:val="0"/>
              <w:keepLines w:val="0"/>
              <w:pageBreakBefore w:val="0"/>
              <w:widowControl w:val="0"/>
              <w:suppressLineNumbers w:val="0"/>
              <w:kinsoku/>
              <w:wordWrap/>
              <w:overflowPunct/>
              <w:topLinePunct w:val="0"/>
              <w:bidi w:val="0"/>
              <w:adjustRightInd w:val="0"/>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厂房整体呈长方形，</w:t>
            </w:r>
            <w:r>
              <w:rPr>
                <w:rFonts w:hint="eastAsia" w:ascii="Times New Roman" w:hAnsi="Times New Roman" w:cs="Times New Roman"/>
                <w:color w:val="000000" w:themeColor="text1"/>
                <w:sz w:val="24"/>
                <w:szCs w:val="24"/>
                <w:lang w:val="en-US" w:eastAsia="zh-CN"/>
                <w14:textFill>
                  <w14:solidFill>
                    <w14:schemeClr w14:val="tx1"/>
                  </w14:solidFill>
                </w14:textFill>
              </w:rPr>
              <w:t>本项目主要工程位于2F，部分设施位于2F楼顶</w:t>
            </w:r>
            <w:r>
              <w:rPr>
                <w:rFonts w:hint="default" w:ascii="Times New Roman" w:hAnsi="Times New Roman" w:cs="Times New Roman"/>
                <w:color w:val="000000" w:themeColor="text1"/>
                <w:sz w:val="24"/>
                <w:szCs w:val="24"/>
                <w:lang w:val="en-US" w:eastAsia="zh-CN"/>
                <w14:textFill>
                  <w14:solidFill>
                    <w14:schemeClr w14:val="tx1"/>
                  </w14:solidFill>
                </w14:textFill>
              </w:rPr>
              <w:t>。项目厂房2F整体</w:t>
            </w:r>
            <w:r>
              <w:rPr>
                <w:rFonts w:hint="eastAsia" w:ascii="Times New Roman" w:hAnsi="Times New Roman" w:cs="Times New Roman"/>
                <w:color w:val="000000" w:themeColor="text1"/>
                <w:sz w:val="24"/>
                <w:szCs w:val="24"/>
                <w:lang w:val="en-US" w:eastAsia="zh-CN"/>
                <w14:textFill>
                  <w14:solidFill>
                    <w14:schemeClr w14:val="tx1"/>
                  </w14:solidFill>
                </w14:textFill>
              </w:rPr>
              <w:t>布局</w:t>
            </w:r>
            <w:r>
              <w:rPr>
                <w:rFonts w:hint="default" w:ascii="Times New Roman" w:hAnsi="Times New Roman" w:cs="Times New Roman"/>
                <w:color w:val="000000" w:themeColor="text1"/>
                <w:sz w:val="24"/>
                <w:szCs w:val="24"/>
                <w:lang w:val="en-US" w:eastAsia="zh-CN"/>
                <w14:textFill>
                  <w14:solidFill>
                    <w14:schemeClr w14:val="tx1"/>
                  </w14:solidFill>
                </w14:textFill>
              </w:rPr>
              <w:t>为南北对称，南北侧各布置一条生产线。主要生产区布置为：2F厂房中部为打磨区、喷涂区、烘干区、贴花区和贴花库房；东侧为除尘上件区；西侧为表干下件区、物流通道和办公室；南北侧各设置一个检验抛光区、毛坯件堆放区；东北侧设置一个水性漆库房；东南侧设置一个</w:t>
            </w:r>
            <w:r>
              <w:rPr>
                <w:rFonts w:hint="eastAsia" w:ascii="Times New Roman" w:hAnsi="Times New Roman" w:cs="Times New Roman"/>
                <w:color w:val="000000" w:themeColor="text1"/>
                <w:sz w:val="24"/>
                <w:szCs w:val="24"/>
                <w:lang w:val="en-US" w:eastAsia="zh-CN"/>
                <w14:textFill>
                  <w14:solidFill>
                    <w14:schemeClr w14:val="tx1"/>
                  </w14:solidFill>
                </w14:textFill>
              </w:rPr>
              <w:t>一般固废暂存间</w:t>
            </w:r>
            <w:r>
              <w:rPr>
                <w:rFonts w:hint="default" w:ascii="Times New Roman" w:hAnsi="Times New Roman" w:cs="Times New Roman"/>
                <w:color w:val="000000" w:themeColor="text1"/>
                <w:sz w:val="24"/>
                <w:szCs w:val="24"/>
                <w:lang w:val="en-US" w:eastAsia="zh-CN"/>
                <w14:textFill>
                  <w14:solidFill>
                    <w14:schemeClr w14:val="tx1"/>
                  </w14:solidFill>
                </w14:textFill>
              </w:rPr>
              <w:t>和危废贮存库；西北侧和西南侧各设置一个成品、半成品堆放区。</w:t>
            </w:r>
            <w:r>
              <w:rPr>
                <w:rFonts w:hint="eastAsia" w:ascii="Times New Roman" w:hAnsi="Times New Roman" w:cs="Times New Roman"/>
                <w:color w:val="000000" w:themeColor="text1"/>
                <w:sz w:val="24"/>
                <w:szCs w:val="24"/>
                <w:lang w:val="en-US" w:eastAsia="zh-CN"/>
                <w14:textFill>
                  <w14:solidFill>
                    <w14:schemeClr w14:val="tx1"/>
                  </w14:solidFill>
                </w14:textFill>
              </w:rPr>
              <w:t>2F楼顶北侧布置有高分子过滤盒装置、过滤棉+二级活性炭吸附装置、</w:t>
            </w:r>
            <w:r>
              <w:rPr>
                <w:rFonts w:hint="eastAsia" w:ascii="Times New Roman" w:hAnsi="Times New Roman" w:cs="Times New Roman"/>
                <w:color w:val="000000" w:themeColor="text1"/>
                <w:sz w:val="24"/>
                <w:szCs w:val="24"/>
                <w:lang w:val="en-US"/>
                <w14:textFill>
                  <w14:solidFill>
                    <w14:schemeClr w14:val="tx1"/>
                  </w14:solidFill>
                </w14:textFill>
              </w:rPr>
              <w:t>一体化生产废水处理站</w:t>
            </w:r>
            <w:r>
              <w:rPr>
                <w:rFonts w:hint="eastAsia" w:ascii="Times New Roman" w:hAnsi="Times New Roman" w:cs="Times New Roman"/>
                <w:color w:val="000000" w:themeColor="text1"/>
                <w:sz w:val="24"/>
                <w:szCs w:val="24"/>
                <w:lang w:val="en-US" w:eastAsia="zh-CN"/>
                <w14:textFill>
                  <w14:solidFill>
                    <w14:schemeClr w14:val="tx1"/>
                  </w14:solidFill>
                </w14:textFill>
              </w:rPr>
              <w:t>。</w:t>
            </w:r>
          </w:p>
          <w:p w14:paraId="45C08981">
            <w:pPr>
              <w:keepNext w:val="0"/>
              <w:keepLines w:val="0"/>
              <w:suppressLineNumbers w:val="0"/>
              <w:adjustRightInd w:val="0"/>
              <w:snapToGrid w:val="0"/>
              <w:spacing w:before="0" w:beforeAutospacing="0" w:after="0" w:afterAutospacing="0" w:line="360" w:lineRule="auto"/>
              <w:ind w:left="0" w:leftChars="0" w:right="0" w:rightChars="0" w:firstLine="480" w:firstLineChars="200"/>
              <w:rPr>
                <w:rFonts w:hint="default"/>
                <w:b w:val="0"/>
                <w:bCs w:val="0"/>
                <w:color w:val="000000" w:themeColor="text1"/>
                <w:sz w:val="24"/>
                <w:szCs w:val="24"/>
                <w:lang w:val="en-US" w:eastAsia="zh-CN"/>
                <w14:textFill>
                  <w14:solidFill>
                    <w14:schemeClr w14:val="tx1"/>
                  </w14:solidFill>
                </w14:textFill>
              </w:rPr>
            </w:pPr>
            <w:r>
              <w:rPr>
                <w:rFonts w:hint="default"/>
                <w:color w:val="000000" w:themeColor="text1"/>
                <w:sz w:val="24"/>
                <w:szCs w:val="24"/>
                <w14:textFill>
                  <w14:solidFill>
                    <w14:schemeClr w14:val="tx1"/>
                  </w14:solidFill>
                </w14:textFill>
              </w:rPr>
              <w:t>本</w:t>
            </w:r>
            <w:r>
              <w:rPr>
                <w:rFonts w:hint="default"/>
                <w:color w:val="000000" w:themeColor="text1"/>
                <w:sz w:val="24"/>
                <w:szCs w:val="24"/>
                <w:highlight w:val="none"/>
                <w14:textFill>
                  <w14:solidFill>
                    <w14:schemeClr w14:val="tx1"/>
                  </w14:solidFill>
                </w14:textFill>
              </w:rPr>
              <w:t>项目平面布置图见附图</w:t>
            </w:r>
            <w:r>
              <w:rPr>
                <w:rFonts w:hint="default"/>
                <w:color w:val="000000" w:themeColor="text1"/>
                <w:sz w:val="24"/>
                <w:szCs w:val="24"/>
                <w:highlight w:val="none"/>
                <w:lang w:val="en-US" w:eastAsia="zh-CN"/>
                <w14:textFill>
                  <w14:solidFill>
                    <w14:schemeClr w14:val="tx1"/>
                  </w14:solidFill>
                </w14:textFill>
              </w:rPr>
              <w:t>2</w:t>
            </w:r>
            <w:r>
              <w:rPr>
                <w:rFonts w:hint="default"/>
                <w:color w:val="000000" w:themeColor="text1"/>
                <w:sz w:val="24"/>
                <w:szCs w:val="24"/>
                <w:highlight w:val="none"/>
                <w14:textFill>
                  <w14:solidFill>
                    <w14:schemeClr w14:val="tx1"/>
                  </w14:solidFill>
                </w14:textFill>
              </w:rPr>
              <w:t>。</w:t>
            </w:r>
          </w:p>
        </w:tc>
      </w:tr>
      <w:tr w14:paraId="197152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2" w:type="dxa"/>
            <w:shd w:val="clear" w:color="auto" w:fill="auto"/>
            <w:vAlign w:val="center"/>
          </w:tcPr>
          <w:p w14:paraId="18B53356">
            <w:pPr>
              <w:pStyle w:val="1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color w:val="000000" w:themeColor="text1"/>
                <w:sz w:val="24"/>
                <w:szCs w:val="24"/>
                <w14:textFill>
                  <w14:solidFill>
                    <w14:schemeClr w14:val="tx1"/>
                  </w14:solidFill>
                </w14:textFill>
              </w:rPr>
              <w:t>工艺流程和产排污环节</w:t>
            </w:r>
          </w:p>
        </w:tc>
        <w:tc>
          <w:tcPr>
            <w:tcW w:w="8659" w:type="dxa"/>
            <w:gridSpan w:val="2"/>
            <w:shd w:val="clear" w:color="auto" w:fill="auto"/>
            <w:vAlign w:val="top"/>
          </w:tcPr>
          <w:p w14:paraId="622927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default"/>
                <w:b/>
                <w:bCs/>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1、施工期产排污分析</w:t>
            </w:r>
          </w:p>
          <w:p w14:paraId="43FF725C">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本项目利用已建厂房，厂房及其配套的给水、排水、供电等辅助设施均已齐备并能正常使用，施工期主要是进行设备的安装及调试。施工期施工人员不在场地内食宿，施工期环境影响主要是设备安装过程中产生的噪声和废弃的设备包装材料等。项目施工期对环境的影响小而且是短暂的，随着工程竣工环境影响也随之消除。因此，本次评价主要对营运期产排污进行分析。</w:t>
            </w:r>
          </w:p>
          <w:p w14:paraId="0138591F">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textAlignment w:val="auto"/>
              <w:rPr>
                <w:rFonts w:hint="default"/>
                <w:b/>
                <w:bCs/>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2、营运期产排污分析</w:t>
            </w:r>
          </w:p>
          <w:p w14:paraId="698B92DA">
            <w:pPr>
              <w:keepNext w:val="0"/>
              <w:keepLines w:val="0"/>
              <w:pageBreakBefore w:val="0"/>
              <w:widowControl w:val="0"/>
              <w:suppressLineNumbers w:val="0"/>
              <w:tabs>
                <w:tab w:val="left" w:pos="3569"/>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eastAsia="宋体"/>
                <w:b/>
                <w:bCs/>
                <w:color w:val="000000" w:themeColor="text1"/>
                <w:sz w:val="24"/>
                <w:szCs w:val="24"/>
                <w:lang w:eastAsia="zh-CN"/>
                <w14:textFill>
                  <w14:solidFill>
                    <w14:schemeClr w14:val="tx1"/>
                  </w14:solidFill>
                </w14:textFill>
              </w:rPr>
            </w:pPr>
            <w:r>
              <w:rPr>
                <w:rFonts w:hint="default"/>
                <w:color w:val="000000" w:themeColor="text1"/>
                <w:kern w:val="0"/>
                <w:sz w:val="24"/>
                <w:szCs w:val="24"/>
                <w14:textFill>
                  <w14:solidFill>
                    <w14:schemeClr w14:val="tx1"/>
                  </w14:solidFill>
                </w14:textFill>
              </w:rPr>
              <w:t>本项目营运期产品为</w:t>
            </w:r>
            <w:r>
              <w:rPr>
                <w:rFonts w:hint="default"/>
                <w:color w:val="000000" w:themeColor="text1"/>
                <w:kern w:val="0"/>
                <w:sz w:val="24"/>
                <w:szCs w:val="24"/>
                <w:lang w:val="en-US" w:eastAsia="zh-CN"/>
                <w14:textFill>
                  <w14:solidFill>
                    <w14:schemeClr w14:val="tx1"/>
                  </w14:solidFill>
                </w14:textFill>
              </w:rPr>
              <w:t>摩托车配件（尾盖、灯壳）</w:t>
            </w:r>
            <w:r>
              <w:rPr>
                <w:rFonts w:hint="default"/>
                <w:color w:val="000000" w:themeColor="text1"/>
                <w:kern w:val="0"/>
                <w:sz w:val="24"/>
                <w:szCs w:val="24"/>
                <w14:textFill>
                  <w14:solidFill>
                    <w14:schemeClr w14:val="tx1"/>
                  </w14:solidFill>
                </w14:textFill>
              </w:rPr>
              <w:t>，</w:t>
            </w:r>
            <w:r>
              <w:rPr>
                <w:rFonts w:hint="default"/>
                <w:color w:val="000000" w:themeColor="text1"/>
                <w:kern w:val="0"/>
                <w:sz w:val="24"/>
                <w:szCs w:val="24"/>
                <w:lang w:val="en-US" w:eastAsia="zh-CN"/>
                <w14:textFill>
                  <w14:solidFill>
                    <w14:schemeClr w14:val="tx1"/>
                  </w14:solidFill>
                </w14:textFill>
              </w:rPr>
              <w:t>生产线1#、生产线2#工艺一致，同时生产，因此只描述一条生产线的工艺流程，项目产品灯壳需要贴花，尾盖不需要</w:t>
            </w:r>
            <w:r>
              <w:rPr>
                <w:rFonts w:hint="default"/>
                <w:color w:val="000000" w:themeColor="text1"/>
                <w:kern w:val="0"/>
                <w:sz w:val="24"/>
                <w:szCs w:val="24"/>
                <w14:textFill>
                  <w14:solidFill>
                    <w14:schemeClr w14:val="tx1"/>
                  </w14:solidFill>
                </w14:textFill>
              </w:rPr>
              <w:t>，生产工艺流程介绍如下：</w:t>
            </w:r>
          </w:p>
          <w:p w14:paraId="1A22E372">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right="0"/>
              <w:jc w:val="center"/>
              <w:textAlignment w:val="auto"/>
              <w:rPr>
                <w:rFonts w:hint="default" w:eastAsia="宋体"/>
                <w:b/>
                <w:bCs/>
                <w:color w:val="000000" w:themeColor="text1"/>
                <w:sz w:val="24"/>
                <w:szCs w:val="24"/>
                <w:lang w:val="en-US" w:eastAsia="zh-CN"/>
                <w14:textFill>
                  <w14:solidFill>
                    <w14:schemeClr w14:val="tx1"/>
                  </w14:solidFill>
                </w14:textFill>
              </w:rPr>
            </w:pPr>
            <w:r>
              <w:rPr>
                <w:rFonts w:hint="default"/>
                <w:b/>
                <w:color w:val="000000" w:themeColor="text1"/>
                <w:sz w:val="24"/>
                <w14:textFill>
                  <w14:solidFill>
                    <w14:schemeClr w14:val="tx1"/>
                  </w14:solidFill>
                </w14:textFill>
              </w:rPr>
              <w:object>
                <v:shape id="_x0000_i1028" o:spt="75" type="#_x0000_t75" style="height:303.8pt;width:442.15pt;" o:ole="t" filled="f" o:preferrelative="t" stroked="f" coordsize="21600,21600">
                  <v:path/>
                  <v:fill on="f" focussize="0,0"/>
                  <v:stroke on="f"/>
                  <v:imagedata r:id="rId24" o:title=""/>
                  <o:lock v:ext="edit" aspectratio="t"/>
                  <w10:wrap type="none"/>
                  <w10:anchorlock/>
                </v:shape>
                <o:OLEObject Type="Embed" ProgID="Visio.Drawing.11" ShapeID="_x0000_i1028" DrawAspect="Content" ObjectID="_1468075728" r:id="rId23">
                  <o:LockedField>false</o:LockedField>
                </o:OLEObject>
              </w:object>
            </w:r>
            <w:r>
              <w:rPr>
                <w:rFonts w:hint="default"/>
                <w:b/>
                <w:bCs/>
                <w:color w:val="000000" w:themeColor="text1"/>
                <w:sz w:val="24"/>
                <w:szCs w:val="24"/>
                <w:lang w:val="en-US" w:eastAsia="zh-CN"/>
                <w14:textFill>
                  <w14:solidFill>
                    <w14:schemeClr w14:val="tx1"/>
                  </w14:solidFill>
                </w14:textFill>
              </w:rPr>
              <w:t>图2-5 项目生产工艺流程及产污节点图</w:t>
            </w:r>
          </w:p>
          <w:p w14:paraId="168DCC98">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right="0"/>
              <w:textAlignment w:val="auto"/>
              <w:rPr>
                <w:rFonts w:hint="default"/>
                <w:b/>
                <w:bCs/>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生产工艺流程简述：</w:t>
            </w:r>
          </w:p>
          <w:p w14:paraId="3814FA3E">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调漆：</w:t>
            </w:r>
            <w:r>
              <w:rPr>
                <w:rFonts w:hint="eastAsia"/>
                <w:b w:val="0"/>
                <w:bCs w:val="0"/>
                <w:color w:val="000000" w:themeColor="text1"/>
                <w:sz w:val="24"/>
                <w:szCs w:val="24"/>
                <w:lang w:val="en-US" w:eastAsia="zh-CN"/>
                <w14:textFill>
                  <w14:solidFill>
                    <w14:schemeClr w14:val="tx1"/>
                  </w14:solidFill>
                </w14:textFill>
              </w:rPr>
              <w:t>项目在备漆间，将洗枪废水与水性漆原料按照比例搅拌混合，形成施工漆，通过供漆系统经管道输送到喷漆工位进行喷涂。</w:t>
            </w:r>
            <w:r>
              <w:rPr>
                <w:rFonts w:hint="default"/>
                <w:b w:val="0"/>
                <w:bCs w:val="0"/>
                <w:color w:val="000000" w:themeColor="text1"/>
                <w:sz w:val="24"/>
                <w:szCs w:val="24"/>
                <w:lang w:val="en-US" w:eastAsia="zh-CN"/>
                <w14:textFill>
                  <w14:solidFill>
                    <w14:schemeClr w14:val="tx1"/>
                  </w14:solidFill>
                </w14:textFill>
              </w:rPr>
              <w:t>此过程会产生废水性漆桶S3、噪声N</w:t>
            </w:r>
            <w:r>
              <w:rPr>
                <w:rFonts w:hint="eastAsia"/>
                <w:b w:val="0"/>
                <w:bCs w:val="0"/>
                <w:color w:val="000000" w:themeColor="text1"/>
                <w:sz w:val="24"/>
                <w:szCs w:val="24"/>
                <w:lang w:val="en-US" w:eastAsia="zh-CN"/>
                <w14:textFill>
                  <w14:solidFill>
                    <w14:schemeClr w14:val="tx1"/>
                  </w14:solidFill>
                </w14:textFill>
              </w:rPr>
              <w:t>、调漆废气G9</w:t>
            </w:r>
            <w:r>
              <w:rPr>
                <w:rFonts w:hint="default"/>
                <w:b w:val="0"/>
                <w:bCs w:val="0"/>
                <w:color w:val="000000" w:themeColor="text1"/>
                <w:sz w:val="24"/>
                <w:szCs w:val="24"/>
                <w:lang w:val="en-US" w:eastAsia="zh-CN"/>
                <w14:textFill>
                  <w14:solidFill>
                    <w14:schemeClr w14:val="tx1"/>
                  </w14:solidFill>
                </w14:textFill>
              </w:rPr>
              <w:t>。</w:t>
            </w:r>
          </w:p>
          <w:p w14:paraId="1401B8AE">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打磨</w:t>
            </w:r>
            <w:r>
              <w:rPr>
                <w:rFonts w:hint="default"/>
                <w:b/>
                <w:bCs/>
                <w:color w:val="000000" w:themeColor="text1"/>
                <w:sz w:val="24"/>
                <w:szCs w:val="24"/>
                <w14:textFill>
                  <w14:solidFill>
                    <w14:schemeClr w14:val="tx1"/>
                  </w14:solidFill>
                </w14:textFill>
              </w:rPr>
              <w:t>：</w:t>
            </w:r>
            <w:r>
              <w:rPr>
                <w:rFonts w:hint="default"/>
                <w:b w:val="0"/>
                <w:bCs w:val="0"/>
                <w:color w:val="000000" w:themeColor="text1"/>
                <w:sz w:val="24"/>
                <w:szCs w:val="24"/>
                <w:lang w:val="en-US" w:eastAsia="zh-CN"/>
                <w14:textFill>
                  <w14:solidFill>
                    <w14:schemeClr w14:val="tx1"/>
                  </w14:solidFill>
                </w14:textFill>
              </w:rPr>
              <w:t>外购毛坯件表面存在毛刺，使用砂纸手工对毛刺部位进行打磨，此过程会产生打磨废气G1、废砂纸S1、噪声N。</w:t>
            </w:r>
          </w:p>
          <w:p w14:paraId="7E8EE117">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除尘：</w:t>
            </w:r>
            <w:r>
              <w:rPr>
                <w:rFonts w:hint="default"/>
                <w:b w:val="0"/>
                <w:bCs w:val="0"/>
                <w:color w:val="000000" w:themeColor="text1"/>
                <w:sz w:val="24"/>
                <w:szCs w:val="24"/>
                <w:lang w:val="en-US" w:eastAsia="zh-CN"/>
                <w14:textFill>
                  <w14:solidFill>
                    <w14:schemeClr w14:val="tx1"/>
                  </w14:solidFill>
                </w14:textFill>
              </w:rPr>
              <w:t>为了确保工件的洁净度，在喷涂前需对打磨后的工件进行除尘，采用手动除尘方式，对凹槽、边角处存留的灰尘、纤维采用静电</w:t>
            </w:r>
            <w:r>
              <w:rPr>
                <w:rFonts w:hint="eastAsia"/>
                <w:b w:val="0"/>
                <w:bCs w:val="0"/>
                <w:color w:val="000000" w:themeColor="text1"/>
                <w:sz w:val="24"/>
                <w:szCs w:val="24"/>
                <w:lang w:val="en-US" w:eastAsia="zh-CN"/>
                <w14:textFill>
                  <w14:solidFill>
                    <w14:schemeClr w14:val="tx1"/>
                  </w14:solidFill>
                </w14:textFill>
              </w:rPr>
              <w:t>除尘</w:t>
            </w:r>
            <w:r>
              <w:rPr>
                <w:rFonts w:hint="default"/>
                <w:b w:val="0"/>
                <w:bCs w:val="0"/>
                <w:color w:val="000000" w:themeColor="text1"/>
                <w:sz w:val="24"/>
                <w:szCs w:val="24"/>
                <w:lang w:val="en-US" w:eastAsia="zh-CN"/>
                <w14:textFill>
                  <w14:solidFill>
                    <w14:schemeClr w14:val="tx1"/>
                  </w14:solidFill>
                </w14:textFill>
              </w:rPr>
              <w:t>枪进行吹扫，去除工件表面尘埃。此过程会产生除尘废气G2、噪声N。</w:t>
            </w:r>
          </w:p>
          <w:p w14:paraId="65BD07A5">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喷底漆：</w:t>
            </w:r>
            <w:r>
              <w:rPr>
                <w:rFonts w:hint="default"/>
                <w:b w:val="0"/>
                <w:bCs w:val="0"/>
                <w:color w:val="000000" w:themeColor="text1"/>
                <w:sz w:val="24"/>
                <w:szCs w:val="24"/>
                <w:lang w:val="en-US" w:eastAsia="zh-CN"/>
                <w14:textFill>
                  <w14:solidFill>
                    <w14:schemeClr w14:val="tx1"/>
                  </w14:solidFill>
                </w14:textFill>
              </w:rPr>
              <w:t>除尘后的工件使用传送带传送至喷漆工位，人工对工件表面喷底漆，未附着在工件表面的涂料形成喷漆废气（漆雾、挥发性有机物）在负压作用下进入废气处理系统。单批次喷底漆时长为</w:t>
            </w:r>
            <w:r>
              <w:rPr>
                <w:rFonts w:hint="eastAsia"/>
                <w:b w:val="0"/>
                <w:bCs w:val="0"/>
                <w:color w:val="000000" w:themeColor="text1"/>
                <w:sz w:val="24"/>
                <w:szCs w:val="24"/>
                <w:lang w:val="en-US" w:eastAsia="zh-CN"/>
                <w14:textFill>
                  <w14:solidFill>
                    <w14:schemeClr w14:val="tx1"/>
                  </w14:solidFill>
                </w14:textFill>
              </w:rPr>
              <w:t>20</w:t>
            </w:r>
            <w:r>
              <w:rPr>
                <w:rFonts w:hint="default"/>
                <w:b w:val="0"/>
                <w:bCs w:val="0"/>
                <w:color w:val="000000" w:themeColor="text1"/>
                <w:sz w:val="24"/>
                <w:szCs w:val="24"/>
                <w:lang w:val="en-US" w:eastAsia="zh-CN"/>
                <w14:textFill>
                  <w14:solidFill>
                    <w14:schemeClr w14:val="tx1"/>
                  </w14:solidFill>
                </w14:textFill>
              </w:rPr>
              <w:t>min。此过程会产生喷漆废气G3、</w:t>
            </w:r>
            <w:r>
              <w:rPr>
                <w:rFonts w:hint="eastAsia"/>
                <w:b w:val="0"/>
                <w:bCs w:val="0"/>
                <w:color w:val="000000" w:themeColor="text1"/>
                <w:sz w:val="24"/>
                <w:szCs w:val="24"/>
                <w:lang w:val="en-US" w:eastAsia="zh-CN"/>
                <w14:textFill>
                  <w14:solidFill>
                    <w14:schemeClr w14:val="tx1"/>
                  </w14:solidFill>
                </w14:textFill>
              </w:rPr>
              <w:t>废水性漆S2、</w:t>
            </w:r>
            <w:r>
              <w:rPr>
                <w:rFonts w:hint="default"/>
                <w:b w:val="0"/>
                <w:bCs w:val="0"/>
                <w:color w:val="000000" w:themeColor="text1"/>
                <w:sz w:val="24"/>
                <w:szCs w:val="24"/>
                <w:lang w:val="en-US" w:eastAsia="zh-CN"/>
                <w14:textFill>
                  <w14:solidFill>
                    <w14:schemeClr w14:val="tx1"/>
                  </w14:solidFill>
                </w14:textFill>
              </w:rPr>
              <w:t>噪声N。</w:t>
            </w:r>
          </w:p>
          <w:p w14:paraId="302D63AA">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val="0"/>
                <w:bCs w:val="0"/>
                <w:color w:val="000000" w:themeColor="text1"/>
                <w:sz w:val="24"/>
                <w:szCs w:val="24"/>
                <w:lang w:val="en-US" w:eastAsia="zh-CN"/>
                <w14:textFill>
                  <w14:solidFill>
                    <w14:schemeClr w14:val="tx1"/>
                  </w14:solidFill>
                </w14:textFill>
              </w:rPr>
              <w:t>喷漆生产线整体密闭，室内负压抽风收集产生的有机废气，废气经风机引入废气处理设施进行进一步处理。废气处理采取</w:t>
            </w:r>
            <w:r>
              <w:rPr>
                <w:rFonts w:hint="eastAsia"/>
                <w:b w:val="0"/>
                <w:bCs w:val="0"/>
                <w:color w:val="000000" w:themeColor="text1"/>
                <w:sz w:val="24"/>
                <w:szCs w:val="24"/>
                <w:lang w:val="en-US" w:eastAsia="zh-CN"/>
                <w14:textFill>
                  <w14:solidFill>
                    <w14:schemeClr w14:val="tx1"/>
                  </w14:solidFill>
                </w14:textFill>
              </w:rPr>
              <w:t>“</w:t>
            </w:r>
            <w:r>
              <w:rPr>
                <w:rFonts w:hint="default"/>
                <w:b w:val="0"/>
                <w:bCs w:val="0"/>
                <w:color w:val="000000" w:themeColor="text1"/>
                <w:sz w:val="24"/>
                <w:szCs w:val="24"/>
                <w:lang w:val="en-US" w:eastAsia="zh-CN"/>
                <w14:textFill>
                  <w14:solidFill>
                    <w14:schemeClr w14:val="tx1"/>
                  </w14:solidFill>
                </w14:textFill>
              </w:rPr>
              <w:t>水帘湿式漆雾净化</w:t>
            </w:r>
            <w:r>
              <w:rPr>
                <w:rFonts w:hint="default"/>
                <w:b w:val="0"/>
                <w:bCs w:val="0"/>
                <w:color w:val="000000" w:themeColor="text1"/>
                <w:sz w:val="24"/>
                <w:szCs w:val="24"/>
                <w:highlight w:val="none"/>
                <w:lang w:val="en-US" w:eastAsia="zh-CN"/>
                <w14:textFill>
                  <w14:solidFill>
                    <w14:schemeClr w14:val="tx1"/>
                  </w14:solidFill>
                </w14:textFill>
              </w:rPr>
              <w:t>+</w:t>
            </w:r>
            <w:r>
              <w:rPr>
                <w:rFonts w:hint="eastAsia"/>
                <w:b w:val="0"/>
                <w:bCs w:val="0"/>
                <w:color w:val="000000" w:themeColor="text1"/>
                <w:sz w:val="24"/>
                <w:szCs w:val="24"/>
                <w:highlight w:val="none"/>
                <w:lang w:val="en-US" w:eastAsia="zh-CN"/>
                <w14:textFill>
                  <w14:solidFill>
                    <w14:schemeClr w14:val="tx1"/>
                  </w14:solidFill>
                </w14:textFill>
              </w:rPr>
              <w:t>高分子过滤盒</w:t>
            </w:r>
            <w:r>
              <w:rPr>
                <w:rFonts w:hint="default"/>
                <w:b w:val="0"/>
                <w:bCs w:val="0"/>
                <w:color w:val="000000" w:themeColor="text1"/>
                <w:sz w:val="24"/>
                <w:szCs w:val="24"/>
                <w:highlight w:val="none"/>
                <w:lang w:val="en-US" w:eastAsia="zh-CN"/>
                <w14:textFill>
                  <w14:solidFill>
                    <w14:schemeClr w14:val="tx1"/>
                  </w14:solidFill>
                </w14:textFill>
              </w:rPr>
              <w:t>+</w:t>
            </w:r>
            <w:r>
              <w:rPr>
                <w:rFonts w:hint="default"/>
                <w:b w:val="0"/>
                <w:bCs w:val="0"/>
                <w:color w:val="000000" w:themeColor="text1"/>
                <w:sz w:val="24"/>
                <w:szCs w:val="24"/>
                <w:lang w:val="en-US" w:eastAsia="zh-CN"/>
                <w14:textFill>
                  <w14:solidFill>
                    <w14:schemeClr w14:val="tx1"/>
                  </w14:solidFill>
                </w14:textFill>
              </w:rPr>
              <w:t>干式过滤棉+二级活性炭</w:t>
            </w:r>
            <w:r>
              <w:rPr>
                <w:rFonts w:hint="eastAsia"/>
                <w:b w:val="0"/>
                <w:bCs w:val="0"/>
                <w:color w:val="000000" w:themeColor="text1"/>
                <w:sz w:val="24"/>
                <w:szCs w:val="24"/>
                <w:lang w:val="en-US" w:eastAsia="zh-CN"/>
                <w14:textFill>
                  <w14:solidFill>
                    <w14:schemeClr w14:val="tx1"/>
                  </w14:solidFill>
                </w14:textFill>
              </w:rPr>
              <w:t>”</w:t>
            </w:r>
            <w:r>
              <w:rPr>
                <w:rFonts w:hint="default"/>
                <w:b w:val="0"/>
                <w:bCs w:val="0"/>
                <w:color w:val="000000" w:themeColor="text1"/>
                <w:sz w:val="24"/>
                <w:szCs w:val="24"/>
                <w:lang w:val="en-US" w:eastAsia="zh-CN"/>
                <w14:textFill>
                  <w14:solidFill>
                    <w14:schemeClr w14:val="tx1"/>
                  </w14:solidFill>
                </w14:textFill>
              </w:rPr>
              <w:t>方式，进一步去除废气中有机废气。一体化生产废水处理站漆渣S4、废气处理过程产生废过滤棉S5、喷漆水帘循环废水W1、废活性炭S6、废高分子过滤棉S7、噪声N。</w:t>
            </w:r>
          </w:p>
          <w:p w14:paraId="76E70ACA">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val="0"/>
                <w:bCs w:val="0"/>
                <w:color w:val="000000" w:themeColor="text1"/>
                <w:sz w:val="24"/>
                <w:szCs w:val="24"/>
                <w:lang w:val="en-US" w:eastAsia="zh-CN"/>
                <w14:textFill>
                  <w14:solidFill>
                    <w14:schemeClr w14:val="tx1"/>
                  </w14:solidFill>
                </w14:textFill>
              </w:rPr>
              <w:t>喷枪用水进行清洗，清洗方式为人工洗枪。洗枪将产生洗枪废水W2。</w:t>
            </w:r>
          </w:p>
          <w:p w14:paraId="39E24714">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流平固化：</w:t>
            </w:r>
            <w:r>
              <w:rPr>
                <w:rFonts w:hint="default"/>
                <w:b w:val="0"/>
                <w:bCs w:val="0"/>
                <w:color w:val="000000" w:themeColor="text1"/>
                <w:sz w:val="24"/>
                <w:szCs w:val="24"/>
                <w:lang w:val="en-US" w:eastAsia="zh-CN"/>
                <w14:textFill>
                  <w14:solidFill>
                    <w14:schemeClr w14:val="tx1"/>
                  </w14:solidFill>
                </w14:textFill>
              </w:rPr>
              <w:t>喷底漆后的工件通过传送带传送至表干下件室进行流平固化工序。人工将传送带上的工件转移至烘架，等待流平固化后转移至烘箱烘干。单批次</w:t>
            </w:r>
            <w:r>
              <w:rPr>
                <w:rFonts w:hint="eastAsia"/>
                <w:b w:val="0"/>
                <w:bCs w:val="0"/>
                <w:color w:val="000000" w:themeColor="text1"/>
                <w:sz w:val="24"/>
                <w:szCs w:val="24"/>
                <w:lang w:val="en-US" w:eastAsia="zh-CN"/>
                <w14:textFill>
                  <w14:solidFill>
                    <w14:schemeClr w14:val="tx1"/>
                  </w14:solidFill>
                </w14:textFill>
              </w:rPr>
              <w:t>底漆</w:t>
            </w:r>
            <w:r>
              <w:rPr>
                <w:rFonts w:hint="default"/>
                <w:b w:val="0"/>
                <w:bCs w:val="0"/>
                <w:color w:val="000000" w:themeColor="text1"/>
                <w:sz w:val="24"/>
                <w:szCs w:val="24"/>
                <w:lang w:val="en-US" w:eastAsia="zh-CN"/>
                <w14:textFill>
                  <w14:solidFill>
                    <w14:schemeClr w14:val="tx1"/>
                  </w14:solidFill>
                </w14:textFill>
              </w:rPr>
              <w:t>流平固化时长为</w:t>
            </w:r>
            <w:r>
              <w:rPr>
                <w:rFonts w:hint="eastAsia"/>
                <w:b w:val="0"/>
                <w:bCs w:val="0"/>
                <w:color w:val="000000" w:themeColor="text1"/>
                <w:sz w:val="24"/>
                <w:szCs w:val="24"/>
                <w:lang w:val="en-US" w:eastAsia="zh-CN"/>
                <w14:textFill>
                  <w14:solidFill>
                    <w14:schemeClr w14:val="tx1"/>
                  </w14:solidFill>
                </w14:textFill>
              </w:rPr>
              <w:t>12</w:t>
            </w:r>
            <w:r>
              <w:rPr>
                <w:rFonts w:hint="default"/>
                <w:b w:val="0"/>
                <w:bCs w:val="0"/>
                <w:color w:val="000000" w:themeColor="text1"/>
                <w:sz w:val="24"/>
                <w:szCs w:val="24"/>
                <w:lang w:val="en-US" w:eastAsia="zh-CN"/>
                <w14:textFill>
                  <w14:solidFill>
                    <w14:schemeClr w14:val="tx1"/>
                  </w14:solidFill>
                </w14:textFill>
              </w:rPr>
              <w:t>min。此过程会产生流平固化废气G4。</w:t>
            </w:r>
          </w:p>
          <w:p w14:paraId="5FE5C097">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eastAsia="宋体"/>
                <w:b w:val="0"/>
                <w:bCs w:val="0"/>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烘干：</w:t>
            </w:r>
            <w:r>
              <w:rPr>
                <w:rFonts w:hint="default"/>
                <w:b w:val="0"/>
                <w:bCs w:val="0"/>
                <w:color w:val="000000" w:themeColor="text1"/>
                <w:sz w:val="24"/>
                <w:szCs w:val="24"/>
                <w:lang w:val="en-US" w:eastAsia="zh-CN"/>
                <w14:textFill>
                  <w14:solidFill>
                    <w14:schemeClr w14:val="tx1"/>
                  </w14:solidFill>
                </w14:textFill>
              </w:rPr>
              <w:t>人工将烤架转移至烘箱进行烘干。</w:t>
            </w:r>
            <w:r>
              <w:rPr>
                <w:rFonts w:hint="default"/>
                <w:color w:val="000000" w:themeColor="text1"/>
                <w:sz w:val="24"/>
                <w:highlight w:val="none"/>
                <w:lang w:val="en-US" w:eastAsia="zh-CN"/>
                <w14:textFill>
                  <w14:solidFill>
                    <w14:schemeClr w14:val="tx1"/>
                  </w14:solidFill>
                </w14:textFill>
              </w:rPr>
              <w:t>烘</w:t>
            </w:r>
            <w:r>
              <w:rPr>
                <w:color w:val="000000" w:themeColor="text1"/>
                <w:sz w:val="24"/>
                <w:highlight w:val="none"/>
                <w14:textFill>
                  <w14:solidFill>
                    <w14:schemeClr w14:val="tx1"/>
                  </w14:solidFill>
                </w14:textFill>
              </w:rPr>
              <w:t>箱采用</w:t>
            </w:r>
            <w:r>
              <w:rPr>
                <w:rFonts w:hint="default"/>
                <w:color w:val="000000" w:themeColor="text1"/>
                <w:sz w:val="24"/>
                <w:highlight w:val="none"/>
                <w:lang w:val="en-US" w:eastAsia="zh-CN"/>
                <w14:textFill>
                  <w14:solidFill>
                    <w14:schemeClr w14:val="tx1"/>
                  </w14:solidFill>
                </w14:textFill>
              </w:rPr>
              <w:t>天然气加热</w:t>
            </w:r>
            <w:r>
              <w:rPr>
                <w:color w:val="000000" w:themeColor="text1"/>
                <w:sz w:val="24"/>
                <w:highlight w:val="none"/>
                <w14:textFill>
                  <w14:solidFill>
                    <w14:schemeClr w14:val="tx1"/>
                  </w14:solidFill>
                </w14:textFill>
              </w:rPr>
              <w:t>，热风循环方式分别进行底漆的烘烤</w:t>
            </w:r>
            <w:r>
              <w:rPr>
                <w:rFonts w:hint="default"/>
                <w:b w:val="0"/>
                <w:bCs w:val="0"/>
                <w:color w:val="000000" w:themeColor="text1"/>
                <w:sz w:val="24"/>
                <w:szCs w:val="24"/>
                <w:lang w:val="en-US" w:eastAsia="zh-CN"/>
                <w14:textFill>
                  <w14:solidFill>
                    <w14:schemeClr w14:val="tx1"/>
                  </w14:solidFill>
                </w14:textFill>
              </w:rPr>
              <w:t>，温度为70</w:t>
            </w:r>
            <w:r>
              <w:rPr>
                <w:color w:val="000000" w:themeColor="text1"/>
                <w:sz w:val="24"/>
                <w:highlight w:val="none"/>
                <w14:textFill>
                  <w14:solidFill>
                    <w14:schemeClr w14:val="tx1"/>
                  </w14:solidFill>
                </w14:textFill>
              </w:rPr>
              <w:t>℃，采用自动控温设备对烘干温度进行控制</w:t>
            </w:r>
            <w:r>
              <w:rPr>
                <w:rFonts w:hint="default"/>
                <w:color w:val="000000" w:themeColor="text1"/>
                <w:sz w:val="24"/>
                <w:highlight w:val="none"/>
                <w:lang w:eastAsia="zh-CN"/>
                <w14:textFill>
                  <w14:solidFill>
                    <w14:schemeClr w14:val="tx1"/>
                  </w14:solidFill>
                </w14:textFill>
              </w:rPr>
              <w:t>。</w:t>
            </w:r>
            <w:r>
              <w:rPr>
                <w:rFonts w:hint="default"/>
                <w:color w:val="000000" w:themeColor="text1"/>
                <w:sz w:val="24"/>
                <w:highlight w:val="none"/>
                <w:lang w:val="en-US" w:eastAsia="zh-CN"/>
                <w14:textFill>
                  <w14:solidFill>
                    <w14:schemeClr w14:val="tx1"/>
                  </w14:solidFill>
                </w14:textFill>
              </w:rPr>
              <w:t>单批次</w:t>
            </w:r>
            <w:r>
              <w:rPr>
                <w:rFonts w:hint="eastAsia"/>
                <w:color w:val="000000" w:themeColor="text1"/>
                <w:sz w:val="24"/>
                <w:highlight w:val="none"/>
                <w:lang w:val="en-US" w:eastAsia="zh-CN"/>
                <w14:textFill>
                  <w14:solidFill>
                    <w14:schemeClr w14:val="tx1"/>
                  </w14:solidFill>
                </w14:textFill>
              </w:rPr>
              <w:t>底漆</w:t>
            </w:r>
            <w:r>
              <w:rPr>
                <w:rFonts w:hint="default"/>
                <w:color w:val="000000" w:themeColor="text1"/>
                <w:sz w:val="24"/>
                <w:highlight w:val="none"/>
                <w:lang w:val="en-US" w:eastAsia="zh-CN"/>
                <w14:textFill>
                  <w14:solidFill>
                    <w14:schemeClr w14:val="tx1"/>
                  </w14:solidFill>
                </w14:textFill>
              </w:rPr>
              <w:t>烘干时长为</w:t>
            </w:r>
            <w:r>
              <w:rPr>
                <w:rFonts w:hint="eastAsia"/>
                <w:color w:val="000000" w:themeColor="text1"/>
                <w:sz w:val="24"/>
                <w:highlight w:val="none"/>
                <w:lang w:val="en-US" w:eastAsia="zh-CN"/>
                <w14:textFill>
                  <w14:solidFill>
                    <w14:schemeClr w14:val="tx1"/>
                  </w14:solidFill>
                </w14:textFill>
              </w:rPr>
              <w:t>25</w:t>
            </w:r>
            <w:r>
              <w:rPr>
                <w:rFonts w:hint="default"/>
                <w:color w:val="000000" w:themeColor="text1"/>
                <w:sz w:val="24"/>
                <w:highlight w:val="none"/>
                <w:lang w:val="en-US" w:eastAsia="zh-CN"/>
                <w14:textFill>
                  <w14:solidFill>
                    <w14:schemeClr w14:val="tx1"/>
                  </w14:solidFill>
                </w14:textFill>
              </w:rPr>
              <w:t>min。烘干过程会产生烘干废气G5、天然气燃烧废气G6、噪声N。</w:t>
            </w:r>
          </w:p>
          <w:p w14:paraId="52416030">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贴花（灯壳）：</w:t>
            </w:r>
            <w:r>
              <w:rPr>
                <w:rFonts w:hint="default"/>
                <w:b w:val="0"/>
                <w:bCs w:val="0"/>
                <w:color w:val="000000" w:themeColor="text1"/>
                <w:sz w:val="24"/>
                <w:szCs w:val="24"/>
                <w:lang w:val="en-US" w:eastAsia="zh-CN"/>
                <w14:textFill>
                  <w14:solidFill>
                    <w14:schemeClr w14:val="tx1"/>
                  </w14:solidFill>
                </w14:textFill>
              </w:rPr>
              <w:t>烘干后的灯壳人工转运至贴花区进行表面贴花。此过程会产生废贴花纸S8。</w:t>
            </w:r>
          </w:p>
          <w:p w14:paraId="7155AC15">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遮蔽（灯壳）：</w:t>
            </w:r>
            <w:r>
              <w:rPr>
                <w:rFonts w:hint="default"/>
                <w:b w:val="0"/>
                <w:bCs w:val="0"/>
                <w:color w:val="000000" w:themeColor="text1"/>
                <w:sz w:val="24"/>
                <w:szCs w:val="24"/>
                <w:lang w:val="en-US" w:eastAsia="zh-CN"/>
                <w14:textFill>
                  <w14:solidFill>
                    <w14:schemeClr w14:val="tx1"/>
                  </w14:solidFill>
                </w14:textFill>
              </w:rPr>
              <w:t>贴花后对不需要喷漆的地方需要进行遮蔽，采用遮蔽纸进行遮蔽。该工序会产生废遮蔽纸S9。</w:t>
            </w:r>
          </w:p>
          <w:p w14:paraId="50A11419">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喷面漆：</w:t>
            </w:r>
            <w:r>
              <w:rPr>
                <w:rFonts w:hint="default"/>
                <w:b w:val="0"/>
                <w:bCs w:val="0"/>
                <w:color w:val="000000" w:themeColor="text1"/>
                <w:sz w:val="24"/>
                <w:szCs w:val="24"/>
                <w:lang w:val="en-US" w:eastAsia="zh-CN"/>
                <w14:textFill>
                  <w14:solidFill>
                    <w14:schemeClr w14:val="tx1"/>
                  </w14:solidFill>
                </w14:textFill>
              </w:rPr>
              <w:t>烘干后的尾盖、贴花后的灯壳，使用传送带传送至喷漆工位，人工对工件表面喷面漆，未附着在工件表面的涂料形成喷漆废气（漆雾、挥发性有机物）在负压作用下进入废气处理系统。单批次喷面漆时长为</w:t>
            </w:r>
            <w:r>
              <w:rPr>
                <w:rFonts w:hint="eastAsia"/>
                <w:b w:val="0"/>
                <w:bCs w:val="0"/>
                <w:color w:val="000000" w:themeColor="text1"/>
                <w:sz w:val="24"/>
                <w:szCs w:val="24"/>
                <w:lang w:val="en-US" w:eastAsia="zh-CN"/>
                <w14:textFill>
                  <w14:solidFill>
                    <w14:schemeClr w14:val="tx1"/>
                  </w14:solidFill>
                </w14:textFill>
              </w:rPr>
              <w:t>20</w:t>
            </w:r>
            <w:r>
              <w:rPr>
                <w:rFonts w:hint="default"/>
                <w:b w:val="0"/>
                <w:bCs w:val="0"/>
                <w:color w:val="000000" w:themeColor="text1"/>
                <w:sz w:val="24"/>
                <w:szCs w:val="24"/>
                <w:lang w:val="en-US" w:eastAsia="zh-CN"/>
                <w14:textFill>
                  <w14:solidFill>
                    <w14:schemeClr w14:val="tx1"/>
                  </w14:solidFill>
                </w14:textFill>
              </w:rPr>
              <w:t>min。此过程会产生喷漆废气G3、废水性漆S</w:t>
            </w:r>
            <w:r>
              <w:rPr>
                <w:rFonts w:hint="eastAsia"/>
                <w:b w:val="0"/>
                <w:bCs w:val="0"/>
                <w:color w:val="000000" w:themeColor="text1"/>
                <w:sz w:val="24"/>
                <w:szCs w:val="24"/>
                <w:lang w:val="en-US" w:eastAsia="zh-CN"/>
                <w14:textFill>
                  <w14:solidFill>
                    <w14:schemeClr w14:val="tx1"/>
                  </w14:solidFill>
                </w14:textFill>
              </w:rPr>
              <w:t>2</w:t>
            </w:r>
            <w:r>
              <w:rPr>
                <w:rFonts w:hint="default"/>
                <w:b w:val="0"/>
                <w:bCs w:val="0"/>
                <w:color w:val="000000" w:themeColor="text1"/>
                <w:sz w:val="24"/>
                <w:szCs w:val="24"/>
                <w:lang w:val="en-US" w:eastAsia="zh-CN"/>
                <w14:textFill>
                  <w14:solidFill>
                    <w14:schemeClr w14:val="tx1"/>
                  </w14:solidFill>
                </w14:textFill>
              </w:rPr>
              <w:t>、噪声N。</w:t>
            </w:r>
          </w:p>
          <w:p w14:paraId="64431EA0">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流平固化：</w:t>
            </w:r>
            <w:r>
              <w:rPr>
                <w:rFonts w:hint="default"/>
                <w:b w:val="0"/>
                <w:bCs w:val="0"/>
                <w:color w:val="000000" w:themeColor="text1"/>
                <w:sz w:val="24"/>
                <w:szCs w:val="24"/>
                <w:lang w:val="en-US" w:eastAsia="zh-CN"/>
                <w14:textFill>
                  <w14:solidFill>
                    <w14:schemeClr w14:val="tx1"/>
                  </w14:solidFill>
                </w14:textFill>
              </w:rPr>
              <w:t>喷底漆后的工件通过传送带传送至表干下件室进行流平固化工序。人工将传送带上的工件转移至烘架，等待流平固化后转移至烘箱烘干。单批次</w:t>
            </w:r>
            <w:r>
              <w:rPr>
                <w:rFonts w:hint="eastAsia"/>
                <w:b w:val="0"/>
                <w:bCs w:val="0"/>
                <w:color w:val="000000" w:themeColor="text1"/>
                <w:sz w:val="24"/>
                <w:szCs w:val="24"/>
                <w:lang w:val="en-US" w:eastAsia="zh-CN"/>
                <w14:textFill>
                  <w14:solidFill>
                    <w14:schemeClr w14:val="tx1"/>
                  </w14:solidFill>
                </w14:textFill>
              </w:rPr>
              <w:t>面漆</w:t>
            </w:r>
            <w:r>
              <w:rPr>
                <w:rFonts w:hint="default"/>
                <w:b w:val="0"/>
                <w:bCs w:val="0"/>
                <w:color w:val="000000" w:themeColor="text1"/>
                <w:sz w:val="24"/>
                <w:szCs w:val="24"/>
                <w:lang w:val="en-US" w:eastAsia="zh-CN"/>
                <w14:textFill>
                  <w14:solidFill>
                    <w14:schemeClr w14:val="tx1"/>
                  </w14:solidFill>
                </w14:textFill>
              </w:rPr>
              <w:t>流平固化时长为</w:t>
            </w:r>
            <w:r>
              <w:rPr>
                <w:rFonts w:hint="eastAsia"/>
                <w:b w:val="0"/>
                <w:bCs w:val="0"/>
                <w:color w:val="000000" w:themeColor="text1"/>
                <w:sz w:val="24"/>
                <w:szCs w:val="24"/>
                <w:lang w:val="en-US" w:eastAsia="zh-CN"/>
                <w14:textFill>
                  <w14:solidFill>
                    <w14:schemeClr w14:val="tx1"/>
                  </w14:solidFill>
                </w14:textFill>
              </w:rPr>
              <w:t>12</w:t>
            </w:r>
            <w:r>
              <w:rPr>
                <w:rFonts w:hint="default"/>
                <w:b w:val="0"/>
                <w:bCs w:val="0"/>
                <w:color w:val="000000" w:themeColor="text1"/>
                <w:sz w:val="24"/>
                <w:szCs w:val="24"/>
                <w:lang w:val="en-US" w:eastAsia="zh-CN"/>
                <w14:textFill>
                  <w14:solidFill>
                    <w14:schemeClr w14:val="tx1"/>
                  </w14:solidFill>
                </w14:textFill>
              </w:rPr>
              <w:t>min。此过程会产生流平固化废气G4。</w:t>
            </w:r>
          </w:p>
          <w:p w14:paraId="51147AAA">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eastAsia="宋体"/>
                <w:b w:val="0"/>
                <w:bCs w:val="0"/>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烘干：</w:t>
            </w:r>
            <w:r>
              <w:rPr>
                <w:rFonts w:hint="default"/>
                <w:b w:val="0"/>
                <w:bCs w:val="0"/>
                <w:color w:val="000000" w:themeColor="text1"/>
                <w:sz w:val="24"/>
                <w:szCs w:val="24"/>
                <w:lang w:val="en-US" w:eastAsia="zh-CN"/>
                <w14:textFill>
                  <w14:solidFill>
                    <w14:schemeClr w14:val="tx1"/>
                  </w14:solidFill>
                </w14:textFill>
              </w:rPr>
              <w:t>人工将烤架转移至烘箱进行烘干。</w:t>
            </w:r>
            <w:r>
              <w:rPr>
                <w:rFonts w:hint="default"/>
                <w:color w:val="000000" w:themeColor="text1"/>
                <w:sz w:val="24"/>
                <w:highlight w:val="none"/>
                <w:lang w:val="en-US" w:eastAsia="zh-CN"/>
                <w14:textFill>
                  <w14:solidFill>
                    <w14:schemeClr w14:val="tx1"/>
                  </w14:solidFill>
                </w14:textFill>
              </w:rPr>
              <w:t>烘</w:t>
            </w:r>
            <w:r>
              <w:rPr>
                <w:color w:val="000000" w:themeColor="text1"/>
                <w:sz w:val="24"/>
                <w:highlight w:val="none"/>
                <w14:textFill>
                  <w14:solidFill>
                    <w14:schemeClr w14:val="tx1"/>
                  </w14:solidFill>
                </w14:textFill>
              </w:rPr>
              <w:t>箱采用</w:t>
            </w:r>
            <w:r>
              <w:rPr>
                <w:rFonts w:hint="default"/>
                <w:color w:val="000000" w:themeColor="text1"/>
                <w:sz w:val="24"/>
                <w:highlight w:val="none"/>
                <w:lang w:val="en-US" w:eastAsia="zh-CN"/>
                <w14:textFill>
                  <w14:solidFill>
                    <w14:schemeClr w14:val="tx1"/>
                  </w14:solidFill>
                </w14:textFill>
              </w:rPr>
              <w:t>天然气加热</w:t>
            </w:r>
            <w:r>
              <w:rPr>
                <w:color w:val="000000" w:themeColor="text1"/>
                <w:sz w:val="24"/>
                <w:highlight w:val="none"/>
                <w14:textFill>
                  <w14:solidFill>
                    <w14:schemeClr w14:val="tx1"/>
                  </w14:solidFill>
                </w14:textFill>
              </w:rPr>
              <w:t>，热风循环方式分别进行底漆的烘烤</w:t>
            </w:r>
            <w:r>
              <w:rPr>
                <w:rFonts w:hint="default"/>
                <w:b w:val="0"/>
                <w:bCs w:val="0"/>
                <w:color w:val="000000" w:themeColor="text1"/>
                <w:sz w:val="24"/>
                <w:szCs w:val="24"/>
                <w:lang w:val="en-US" w:eastAsia="zh-CN"/>
                <w14:textFill>
                  <w14:solidFill>
                    <w14:schemeClr w14:val="tx1"/>
                  </w14:solidFill>
                </w14:textFill>
              </w:rPr>
              <w:t>，温度为70</w:t>
            </w:r>
            <w:r>
              <w:rPr>
                <w:color w:val="000000" w:themeColor="text1"/>
                <w:sz w:val="24"/>
                <w:highlight w:val="none"/>
                <w14:textFill>
                  <w14:solidFill>
                    <w14:schemeClr w14:val="tx1"/>
                  </w14:solidFill>
                </w14:textFill>
              </w:rPr>
              <w:t>℃，采用自动控温设备对烘干温度进行控制</w:t>
            </w:r>
            <w:r>
              <w:rPr>
                <w:rFonts w:hint="default"/>
                <w:color w:val="000000" w:themeColor="text1"/>
                <w:sz w:val="24"/>
                <w:highlight w:val="none"/>
                <w:lang w:eastAsia="zh-CN"/>
                <w14:textFill>
                  <w14:solidFill>
                    <w14:schemeClr w14:val="tx1"/>
                  </w14:solidFill>
                </w14:textFill>
              </w:rPr>
              <w:t>。</w:t>
            </w:r>
            <w:r>
              <w:rPr>
                <w:rFonts w:hint="default"/>
                <w:color w:val="000000" w:themeColor="text1"/>
                <w:sz w:val="24"/>
                <w:highlight w:val="none"/>
                <w:lang w:val="en-US" w:eastAsia="zh-CN"/>
                <w14:textFill>
                  <w14:solidFill>
                    <w14:schemeClr w14:val="tx1"/>
                  </w14:solidFill>
                </w14:textFill>
              </w:rPr>
              <w:t>单批次</w:t>
            </w:r>
            <w:r>
              <w:rPr>
                <w:rFonts w:hint="eastAsia"/>
                <w:color w:val="000000" w:themeColor="text1"/>
                <w:sz w:val="24"/>
                <w:highlight w:val="none"/>
                <w:lang w:val="en-US" w:eastAsia="zh-CN"/>
                <w14:textFill>
                  <w14:solidFill>
                    <w14:schemeClr w14:val="tx1"/>
                  </w14:solidFill>
                </w14:textFill>
              </w:rPr>
              <w:t>面漆</w:t>
            </w:r>
            <w:r>
              <w:rPr>
                <w:rFonts w:hint="default"/>
                <w:color w:val="000000" w:themeColor="text1"/>
                <w:sz w:val="24"/>
                <w:highlight w:val="none"/>
                <w:lang w:val="en-US" w:eastAsia="zh-CN"/>
                <w14:textFill>
                  <w14:solidFill>
                    <w14:schemeClr w14:val="tx1"/>
                  </w14:solidFill>
                </w14:textFill>
              </w:rPr>
              <w:t>烘干时长为</w:t>
            </w:r>
            <w:r>
              <w:rPr>
                <w:rFonts w:hint="eastAsia"/>
                <w:color w:val="000000" w:themeColor="text1"/>
                <w:sz w:val="24"/>
                <w:highlight w:val="none"/>
                <w:lang w:val="en-US" w:eastAsia="zh-CN"/>
                <w14:textFill>
                  <w14:solidFill>
                    <w14:schemeClr w14:val="tx1"/>
                  </w14:solidFill>
                </w14:textFill>
              </w:rPr>
              <w:t>25</w:t>
            </w:r>
            <w:r>
              <w:rPr>
                <w:rFonts w:hint="default"/>
                <w:color w:val="000000" w:themeColor="text1"/>
                <w:sz w:val="24"/>
                <w:highlight w:val="none"/>
                <w:lang w:val="en-US" w:eastAsia="zh-CN"/>
                <w14:textFill>
                  <w14:solidFill>
                    <w14:schemeClr w14:val="tx1"/>
                  </w14:solidFill>
                </w14:textFill>
              </w:rPr>
              <w:t>min。烘干过程会产生烘干废气G5、天然气燃烧废气G6、噪声N。</w:t>
            </w:r>
          </w:p>
          <w:p w14:paraId="65025D4D">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检验：</w:t>
            </w:r>
            <w:r>
              <w:rPr>
                <w:rFonts w:hint="default"/>
                <w:b w:val="0"/>
                <w:bCs w:val="0"/>
                <w:color w:val="000000" w:themeColor="text1"/>
                <w:sz w:val="24"/>
                <w:szCs w:val="24"/>
                <w:lang w:val="en-US" w:eastAsia="zh-CN"/>
                <w14:textFill>
                  <w14:solidFill>
                    <w14:schemeClr w14:val="tx1"/>
                  </w14:solidFill>
                </w14:textFill>
              </w:rPr>
              <w:t>人工对面漆烘干后的工件进行检验，合格的产品进入抛光工序，不合格的产品放入</w:t>
            </w:r>
            <w:r>
              <w:rPr>
                <w:rFonts w:hint="eastAsia"/>
                <w:b w:val="0"/>
                <w:bCs w:val="0"/>
                <w:color w:val="000000" w:themeColor="text1"/>
                <w:sz w:val="24"/>
                <w:szCs w:val="24"/>
                <w:lang w:val="en-US" w:eastAsia="zh-CN"/>
                <w14:textFill>
                  <w14:solidFill>
                    <w14:schemeClr w14:val="tx1"/>
                  </w14:solidFill>
                </w14:textFill>
              </w:rPr>
              <w:t>一般固废暂存间</w:t>
            </w:r>
            <w:r>
              <w:rPr>
                <w:rFonts w:hint="default"/>
                <w:b w:val="0"/>
                <w:bCs w:val="0"/>
                <w:color w:val="000000" w:themeColor="text1"/>
                <w:sz w:val="24"/>
                <w:szCs w:val="24"/>
                <w:lang w:val="en-US" w:eastAsia="zh-CN"/>
                <w14:textFill>
                  <w14:solidFill>
                    <w14:schemeClr w14:val="tx1"/>
                  </w14:solidFill>
                </w14:textFill>
              </w:rPr>
              <w:t>暂存。此过程会产生不合格品S10。</w:t>
            </w:r>
          </w:p>
          <w:p w14:paraId="0DBB05E5">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抛光：</w:t>
            </w:r>
            <w:r>
              <w:rPr>
                <w:rFonts w:hint="default"/>
                <w:b w:val="0"/>
                <w:bCs w:val="0"/>
                <w:color w:val="000000" w:themeColor="text1"/>
                <w:sz w:val="24"/>
                <w:szCs w:val="24"/>
                <w:lang w:val="en-US" w:eastAsia="zh-CN"/>
                <w14:textFill>
                  <w14:solidFill>
                    <w14:schemeClr w14:val="tx1"/>
                  </w14:solidFill>
                </w14:textFill>
              </w:rPr>
              <w:t>检验后的工件使用</w:t>
            </w:r>
            <w:r>
              <w:rPr>
                <w:rFonts w:hint="eastAsia"/>
                <w:b w:val="0"/>
                <w:bCs w:val="0"/>
                <w:color w:val="000000" w:themeColor="text1"/>
                <w:sz w:val="24"/>
                <w:szCs w:val="24"/>
                <w:lang w:val="en-US" w:eastAsia="zh-CN"/>
                <w14:textFill>
                  <w14:solidFill>
                    <w14:schemeClr w14:val="tx1"/>
                  </w14:solidFill>
                </w14:textFill>
              </w:rPr>
              <w:t>手动抛光机进行抛光，人工检查工件表面不平整的部位，对其进行抛光</w:t>
            </w:r>
            <w:r>
              <w:rPr>
                <w:rFonts w:hint="default"/>
                <w:b w:val="0"/>
                <w:bCs w:val="0"/>
                <w:color w:val="000000" w:themeColor="text1"/>
                <w:sz w:val="24"/>
                <w:szCs w:val="24"/>
                <w:lang w:val="en-US" w:eastAsia="zh-CN"/>
                <w14:textFill>
                  <w14:solidFill>
                    <w14:schemeClr w14:val="tx1"/>
                  </w14:solidFill>
                </w14:textFill>
              </w:rPr>
              <w:t>，抛光过程中产生抛光废气G7。</w:t>
            </w:r>
          </w:p>
          <w:p w14:paraId="34A5CE7A">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b w:val="0"/>
                <w:bCs w:val="0"/>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入库：</w:t>
            </w:r>
            <w:r>
              <w:rPr>
                <w:rFonts w:hint="default"/>
                <w:b w:val="0"/>
                <w:bCs w:val="0"/>
                <w:color w:val="000000" w:themeColor="text1"/>
                <w:sz w:val="24"/>
                <w:szCs w:val="24"/>
                <w:lang w:val="en-US" w:eastAsia="zh-CN"/>
                <w14:textFill>
                  <w14:solidFill>
                    <w14:schemeClr w14:val="tx1"/>
                  </w14:solidFill>
                </w14:textFill>
              </w:rPr>
              <w:t>合格的产品利用原进厂包装箱手工包装后进入成品堆放区。此过程产生未沾染危化品和危险废物的包装物S1</w:t>
            </w:r>
            <w:r>
              <w:rPr>
                <w:rFonts w:hint="eastAsia"/>
                <w:b w:val="0"/>
                <w:bCs w:val="0"/>
                <w:color w:val="000000" w:themeColor="text1"/>
                <w:sz w:val="24"/>
                <w:szCs w:val="24"/>
                <w:lang w:val="en-US" w:eastAsia="zh-CN"/>
                <w14:textFill>
                  <w14:solidFill>
                    <w14:schemeClr w14:val="tx1"/>
                  </w14:solidFill>
                </w14:textFill>
              </w:rPr>
              <w:t>1</w:t>
            </w:r>
            <w:r>
              <w:rPr>
                <w:rFonts w:hint="default"/>
                <w:b w:val="0"/>
                <w:bCs w:val="0"/>
                <w:color w:val="000000" w:themeColor="text1"/>
                <w:sz w:val="24"/>
                <w:szCs w:val="24"/>
                <w:lang w:val="en-US" w:eastAsia="zh-CN"/>
                <w14:textFill>
                  <w14:solidFill>
                    <w14:schemeClr w14:val="tx1"/>
                  </w14:solidFill>
                </w14:textFill>
              </w:rPr>
              <w:t>。</w:t>
            </w:r>
          </w:p>
          <w:p w14:paraId="0905701D">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2" w:firstLineChars="200"/>
              <w:textAlignment w:val="auto"/>
              <w:rPr>
                <w:rFonts w:hint="default"/>
                <w:b/>
                <w:bCs/>
                <w:color w:val="000000" w:themeColor="text1"/>
                <w:sz w:val="24"/>
                <w:szCs w:val="24"/>
                <w:lang w:val="en-US" w:eastAsia="zh-CN"/>
                <w14:textFill>
                  <w14:solidFill>
                    <w14:schemeClr w14:val="tx1"/>
                  </w14:solidFill>
                </w14:textFill>
              </w:rPr>
            </w:pPr>
            <w:r>
              <w:rPr>
                <w:rFonts w:hint="default"/>
                <w:b/>
                <w:bCs/>
                <w:color w:val="000000" w:themeColor="text1"/>
                <w:sz w:val="24"/>
                <w:szCs w:val="24"/>
                <w:lang w:val="en-US" w:eastAsia="zh-CN"/>
                <w14:textFill>
                  <w14:solidFill>
                    <w14:schemeClr w14:val="tx1"/>
                  </w14:solidFill>
                </w14:textFill>
              </w:rPr>
              <w:t>其他产污环节</w:t>
            </w:r>
          </w:p>
          <w:p w14:paraId="0881195E">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b w:val="0"/>
                <w:bCs w:val="0"/>
                <w:color w:val="000000" w:themeColor="text1"/>
                <w:sz w:val="24"/>
                <w:szCs w:val="24"/>
                <w:highlight w:val="yellow"/>
                <w:lang w:val="en-US" w:eastAsia="zh-CN"/>
                <w14:textFill>
                  <w14:solidFill>
                    <w14:schemeClr w14:val="tx1"/>
                  </w14:solidFill>
                </w14:textFill>
              </w:rPr>
            </w:pPr>
            <w:r>
              <w:rPr>
                <w:rFonts w:hint="default"/>
                <w:b w:val="0"/>
                <w:bCs w:val="0"/>
                <w:color w:val="000000" w:themeColor="text1"/>
                <w:sz w:val="24"/>
                <w:szCs w:val="24"/>
                <w:lang w:val="en-US" w:eastAsia="zh-CN"/>
                <w14:textFill>
                  <w14:solidFill>
                    <w14:schemeClr w14:val="tx1"/>
                  </w14:solidFill>
                </w14:textFill>
              </w:rPr>
              <w:t>员工洗手会产生洗手废水W3；员工生活会产生生活垃圾S1</w:t>
            </w:r>
            <w:r>
              <w:rPr>
                <w:rFonts w:hint="eastAsia"/>
                <w:b w:val="0"/>
                <w:bCs w:val="0"/>
                <w:color w:val="000000" w:themeColor="text1"/>
                <w:sz w:val="24"/>
                <w:szCs w:val="24"/>
                <w:lang w:val="en-US" w:eastAsia="zh-CN"/>
                <w14:textFill>
                  <w14:solidFill>
                    <w14:schemeClr w14:val="tx1"/>
                  </w14:solidFill>
                </w14:textFill>
              </w:rPr>
              <w:t>2</w:t>
            </w:r>
            <w:r>
              <w:rPr>
                <w:rFonts w:hint="default"/>
                <w:b w:val="0"/>
                <w:bCs w:val="0"/>
                <w:color w:val="000000" w:themeColor="text1"/>
                <w:sz w:val="24"/>
                <w:szCs w:val="24"/>
                <w:lang w:val="en-US" w:eastAsia="zh-CN"/>
                <w14:textFill>
                  <w14:solidFill>
                    <w14:schemeClr w14:val="tx1"/>
                  </w14:solidFill>
                </w14:textFill>
              </w:rPr>
              <w:t>，生活废水W4；机械维护保养会产生废含油棉纱、手套S1</w:t>
            </w:r>
            <w:r>
              <w:rPr>
                <w:rFonts w:hint="eastAsia"/>
                <w:b w:val="0"/>
                <w:bCs w:val="0"/>
                <w:color w:val="000000" w:themeColor="text1"/>
                <w:sz w:val="24"/>
                <w:szCs w:val="24"/>
                <w:lang w:val="en-US" w:eastAsia="zh-CN"/>
                <w14:textFill>
                  <w14:solidFill>
                    <w14:schemeClr w14:val="tx1"/>
                  </w14:solidFill>
                </w14:textFill>
              </w:rPr>
              <w:t>3</w:t>
            </w:r>
            <w:r>
              <w:rPr>
                <w:rFonts w:hint="default"/>
                <w:b w:val="0"/>
                <w:bCs w:val="0"/>
                <w:color w:val="000000" w:themeColor="text1"/>
                <w:sz w:val="24"/>
                <w:szCs w:val="24"/>
                <w:lang w:val="en-US" w:eastAsia="zh-CN"/>
                <w14:textFill>
                  <w14:solidFill>
                    <w14:schemeClr w14:val="tx1"/>
                  </w14:solidFill>
                </w14:textFill>
              </w:rPr>
              <w:t>，机械维护保养会产生废油桶S1</w:t>
            </w:r>
            <w:r>
              <w:rPr>
                <w:rFonts w:hint="eastAsia"/>
                <w:b w:val="0"/>
                <w:bCs w:val="0"/>
                <w:color w:val="000000" w:themeColor="text1"/>
                <w:sz w:val="24"/>
                <w:szCs w:val="24"/>
                <w:lang w:val="en-US" w:eastAsia="zh-CN"/>
                <w14:textFill>
                  <w14:solidFill>
                    <w14:schemeClr w14:val="tx1"/>
                  </w14:solidFill>
                </w14:textFill>
              </w:rPr>
              <w:t>4</w:t>
            </w:r>
            <w:r>
              <w:rPr>
                <w:rFonts w:hint="default"/>
                <w:b w:val="0"/>
                <w:bCs w:val="0"/>
                <w:color w:val="000000" w:themeColor="text1"/>
                <w:sz w:val="24"/>
                <w:szCs w:val="24"/>
                <w:lang w:val="en-US" w:eastAsia="zh-CN"/>
                <w14:textFill>
                  <w14:solidFill>
                    <w14:schemeClr w14:val="tx1"/>
                  </w14:solidFill>
                </w14:textFill>
              </w:rPr>
              <w:t>、废机油S1</w:t>
            </w:r>
            <w:r>
              <w:rPr>
                <w:rFonts w:hint="eastAsia"/>
                <w:b w:val="0"/>
                <w:bCs w:val="0"/>
                <w:color w:val="000000" w:themeColor="text1"/>
                <w:sz w:val="24"/>
                <w:szCs w:val="24"/>
                <w:lang w:val="en-US" w:eastAsia="zh-CN"/>
                <w14:textFill>
                  <w14:solidFill>
                    <w14:schemeClr w14:val="tx1"/>
                  </w14:solidFill>
                </w14:textFill>
              </w:rPr>
              <w:t>5</w:t>
            </w:r>
            <w:r>
              <w:rPr>
                <w:rFonts w:hint="default"/>
                <w:b w:val="0"/>
                <w:bCs w:val="0"/>
                <w:color w:val="000000" w:themeColor="text1"/>
                <w:sz w:val="24"/>
                <w:szCs w:val="24"/>
                <w:lang w:val="en-US" w:eastAsia="zh-CN"/>
                <w14:textFill>
                  <w14:solidFill>
                    <w14:schemeClr w14:val="tx1"/>
                  </w14:solidFill>
                </w14:textFill>
              </w:rPr>
              <w:t>；空压机会产生空压机含油冷凝废液S1</w:t>
            </w:r>
            <w:r>
              <w:rPr>
                <w:rFonts w:hint="eastAsia"/>
                <w:b w:val="0"/>
                <w:bCs w:val="0"/>
                <w:color w:val="000000" w:themeColor="text1"/>
                <w:sz w:val="24"/>
                <w:szCs w:val="24"/>
                <w:lang w:val="en-US" w:eastAsia="zh-CN"/>
                <w14:textFill>
                  <w14:solidFill>
                    <w14:schemeClr w14:val="tx1"/>
                  </w14:solidFill>
                </w14:textFill>
              </w:rPr>
              <w:t>6</w:t>
            </w:r>
            <w:r>
              <w:rPr>
                <w:rFonts w:hint="default"/>
                <w:b w:val="0"/>
                <w:bCs w:val="0"/>
                <w:color w:val="000000" w:themeColor="text1"/>
                <w:sz w:val="24"/>
                <w:szCs w:val="24"/>
                <w:lang w:val="en-US" w:eastAsia="zh-CN"/>
                <w14:textFill>
                  <w14:solidFill>
                    <w14:schemeClr w14:val="tx1"/>
                  </w14:solidFill>
                </w14:textFill>
              </w:rPr>
              <w:t>；除尘</w:t>
            </w:r>
            <w:r>
              <w:rPr>
                <w:rFonts w:hint="eastAsia"/>
                <w:b w:val="0"/>
                <w:bCs w:val="0"/>
                <w:color w:val="000000" w:themeColor="text1"/>
                <w:sz w:val="24"/>
                <w:szCs w:val="24"/>
                <w:lang w:val="en-US" w:eastAsia="zh-CN"/>
                <w14:textFill>
                  <w14:solidFill>
                    <w14:schemeClr w14:val="tx1"/>
                  </w14:solidFill>
                </w14:textFill>
              </w:rPr>
              <w:t>柜</w:t>
            </w:r>
            <w:r>
              <w:rPr>
                <w:rFonts w:hint="default"/>
                <w:b w:val="0"/>
                <w:bCs w:val="0"/>
                <w:color w:val="000000" w:themeColor="text1"/>
                <w:sz w:val="24"/>
                <w:szCs w:val="24"/>
                <w:lang w:val="en-US" w:eastAsia="zh-CN"/>
                <w14:textFill>
                  <w14:solidFill>
                    <w14:schemeClr w14:val="tx1"/>
                  </w14:solidFill>
                </w14:textFill>
              </w:rPr>
              <w:t>废气经过滤棉处理后无组织排放，过滤棉每月定期更换一次，会产生少量的含尘过滤棉S</w:t>
            </w:r>
            <w:r>
              <w:rPr>
                <w:rFonts w:hint="eastAsia"/>
                <w:b w:val="0"/>
                <w:bCs w:val="0"/>
                <w:color w:val="000000" w:themeColor="text1"/>
                <w:sz w:val="24"/>
                <w:szCs w:val="24"/>
                <w:lang w:val="en-US" w:eastAsia="zh-CN"/>
                <w14:textFill>
                  <w14:solidFill>
                    <w14:schemeClr w14:val="tx1"/>
                  </w14:solidFill>
                </w14:textFill>
              </w:rPr>
              <w:t>17</w:t>
            </w:r>
            <w:r>
              <w:rPr>
                <w:rFonts w:hint="default"/>
                <w:b w:val="0"/>
                <w:bCs w:val="0"/>
                <w:color w:val="000000" w:themeColor="text1"/>
                <w:sz w:val="24"/>
                <w:szCs w:val="24"/>
                <w:lang w:val="en-US" w:eastAsia="zh-CN"/>
                <w14:textFill>
                  <w14:solidFill>
                    <w14:schemeClr w14:val="tx1"/>
                  </w14:solidFill>
                </w14:textFill>
              </w:rPr>
              <w:t>；</w:t>
            </w:r>
            <w:r>
              <w:rPr>
                <w:rFonts w:hint="default"/>
                <w:color w:val="000000" w:themeColor="text1"/>
                <w:sz w:val="24"/>
                <w:szCs w:val="24"/>
                <w:lang w:val="en-US" w:eastAsia="zh-CN"/>
                <w14:textFill>
                  <w14:solidFill>
                    <w14:schemeClr w14:val="tx1"/>
                  </w14:solidFill>
                </w14:textFill>
              </w:rPr>
              <w:t>危废贮存库会产生废气G8</w:t>
            </w:r>
            <w:r>
              <w:rPr>
                <w:rFonts w:hint="default"/>
                <w:b w:val="0"/>
                <w:bCs w:val="0"/>
                <w:color w:val="000000" w:themeColor="text1"/>
                <w:sz w:val="24"/>
                <w:szCs w:val="24"/>
                <w:highlight w:val="none"/>
                <w:lang w:val="en-US" w:eastAsia="zh-CN"/>
                <w14:textFill>
                  <w14:solidFill>
                    <w14:schemeClr w14:val="tx1"/>
                  </w14:solidFill>
                </w14:textFill>
              </w:rPr>
              <w:t>。</w:t>
            </w:r>
          </w:p>
          <w:p w14:paraId="2EE86509">
            <w:pPr>
              <w:pStyle w:val="12"/>
              <w:keepNext w:val="0"/>
              <w:keepLines w:val="0"/>
              <w:suppressLineNumbers w:val="0"/>
              <w:adjustRightInd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表2-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default" w:ascii="Times New Roman" w:hAnsi="Times New Roman" w:cs="Times New Roman"/>
                <w:b/>
                <w:bCs/>
                <w:color w:val="000000" w:themeColor="text1"/>
                <w:sz w:val="24"/>
                <w:szCs w:val="24"/>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4"/>
                <w14:textFill>
                  <w14:solidFill>
                    <w14:schemeClr w14:val="tx1"/>
                  </w14:solidFill>
                </w14:textFill>
              </w:rPr>
              <w:t xml:space="preserve"> 项目产污情况及处理措施一览表</w:t>
            </w:r>
          </w:p>
          <w:tbl>
            <w:tblPr>
              <w:tblStyle w:val="21"/>
              <w:tblW w:w="79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379"/>
              <w:gridCol w:w="1615"/>
              <w:gridCol w:w="1590"/>
              <w:gridCol w:w="1660"/>
              <w:gridCol w:w="2693"/>
            </w:tblGrid>
            <w:tr w14:paraId="01583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5" w:hRule="atLeast"/>
                <w:jc w:val="center"/>
              </w:trPr>
              <w:tc>
                <w:tcPr>
                  <w:tcW w:w="379" w:type="dxa"/>
                  <w:vAlign w:val="center"/>
                </w:tcPr>
                <w:p w14:paraId="5257D30D">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类别</w:t>
                  </w:r>
                </w:p>
              </w:tc>
              <w:tc>
                <w:tcPr>
                  <w:tcW w:w="1615" w:type="dxa"/>
                  <w:vAlign w:val="center"/>
                </w:tcPr>
                <w:p w14:paraId="13D57D1F">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及名称</w:t>
                  </w:r>
                </w:p>
              </w:tc>
              <w:tc>
                <w:tcPr>
                  <w:tcW w:w="1590" w:type="dxa"/>
                  <w:vAlign w:val="center"/>
                </w:tcPr>
                <w:p w14:paraId="6B01E580">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产污环节</w:t>
                  </w:r>
                </w:p>
              </w:tc>
              <w:tc>
                <w:tcPr>
                  <w:tcW w:w="1660" w:type="dxa"/>
                  <w:vAlign w:val="center"/>
                </w:tcPr>
                <w:p w14:paraId="12386785">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主要污染因子</w:t>
                  </w:r>
                </w:p>
              </w:tc>
              <w:tc>
                <w:tcPr>
                  <w:tcW w:w="2693" w:type="dxa"/>
                  <w:vAlign w:val="center"/>
                </w:tcPr>
                <w:p w14:paraId="2D03714A">
                  <w:pPr>
                    <w:pStyle w:val="45"/>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治理措施</w:t>
                  </w:r>
                </w:p>
              </w:tc>
            </w:tr>
            <w:tr w14:paraId="46492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93" w:hRule="atLeast"/>
                <w:jc w:val="center"/>
              </w:trPr>
              <w:tc>
                <w:tcPr>
                  <w:tcW w:w="379" w:type="dxa"/>
                  <w:vMerge w:val="restart"/>
                  <w:vAlign w:val="center"/>
                </w:tcPr>
                <w:p w14:paraId="1C3155D5">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w:t>
                  </w:r>
                </w:p>
              </w:tc>
              <w:tc>
                <w:tcPr>
                  <w:tcW w:w="1615" w:type="dxa"/>
                  <w:vAlign w:val="center"/>
                </w:tcPr>
                <w:p w14:paraId="13853C26">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打磨废气G1</w:t>
                  </w:r>
                </w:p>
              </w:tc>
              <w:tc>
                <w:tcPr>
                  <w:tcW w:w="1590" w:type="dxa"/>
                  <w:vAlign w:val="center"/>
                </w:tcPr>
                <w:p w14:paraId="559589E8">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打磨</w:t>
                  </w:r>
                </w:p>
              </w:tc>
              <w:tc>
                <w:tcPr>
                  <w:tcW w:w="1660" w:type="dxa"/>
                  <w:vAlign w:val="center"/>
                </w:tcPr>
                <w:p w14:paraId="5B9224F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2693" w:type="dxa"/>
                  <w:vAlign w:val="center"/>
                </w:tcPr>
                <w:p w14:paraId="13225E24">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产生量较小，加强车间通风，无组织排放</w:t>
                  </w:r>
                </w:p>
              </w:tc>
            </w:tr>
            <w:tr w14:paraId="09893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93" w:hRule="atLeast"/>
                <w:jc w:val="center"/>
              </w:trPr>
              <w:tc>
                <w:tcPr>
                  <w:tcW w:w="379" w:type="dxa"/>
                  <w:vMerge w:val="continue"/>
                  <w:vAlign w:val="center"/>
                </w:tcPr>
                <w:p w14:paraId="07D74D5B">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vAlign w:val="center"/>
                </w:tcPr>
                <w:p w14:paraId="7BAF92B5">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除尘废气G2</w:t>
                  </w:r>
                </w:p>
              </w:tc>
              <w:tc>
                <w:tcPr>
                  <w:tcW w:w="1590" w:type="dxa"/>
                  <w:vAlign w:val="center"/>
                </w:tcPr>
                <w:p w14:paraId="2053899F">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除尘</w:t>
                  </w:r>
                </w:p>
              </w:tc>
              <w:tc>
                <w:tcPr>
                  <w:tcW w:w="1660" w:type="dxa"/>
                  <w:vAlign w:val="center"/>
                </w:tcPr>
                <w:p w14:paraId="4470A0E9">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p>
              </w:tc>
              <w:tc>
                <w:tcPr>
                  <w:tcW w:w="2693" w:type="dxa"/>
                  <w:vAlign w:val="center"/>
                </w:tcPr>
                <w:p w14:paraId="75BC6F29">
                  <w:pPr>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除尘柜顶部设置过滤棉截留，无组织排放</w:t>
                  </w:r>
                </w:p>
              </w:tc>
            </w:tr>
            <w:tr w14:paraId="0BD29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93" w:hRule="atLeast"/>
                <w:jc w:val="center"/>
              </w:trPr>
              <w:tc>
                <w:tcPr>
                  <w:tcW w:w="379" w:type="dxa"/>
                  <w:vMerge w:val="continue"/>
                  <w:vAlign w:val="center"/>
                </w:tcPr>
                <w:p w14:paraId="4AE86341">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vAlign w:val="center"/>
                </w:tcPr>
                <w:p w14:paraId="720277A1">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喷漆废气G3</w:t>
                  </w:r>
                </w:p>
              </w:tc>
              <w:tc>
                <w:tcPr>
                  <w:tcW w:w="1590" w:type="dxa"/>
                  <w:vAlign w:val="center"/>
                </w:tcPr>
                <w:p w14:paraId="2FB30FAD">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喷</w:t>
                  </w:r>
                  <w:r>
                    <w:rPr>
                      <w:rFonts w:hint="default" w:cs="Times New Roman"/>
                      <w:color w:val="000000" w:themeColor="text1"/>
                      <w:sz w:val="21"/>
                      <w:szCs w:val="21"/>
                      <w:lang w:val="en-US" w:eastAsia="zh-CN"/>
                      <w14:textFill>
                        <w14:solidFill>
                          <w14:schemeClr w14:val="tx1"/>
                        </w14:solidFill>
                      </w14:textFill>
                    </w:rPr>
                    <w:t>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漆</w:t>
                  </w:r>
                  <w:r>
                    <w:rPr>
                      <w:rFonts w:hint="default" w:cs="Times New Roman"/>
                      <w:color w:val="000000" w:themeColor="text1"/>
                      <w:sz w:val="21"/>
                      <w:szCs w:val="21"/>
                      <w:lang w:val="en-US" w:eastAsia="zh-CN"/>
                      <w14:textFill>
                        <w14:solidFill>
                          <w14:schemeClr w14:val="tx1"/>
                        </w14:solidFill>
                      </w14:textFill>
                    </w:rPr>
                    <w:t>、面漆</w:t>
                  </w:r>
                </w:p>
              </w:tc>
              <w:tc>
                <w:tcPr>
                  <w:tcW w:w="1660" w:type="dxa"/>
                  <w:vAlign w:val="center"/>
                </w:tcPr>
                <w:p w14:paraId="31AE1E0C">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2693" w:type="dxa"/>
                  <w:vAlign w:val="center"/>
                </w:tcPr>
                <w:p w14:paraId="1F5215C7">
                  <w:pPr>
                    <w:pStyle w:val="46"/>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eastAsia="zh-CN"/>
                      <w14:textFill>
                        <w14:solidFill>
                          <w14:schemeClr w14:val="tx1"/>
                        </w14:solidFill>
                      </w14:textFill>
                    </w:rPr>
                    <w:t>水帘湿式漆雾净化</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高分子过滤盒</w:t>
                  </w:r>
                  <w:r>
                    <w:rPr>
                      <w:rFonts w:hint="default" w:ascii="Times New Roman" w:hAnsi="Times New Roman" w:eastAsia="宋体" w:cs="Times New Roman"/>
                      <w:color w:val="000000" w:themeColor="text1"/>
                      <w:sz w:val="21"/>
                      <w:szCs w:val="21"/>
                      <w:lang w:eastAsia="zh-CN"/>
                      <w14:textFill>
                        <w14:solidFill>
                          <w14:schemeClr w14:val="tx1"/>
                        </w14:solidFill>
                      </w14:textFill>
                    </w:rPr>
                    <w:t>+干式过滤棉+二级活性炭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处理后通过15m高排气筒排放（DA001）</w:t>
                  </w:r>
                </w:p>
              </w:tc>
            </w:tr>
            <w:tr w14:paraId="4B841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93" w:hRule="atLeast"/>
                <w:jc w:val="center"/>
              </w:trPr>
              <w:tc>
                <w:tcPr>
                  <w:tcW w:w="379" w:type="dxa"/>
                  <w:vMerge w:val="continue"/>
                  <w:vAlign w:val="center"/>
                </w:tcPr>
                <w:p w14:paraId="54EAE080">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vAlign w:val="center"/>
                </w:tcPr>
                <w:p w14:paraId="1E8D344D">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流平固化废气G4</w:t>
                  </w:r>
                </w:p>
              </w:tc>
              <w:tc>
                <w:tcPr>
                  <w:tcW w:w="1590" w:type="dxa"/>
                  <w:vAlign w:val="center"/>
                </w:tcPr>
                <w:p w14:paraId="5BEADCD2">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底漆、面漆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流平固化</w:t>
                  </w:r>
                </w:p>
              </w:tc>
              <w:tc>
                <w:tcPr>
                  <w:tcW w:w="1660" w:type="dxa"/>
                  <w:vAlign w:val="center"/>
                </w:tcPr>
                <w:p w14:paraId="7CD87161">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2693" w:type="dxa"/>
                  <w:vAlign w:val="center"/>
                </w:tcPr>
                <w:p w14:paraId="2520F870">
                  <w:pPr>
                    <w:pStyle w:val="46"/>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二级活性炭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处理后通过15m高排气筒排放（DA001）</w:t>
                  </w:r>
                </w:p>
              </w:tc>
            </w:tr>
            <w:tr w14:paraId="5CDD1E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93" w:hRule="atLeast"/>
                <w:jc w:val="center"/>
              </w:trPr>
              <w:tc>
                <w:tcPr>
                  <w:tcW w:w="379" w:type="dxa"/>
                  <w:vMerge w:val="continue"/>
                  <w:vAlign w:val="center"/>
                </w:tcPr>
                <w:p w14:paraId="7944309B">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vAlign w:val="center"/>
                </w:tcPr>
                <w:p w14:paraId="100FA3BF">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烘干废气G5</w:t>
                  </w:r>
                </w:p>
              </w:tc>
              <w:tc>
                <w:tcPr>
                  <w:tcW w:w="1590" w:type="dxa"/>
                  <w:vAlign w:val="center"/>
                </w:tcPr>
                <w:p w14:paraId="17BAE36F">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底漆、面漆</w:t>
                  </w:r>
                  <w:r>
                    <w:rPr>
                      <w:rFonts w:hint="default" w:ascii="Times New Roman" w:hAnsi="Times New Roman" w:eastAsia="宋体" w:cs="Times New Roman"/>
                      <w:color w:val="000000" w:themeColor="text1"/>
                      <w:sz w:val="21"/>
                      <w:szCs w:val="21"/>
                      <w:lang w:eastAsia="zh-CN"/>
                      <w14:textFill>
                        <w14:solidFill>
                          <w14:schemeClr w14:val="tx1"/>
                        </w14:solidFill>
                      </w14:textFill>
                    </w:rPr>
                    <w:t>烘干</w:t>
                  </w:r>
                </w:p>
              </w:tc>
              <w:tc>
                <w:tcPr>
                  <w:tcW w:w="1660" w:type="dxa"/>
                  <w:vAlign w:val="center"/>
                </w:tcPr>
                <w:p w14:paraId="771F4B19">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非甲烷总烃</w:t>
                  </w:r>
                </w:p>
              </w:tc>
              <w:tc>
                <w:tcPr>
                  <w:tcW w:w="2693" w:type="dxa"/>
                  <w:vAlign w:val="center"/>
                </w:tcPr>
                <w:p w14:paraId="5F080CF3">
                  <w:pPr>
                    <w:pStyle w:val="46"/>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二级活性炭</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处理后通过15m高排气筒排放（DA001）</w:t>
                  </w:r>
                </w:p>
              </w:tc>
            </w:tr>
            <w:tr w14:paraId="7C1B5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93" w:hRule="atLeast"/>
                <w:jc w:val="center"/>
              </w:trPr>
              <w:tc>
                <w:tcPr>
                  <w:tcW w:w="379" w:type="dxa"/>
                  <w:vMerge w:val="continue"/>
                  <w:vAlign w:val="center"/>
                </w:tcPr>
                <w:p w14:paraId="4D96E8C1">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shd w:val="clear" w:color="auto" w:fill="auto"/>
                  <w:vAlign w:val="center"/>
                </w:tcPr>
                <w:p w14:paraId="28639261">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天然气燃烧废气G6</w:t>
                  </w:r>
                </w:p>
              </w:tc>
              <w:tc>
                <w:tcPr>
                  <w:tcW w:w="1590" w:type="dxa"/>
                  <w:shd w:val="clear" w:color="auto" w:fill="auto"/>
                  <w:vAlign w:val="center"/>
                </w:tcPr>
                <w:p w14:paraId="3740B2BE">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底漆、面漆</w:t>
                  </w:r>
                  <w:r>
                    <w:rPr>
                      <w:rFonts w:hint="default" w:ascii="Times New Roman" w:hAnsi="Times New Roman" w:eastAsia="宋体" w:cs="Times New Roman"/>
                      <w:color w:val="000000" w:themeColor="text1"/>
                      <w:sz w:val="21"/>
                      <w:szCs w:val="21"/>
                      <w:lang w:eastAsia="zh-CN"/>
                      <w14:textFill>
                        <w14:solidFill>
                          <w14:schemeClr w14:val="tx1"/>
                        </w14:solidFill>
                      </w14:textFill>
                    </w:rPr>
                    <w:t>烘干</w:t>
                  </w:r>
                </w:p>
              </w:tc>
              <w:tc>
                <w:tcPr>
                  <w:tcW w:w="1660" w:type="dxa"/>
                  <w:shd w:val="clear" w:color="auto" w:fill="auto"/>
                  <w:vAlign w:val="center"/>
                </w:tcPr>
                <w:p w14:paraId="7976C796">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vertAlign w:val="subscript"/>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氮氧化物、SO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p>
              </w:tc>
              <w:tc>
                <w:tcPr>
                  <w:tcW w:w="2693" w:type="dxa"/>
                  <w:vAlign w:val="center"/>
                </w:tcPr>
                <w:p w14:paraId="5C7D06A7">
                  <w:pPr>
                    <w:pStyle w:val="46"/>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采用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低氮燃烧技术</w:t>
                  </w:r>
                  <w:r>
                    <w:rPr>
                      <w:rFonts w:hint="default"/>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废气通过15m高排气筒排放（DA00</w:t>
                  </w:r>
                  <w:r>
                    <w:rPr>
                      <w:rFonts w:hint="default"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3F8DD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93" w:hRule="atLeast"/>
                <w:jc w:val="center"/>
              </w:trPr>
              <w:tc>
                <w:tcPr>
                  <w:tcW w:w="379" w:type="dxa"/>
                  <w:vMerge w:val="continue"/>
                  <w:vAlign w:val="center"/>
                </w:tcPr>
                <w:p w14:paraId="0533AF9E">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shd w:val="clear" w:color="auto" w:fill="auto"/>
                  <w:vAlign w:val="center"/>
                </w:tcPr>
                <w:p w14:paraId="60C3AB6A">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抛光废气G7</w:t>
                  </w:r>
                </w:p>
              </w:tc>
              <w:tc>
                <w:tcPr>
                  <w:tcW w:w="1590" w:type="dxa"/>
                  <w:shd w:val="clear" w:color="auto" w:fill="auto"/>
                  <w:vAlign w:val="center"/>
                </w:tcPr>
                <w:p w14:paraId="5BDB5E8B">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抛光</w:t>
                  </w:r>
                </w:p>
              </w:tc>
              <w:tc>
                <w:tcPr>
                  <w:tcW w:w="1660" w:type="dxa"/>
                  <w:shd w:val="clear" w:color="auto" w:fill="auto"/>
                  <w:vAlign w:val="center"/>
                </w:tcPr>
                <w:p w14:paraId="09D78698">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颗粒物</w:t>
                  </w:r>
                </w:p>
              </w:tc>
              <w:tc>
                <w:tcPr>
                  <w:tcW w:w="2693" w:type="dxa"/>
                  <w:shd w:val="clear" w:color="auto" w:fill="auto"/>
                  <w:vAlign w:val="center"/>
                </w:tcPr>
                <w:p w14:paraId="324BABE3">
                  <w:pPr>
                    <w:pStyle w:val="46"/>
                    <w:keepNext w:val="0"/>
                    <w:keepLines w:val="0"/>
                    <w:suppressLineNumbers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抛光废气：产生量较小，加强车间通风，无组织排放</w:t>
                  </w:r>
                </w:p>
              </w:tc>
            </w:tr>
            <w:tr w14:paraId="79420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93" w:hRule="atLeast"/>
                <w:jc w:val="center"/>
              </w:trPr>
              <w:tc>
                <w:tcPr>
                  <w:tcW w:w="379" w:type="dxa"/>
                  <w:vMerge w:val="continue"/>
                  <w:vAlign w:val="center"/>
                </w:tcPr>
                <w:p w14:paraId="68D4BDD2">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vAlign w:val="center"/>
                </w:tcPr>
                <w:p w14:paraId="18FAFE0D">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危废贮存库废气G8</w:t>
                  </w:r>
                </w:p>
              </w:tc>
              <w:tc>
                <w:tcPr>
                  <w:tcW w:w="1590" w:type="dxa"/>
                  <w:shd w:val="clear" w:color="auto" w:fill="auto"/>
                  <w:vAlign w:val="center"/>
                </w:tcPr>
                <w:p w14:paraId="08AAD4E4">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s="Times New Roman"/>
                      <w:color w:val="000000" w:themeColor="text1"/>
                      <w:sz w:val="21"/>
                      <w:szCs w:val="21"/>
                      <w:lang w:val="en-US" w:eastAsia="zh-CN"/>
                      <w14:textFill>
                        <w14:solidFill>
                          <w14:schemeClr w14:val="tx1"/>
                        </w14:solidFill>
                      </w14:textFill>
                    </w:rPr>
                    <w:t>危废贮存库</w:t>
                  </w:r>
                </w:p>
              </w:tc>
              <w:tc>
                <w:tcPr>
                  <w:tcW w:w="1660" w:type="dxa"/>
                  <w:shd w:val="clear" w:color="auto" w:fill="auto"/>
                  <w:vAlign w:val="center"/>
                </w:tcPr>
                <w:p w14:paraId="2F810CC2">
                  <w:pPr>
                    <w:keepNext w:val="0"/>
                    <w:keepLines w:val="0"/>
                    <w:suppressLineNumbers w:val="0"/>
                    <w:shd w:val="clear" w:color="auto" w:fill="auto"/>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bCs/>
                      <w:color w:val="000000" w:themeColor="text1"/>
                      <w:szCs w:val="21"/>
                      <w:highlight w:val="none"/>
                      <w14:textFill>
                        <w14:solidFill>
                          <w14:schemeClr w14:val="tx1"/>
                        </w14:solidFill>
                      </w14:textFill>
                    </w:rPr>
                    <w:t>非甲烷总烃</w:t>
                  </w:r>
                </w:p>
              </w:tc>
              <w:tc>
                <w:tcPr>
                  <w:tcW w:w="2693" w:type="dxa"/>
                  <w:shd w:val="clear" w:color="auto" w:fill="auto"/>
                  <w:vAlign w:val="center"/>
                </w:tcPr>
                <w:p w14:paraId="0CF9E89D">
                  <w:pPr>
                    <w:keepNext w:val="0"/>
                    <w:keepLines w:val="0"/>
                    <w:suppressLineNumbers w:val="0"/>
                    <w:shd w:val="clear" w:color="auto" w:fill="auto"/>
                    <w:adjustRightInd w:val="0"/>
                    <w:snapToGrid w:val="0"/>
                    <w:spacing w:before="0" w:beforeAutospacing="0" w:after="0" w:afterAutospacing="0"/>
                    <w:ind w:left="0" w:leftChars="0" w:right="0" w:rightChars="0"/>
                    <w:jc w:val="both"/>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bCs/>
                      <w:color w:val="000000" w:themeColor="text1"/>
                      <w:szCs w:val="21"/>
                      <w:highlight w:val="none"/>
                      <w14:textFill>
                        <w14:solidFill>
                          <w14:schemeClr w14:val="tx1"/>
                        </w14:solidFill>
                      </w14:textFill>
                    </w:rPr>
                    <w:t>设置一套抽风</w:t>
                  </w:r>
                  <w:r>
                    <w:rPr>
                      <w:rFonts w:hint="default"/>
                      <w:bCs/>
                      <w:color w:val="000000" w:themeColor="text1"/>
                      <w:szCs w:val="21"/>
                      <w:highlight w:val="none"/>
                      <w:lang w:val="en-US" w:eastAsia="zh-CN"/>
                      <w14:textFill>
                        <w14:solidFill>
                          <w14:schemeClr w14:val="tx1"/>
                        </w14:solidFill>
                      </w14:textFill>
                    </w:rPr>
                    <w:t>装置</w:t>
                  </w:r>
                  <w:r>
                    <w:rPr>
                      <w:rFonts w:hint="default"/>
                      <w:bCs/>
                      <w:color w:val="000000" w:themeColor="text1"/>
                      <w:szCs w:val="21"/>
                      <w:highlight w:val="none"/>
                      <w14:textFill>
                        <w14:solidFill>
                          <w14:schemeClr w14:val="tx1"/>
                        </w14:solidFill>
                      </w14:textFill>
                    </w:rPr>
                    <w:t>，将废气引入“二级活性炭吸附”</w:t>
                  </w:r>
                  <w:r>
                    <w:rPr>
                      <w:rFonts w:hint="default"/>
                      <w:bCs/>
                      <w:color w:val="000000" w:themeColor="text1"/>
                      <w:szCs w:val="21"/>
                      <w:highlight w:val="none"/>
                      <w:lang w:val="en-US" w:eastAsia="zh-CN"/>
                      <w14:textFill>
                        <w14:solidFill>
                          <w14:schemeClr w14:val="tx1"/>
                        </w14:solidFill>
                      </w14:textFill>
                    </w:rPr>
                    <w:t>装置</w:t>
                  </w:r>
                  <w:r>
                    <w:rPr>
                      <w:rFonts w:hint="default"/>
                      <w:bCs/>
                      <w:color w:val="000000" w:themeColor="text1"/>
                      <w:szCs w:val="21"/>
                      <w:highlight w:val="none"/>
                      <w14:textFill>
                        <w14:solidFill>
                          <w14:schemeClr w14:val="tx1"/>
                        </w14:solidFill>
                      </w14:textFill>
                    </w:rPr>
                    <w:t>处理后通过1根15m高排气筒（DA00</w:t>
                  </w:r>
                  <w:r>
                    <w:rPr>
                      <w:rFonts w:hint="default"/>
                      <w:bCs/>
                      <w:color w:val="000000" w:themeColor="text1"/>
                      <w:szCs w:val="21"/>
                      <w:highlight w:val="none"/>
                      <w:lang w:val="en-US" w:eastAsia="zh-CN"/>
                      <w14:textFill>
                        <w14:solidFill>
                          <w14:schemeClr w14:val="tx1"/>
                        </w14:solidFill>
                      </w14:textFill>
                    </w:rPr>
                    <w:t>1</w:t>
                  </w:r>
                  <w:r>
                    <w:rPr>
                      <w:rFonts w:hint="default"/>
                      <w:bCs/>
                      <w:color w:val="000000" w:themeColor="text1"/>
                      <w:szCs w:val="21"/>
                      <w:highlight w:val="none"/>
                      <w14:textFill>
                        <w14:solidFill>
                          <w14:schemeClr w14:val="tx1"/>
                        </w14:solidFill>
                      </w14:textFill>
                    </w:rPr>
                    <w:t>）有组织排放。</w:t>
                  </w:r>
                </w:p>
              </w:tc>
            </w:tr>
            <w:tr w14:paraId="00FAB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193" w:hRule="atLeast"/>
                <w:jc w:val="center"/>
              </w:trPr>
              <w:tc>
                <w:tcPr>
                  <w:tcW w:w="379" w:type="dxa"/>
                  <w:vMerge w:val="continue"/>
                  <w:vAlign w:val="center"/>
                </w:tcPr>
                <w:p w14:paraId="2DB96AD2">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vAlign w:val="center"/>
                </w:tcPr>
                <w:p w14:paraId="7F3C1B1C">
                  <w:pPr>
                    <w:pStyle w:val="46"/>
                    <w:keepNext w:val="0"/>
                    <w:keepLines w:val="0"/>
                    <w:suppressLineNumbers w:val="0"/>
                    <w:spacing w:before="0" w:beforeAutospacing="0" w:after="0" w:afterAutospacing="0" w:line="240" w:lineRule="auto"/>
                    <w:ind w:left="0" w:right="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调漆废气G9</w:t>
                  </w:r>
                </w:p>
              </w:tc>
              <w:tc>
                <w:tcPr>
                  <w:tcW w:w="1590" w:type="dxa"/>
                  <w:shd w:val="clear" w:color="auto" w:fill="auto"/>
                  <w:vAlign w:val="center"/>
                </w:tcPr>
                <w:p w14:paraId="382D4DDD">
                  <w:pPr>
                    <w:pStyle w:val="46"/>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调漆</w:t>
                  </w:r>
                </w:p>
              </w:tc>
              <w:tc>
                <w:tcPr>
                  <w:tcW w:w="1660" w:type="dxa"/>
                  <w:shd w:val="clear" w:color="auto" w:fill="auto"/>
                  <w:vAlign w:val="center"/>
                </w:tcPr>
                <w:p w14:paraId="16D83B0F">
                  <w:pPr>
                    <w:keepNext w:val="0"/>
                    <w:keepLines w:val="0"/>
                    <w:suppressLineNumbers w:val="0"/>
                    <w:shd w:val="clear" w:color="auto" w:fill="auto"/>
                    <w:adjustRightInd w:val="0"/>
                    <w:snapToGrid w:val="0"/>
                    <w:spacing w:before="0" w:beforeAutospacing="0" w:after="0" w:afterAutospacing="0"/>
                    <w:ind w:left="0" w:leftChars="0" w:right="0" w:rightChars="0"/>
                    <w:jc w:val="center"/>
                    <w:rPr>
                      <w:rFonts w:hint="eastAsia"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非甲烷总烃</w:t>
                  </w:r>
                </w:p>
              </w:tc>
              <w:tc>
                <w:tcPr>
                  <w:tcW w:w="2693" w:type="dxa"/>
                  <w:shd w:val="clear" w:color="auto" w:fill="auto"/>
                  <w:vAlign w:val="center"/>
                </w:tcPr>
                <w:p w14:paraId="2BCD484A">
                  <w:pPr>
                    <w:keepNext w:val="0"/>
                    <w:keepLines w:val="0"/>
                    <w:suppressLineNumbers w:val="0"/>
                    <w:shd w:val="clear" w:color="auto" w:fill="auto"/>
                    <w:adjustRightInd w:val="0"/>
                    <w:snapToGrid w:val="0"/>
                    <w:spacing w:before="0" w:beforeAutospacing="0" w:after="0" w:afterAutospacing="0"/>
                    <w:ind w:left="0" w:leftChars="0" w:right="0" w:rightChars="0"/>
                    <w:jc w:val="both"/>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产生量较小，无组织排放</w:t>
                  </w:r>
                </w:p>
              </w:tc>
            </w:tr>
            <w:tr w14:paraId="49B09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379" w:type="dxa"/>
                  <w:vMerge w:val="restart"/>
                  <w:vAlign w:val="center"/>
                </w:tcPr>
                <w:p w14:paraId="3ABA421F">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w:t>
                  </w:r>
                </w:p>
              </w:tc>
              <w:tc>
                <w:tcPr>
                  <w:tcW w:w="1615" w:type="dxa"/>
                  <w:shd w:val="clear" w:color="auto" w:fill="auto"/>
                  <w:vAlign w:val="center"/>
                </w:tcPr>
                <w:p w14:paraId="24C5806D">
                  <w:pPr>
                    <w:pStyle w:val="45"/>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喷漆</w:t>
                  </w:r>
                  <w:r>
                    <w:rPr>
                      <w:rFonts w:hint="default" w:ascii="Times New Roman" w:hAnsi="Times New Roman" w:cs="Times New Roman"/>
                      <w:color w:val="000000" w:themeColor="text1"/>
                      <w:kern w:val="0"/>
                      <w:sz w:val="21"/>
                      <w:szCs w:val="21"/>
                      <w:lang w:eastAsia="zh-CN"/>
                      <w14:textFill>
                        <w14:solidFill>
                          <w14:schemeClr w14:val="tx1"/>
                        </w14:solidFill>
                      </w14:textFill>
                    </w:rPr>
                    <w:t>水帘湿式漆雾净化</w:t>
                  </w:r>
                  <w:r>
                    <w:rPr>
                      <w:rFonts w:hint="default" w:ascii="Times New Roman" w:hAnsi="Times New Roman" w:eastAsia="宋体" w:cs="Times New Roman"/>
                      <w:color w:val="000000" w:themeColor="text1"/>
                      <w:kern w:val="0"/>
                      <w:sz w:val="21"/>
                      <w:szCs w:val="21"/>
                      <w14:textFill>
                        <w14:solidFill>
                          <w14:schemeClr w14:val="tx1"/>
                        </w14:solidFill>
                      </w14:textFill>
                    </w:rPr>
                    <w:t>循环</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池</w:t>
                  </w:r>
                  <w:r>
                    <w:rPr>
                      <w:rFonts w:hint="default" w:ascii="Times New Roman" w:hAnsi="Times New Roman" w:eastAsia="宋体" w:cs="Times New Roman"/>
                      <w:color w:val="000000" w:themeColor="text1"/>
                      <w:kern w:val="0"/>
                      <w:sz w:val="21"/>
                      <w:szCs w:val="21"/>
                      <w14:textFill>
                        <w14:solidFill>
                          <w14:schemeClr w14:val="tx1"/>
                        </w14:solidFill>
                      </w14:textFill>
                    </w:rPr>
                    <w:t>废水W</w:t>
                  </w:r>
                  <w:r>
                    <w:rPr>
                      <w:rFonts w:hint="default" w:ascii="Times New Roman" w:hAnsi="Times New Roman" w:cs="Times New Roman"/>
                      <w:color w:val="000000" w:themeColor="text1"/>
                      <w:kern w:val="0"/>
                      <w:sz w:val="21"/>
                      <w:szCs w:val="21"/>
                      <w:lang w:val="en-US" w:eastAsia="zh-CN"/>
                      <w14:textFill>
                        <w14:solidFill>
                          <w14:schemeClr w14:val="tx1"/>
                        </w14:solidFill>
                      </w14:textFill>
                    </w:rPr>
                    <w:t>1</w:t>
                  </w:r>
                </w:p>
              </w:tc>
              <w:tc>
                <w:tcPr>
                  <w:tcW w:w="1590" w:type="dxa"/>
                  <w:shd w:val="clear" w:color="auto" w:fill="auto"/>
                  <w:vAlign w:val="center"/>
                </w:tcPr>
                <w:p w14:paraId="304F7CF8">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喷漆</w:t>
                  </w:r>
                </w:p>
              </w:tc>
              <w:tc>
                <w:tcPr>
                  <w:tcW w:w="1660" w:type="dxa"/>
                  <w:shd w:val="clear" w:color="auto" w:fill="auto"/>
                  <w:vAlign w:val="center"/>
                </w:tcPr>
                <w:p w14:paraId="1398F540">
                  <w:pPr>
                    <w:pStyle w:val="46"/>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COD、BOD</w:t>
                  </w:r>
                  <w:r>
                    <w:rPr>
                      <w:rFonts w:hint="default" w:ascii="Times New Roman" w:hAnsi="Times New Roman" w:eastAsia="宋体" w:cs="Times New Roman"/>
                      <w:color w:val="000000" w:themeColor="text1"/>
                      <w:kern w:val="0"/>
                      <w:sz w:val="21"/>
                      <w:szCs w:val="21"/>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、SS、</w:t>
                  </w:r>
                </w:p>
                <w:p w14:paraId="76C4E439">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NH</w:t>
                  </w:r>
                  <w:r>
                    <w:rPr>
                      <w:rFonts w:hint="default" w:ascii="Times New Roman" w:hAnsi="Times New Roman" w:eastAsia="宋体" w:cs="Times New Roman"/>
                      <w:color w:val="000000" w:themeColor="text1"/>
                      <w:kern w:val="0"/>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-N</w:t>
                  </w:r>
                </w:p>
              </w:tc>
              <w:tc>
                <w:tcPr>
                  <w:tcW w:w="2693" w:type="dxa"/>
                  <w:vAlign w:val="center"/>
                </w:tcPr>
                <w:p w14:paraId="0F8CB2CB">
                  <w:pPr>
                    <w:pStyle w:val="46"/>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经</w:t>
                  </w:r>
                  <w:r>
                    <w:rPr>
                      <w:rFonts w:hint="default" w:cs="Times New Roman"/>
                      <w:color w:val="000000" w:themeColor="text1"/>
                      <w:sz w:val="21"/>
                      <w:szCs w:val="21"/>
                      <w:lang w:eastAsia="zh-CN"/>
                      <w14:textFill>
                        <w14:solidFill>
                          <w14:schemeClr w14:val="tx1"/>
                        </w14:solidFill>
                      </w14:textFill>
                    </w:rPr>
                    <w:t>一体化生产废水处理站</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预处理后排入生化池处理</w:t>
                  </w:r>
                </w:p>
              </w:tc>
            </w:tr>
            <w:tr w14:paraId="40404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379" w:type="dxa"/>
                  <w:vMerge w:val="continue"/>
                  <w:vAlign w:val="center"/>
                </w:tcPr>
                <w:p w14:paraId="7792ADFF">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shd w:val="clear" w:color="auto" w:fill="auto"/>
                  <w:vAlign w:val="center"/>
                </w:tcPr>
                <w:p w14:paraId="064AE424">
                  <w:pPr>
                    <w:pStyle w:val="45"/>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洗枪废水W</w:t>
                  </w:r>
                  <w:r>
                    <w:rPr>
                      <w:rFonts w:hint="default" w:ascii="Times New Roman" w:hAnsi="Times New Roman" w:cs="Times New Roman"/>
                      <w:color w:val="000000" w:themeColor="text1"/>
                      <w:kern w:val="0"/>
                      <w:sz w:val="21"/>
                      <w:szCs w:val="21"/>
                      <w:lang w:val="en-US" w:eastAsia="zh-CN"/>
                      <w14:textFill>
                        <w14:solidFill>
                          <w14:schemeClr w14:val="tx1"/>
                        </w14:solidFill>
                      </w14:textFill>
                    </w:rPr>
                    <w:t>2</w:t>
                  </w:r>
                </w:p>
              </w:tc>
              <w:tc>
                <w:tcPr>
                  <w:tcW w:w="1590" w:type="dxa"/>
                  <w:shd w:val="clear" w:color="auto" w:fill="auto"/>
                  <w:vAlign w:val="center"/>
                </w:tcPr>
                <w:p w14:paraId="7ECBEACF">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喷漆</w:t>
                  </w:r>
                </w:p>
              </w:tc>
              <w:tc>
                <w:tcPr>
                  <w:tcW w:w="1660" w:type="dxa"/>
                  <w:shd w:val="clear" w:color="auto" w:fill="auto"/>
                  <w:vAlign w:val="center"/>
                </w:tcPr>
                <w:p w14:paraId="4235001A">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w:t>
                  </w:r>
                </w:p>
              </w:tc>
              <w:tc>
                <w:tcPr>
                  <w:tcW w:w="2693" w:type="dxa"/>
                  <w:vAlign w:val="center"/>
                </w:tcPr>
                <w:p w14:paraId="0000B7F3">
                  <w:pPr>
                    <w:pStyle w:val="46"/>
                    <w:keepNext w:val="0"/>
                    <w:keepLines w:val="0"/>
                    <w:suppressLineNumbers w:val="0"/>
                    <w:spacing w:before="0" w:beforeAutospacing="0" w:after="0" w:afterAutospacing="0" w:line="240" w:lineRule="auto"/>
                    <w:ind w:left="0" w:right="0"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回用于调漆</w:t>
                  </w:r>
                </w:p>
              </w:tc>
            </w:tr>
            <w:tr w14:paraId="4CCDD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379" w:type="dxa"/>
                  <w:vMerge w:val="continue"/>
                  <w:vAlign w:val="center"/>
                </w:tcPr>
                <w:p w14:paraId="072529FA">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shd w:val="clear" w:color="auto" w:fill="auto"/>
                  <w:vAlign w:val="center"/>
                </w:tcPr>
                <w:p w14:paraId="6E77FDB3">
                  <w:pPr>
                    <w:pStyle w:val="45"/>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SA"/>
                      <w14:textFill>
                        <w14:solidFill>
                          <w14:schemeClr w14:val="tx1"/>
                        </w14:solidFill>
                      </w14:textFill>
                    </w:rPr>
                    <w:t>洗手废水W3</w:t>
                  </w:r>
                </w:p>
              </w:tc>
              <w:tc>
                <w:tcPr>
                  <w:tcW w:w="1590" w:type="dxa"/>
                  <w:shd w:val="clear" w:color="auto" w:fill="auto"/>
                  <w:vAlign w:val="center"/>
                </w:tcPr>
                <w:p w14:paraId="1BD5085A">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s="Times New Roman"/>
                      <w:color w:val="000000" w:themeColor="text1"/>
                      <w:kern w:val="0"/>
                      <w:sz w:val="21"/>
                      <w:szCs w:val="21"/>
                      <w:lang w:val="en-US" w:eastAsia="zh-CN" w:bidi="ar-SA"/>
                      <w14:textFill>
                        <w14:solidFill>
                          <w14:schemeClr w14:val="tx1"/>
                        </w14:solidFill>
                      </w14:textFill>
                    </w:rPr>
                    <w:t>员工洗手</w:t>
                  </w:r>
                </w:p>
              </w:tc>
              <w:tc>
                <w:tcPr>
                  <w:tcW w:w="1660" w:type="dxa"/>
                  <w:shd w:val="clear" w:color="auto" w:fill="auto"/>
                  <w:vAlign w:val="center"/>
                </w:tcPr>
                <w:p w14:paraId="6CDD3AD6">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COD、SS、石油类</w:t>
                  </w:r>
                </w:p>
              </w:tc>
              <w:tc>
                <w:tcPr>
                  <w:tcW w:w="2693" w:type="dxa"/>
                  <w:shd w:val="clear" w:color="auto" w:fill="auto"/>
                  <w:vAlign w:val="center"/>
                </w:tcPr>
                <w:p w14:paraId="3038EC1B">
                  <w:pPr>
                    <w:pStyle w:val="46"/>
                    <w:keepNext w:val="0"/>
                    <w:keepLines w:val="0"/>
                    <w:suppressLineNumbers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经油水分离器预处理后排入生化池处理</w:t>
                  </w:r>
                </w:p>
              </w:tc>
            </w:tr>
            <w:tr w14:paraId="0BC8E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67" w:hRule="atLeast"/>
                <w:jc w:val="center"/>
              </w:trPr>
              <w:tc>
                <w:tcPr>
                  <w:tcW w:w="379" w:type="dxa"/>
                  <w:vMerge w:val="continue"/>
                  <w:vAlign w:val="center"/>
                </w:tcPr>
                <w:p w14:paraId="4A298503">
                  <w:pPr>
                    <w:pStyle w:val="4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14:textFill>
                        <w14:solidFill>
                          <w14:schemeClr w14:val="tx1"/>
                        </w14:solidFill>
                      </w14:textFill>
                    </w:rPr>
                  </w:pPr>
                </w:p>
              </w:tc>
              <w:tc>
                <w:tcPr>
                  <w:tcW w:w="1615" w:type="dxa"/>
                  <w:vAlign w:val="center"/>
                </w:tcPr>
                <w:p w14:paraId="58CB70C8">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生活废水W4</w:t>
                  </w:r>
                </w:p>
              </w:tc>
              <w:tc>
                <w:tcPr>
                  <w:tcW w:w="1590" w:type="dxa"/>
                  <w:vAlign w:val="center"/>
                </w:tcPr>
                <w:p w14:paraId="4FBA0796">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员工生活</w:t>
                  </w:r>
                </w:p>
              </w:tc>
              <w:tc>
                <w:tcPr>
                  <w:tcW w:w="1660" w:type="dxa"/>
                  <w:shd w:val="clear" w:color="auto" w:fill="auto"/>
                  <w:vAlign w:val="center"/>
                </w:tcPr>
                <w:p w14:paraId="41CD5FFF">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、SS、NH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-N、总磷</w:t>
                  </w:r>
                </w:p>
              </w:tc>
              <w:tc>
                <w:tcPr>
                  <w:tcW w:w="2693" w:type="dxa"/>
                  <w:shd w:val="clear" w:color="auto" w:fill="auto"/>
                  <w:vAlign w:val="center"/>
                </w:tcPr>
                <w:p w14:paraId="5D42839D">
                  <w:pPr>
                    <w:pStyle w:val="46"/>
                    <w:keepNext w:val="0"/>
                    <w:keepLines w:val="0"/>
                    <w:suppressLineNumbers w:val="0"/>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经生化池处理后达标排放</w:t>
                  </w:r>
                </w:p>
              </w:tc>
            </w:tr>
            <w:tr w14:paraId="43DCE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8" w:hRule="atLeast"/>
                <w:jc w:val="center"/>
              </w:trPr>
              <w:tc>
                <w:tcPr>
                  <w:tcW w:w="379" w:type="dxa"/>
                  <w:vAlign w:val="center"/>
                </w:tcPr>
                <w:p w14:paraId="7032CC4A">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1615" w:type="dxa"/>
                  <w:vAlign w:val="center"/>
                </w:tcPr>
                <w:p w14:paraId="450BDBDC">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w:t>
                  </w:r>
                </w:p>
              </w:tc>
              <w:tc>
                <w:tcPr>
                  <w:tcW w:w="1590" w:type="dxa"/>
                  <w:vAlign w:val="center"/>
                </w:tcPr>
                <w:p w14:paraId="21D59069">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生产设备</w:t>
                  </w:r>
                </w:p>
              </w:tc>
              <w:tc>
                <w:tcPr>
                  <w:tcW w:w="1660" w:type="dxa"/>
                  <w:vAlign w:val="center"/>
                </w:tcPr>
                <w:p w14:paraId="0D9BE9F2">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2693" w:type="dxa"/>
                  <w:vAlign w:val="center"/>
                </w:tcPr>
                <w:p w14:paraId="52467499">
                  <w:pPr>
                    <w:pStyle w:val="47"/>
                    <w:keepNext w:val="0"/>
                    <w:keepLines w:val="0"/>
                    <w:suppressLineNumbers w:val="0"/>
                    <w:spacing w:before="0" w:beforeAutospacing="0" w:after="0" w:afterAutospacing="0"/>
                    <w:ind w:left="0" w:right="0" w:firstLine="0" w:firstLineChars="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隔声、减振</w:t>
                  </w:r>
                </w:p>
              </w:tc>
            </w:tr>
            <w:tr w14:paraId="78DAB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12" w:hRule="atLeast"/>
                <w:jc w:val="center"/>
              </w:trPr>
              <w:tc>
                <w:tcPr>
                  <w:tcW w:w="379" w:type="dxa"/>
                  <w:vMerge w:val="restart"/>
                  <w:vAlign w:val="center"/>
                </w:tcPr>
                <w:p w14:paraId="0BD5716D">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固废</w:t>
                  </w:r>
                </w:p>
              </w:tc>
              <w:tc>
                <w:tcPr>
                  <w:tcW w:w="1615" w:type="dxa"/>
                  <w:vAlign w:val="center"/>
                </w:tcPr>
                <w:p w14:paraId="0F2AA39A">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废砂纸S1</w:t>
                  </w:r>
                </w:p>
              </w:tc>
              <w:tc>
                <w:tcPr>
                  <w:tcW w:w="1590" w:type="dxa"/>
                  <w:vAlign w:val="center"/>
                </w:tcPr>
                <w:p w14:paraId="03F00A9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打磨</w:t>
                  </w:r>
                </w:p>
              </w:tc>
              <w:tc>
                <w:tcPr>
                  <w:tcW w:w="1660" w:type="dxa"/>
                  <w:vAlign w:val="center"/>
                </w:tcPr>
                <w:p w14:paraId="328460C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一般固体废物</w:t>
                  </w:r>
                </w:p>
              </w:tc>
              <w:tc>
                <w:tcPr>
                  <w:tcW w:w="2693" w:type="dxa"/>
                  <w:vAlign w:val="center"/>
                </w:tcPr>
                <w:p w14:paraId="38326716">
                  <w:pPr>
                    <w:pStyle w:val="47"/>
                    <w:keepNext w:val="0"/>
                    <w:keepLines w:val="0"/>
                    <w:suppressLineNumbers w:val="0"/>
                    <w:spacing w:before="0" w:beforeAutospacing="0" w:after="0" w:afterAutospacing="0"/>
                    <w:ind w:left="0" w:right="0" w:firstLine="0" w:firstLineChars="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暂存于一般固废暂存</w:t>
                  </w:r>
                  <w:r>
                    <w:rPr>
                      <w:rFonts w:hint="default"/>
                      <w:color w:val="000000" w:themeColor="text1"/>
                      <w:sz w:val="21"/>
                      <w:szCs w:val="21"/>
                      <w:lang w:eastAsia="zh-CN"/>
                      <w14:textFill>
                        <w14:solidFill>
                          <w14:schemeClr w14:val="tx1"/>
                        </w14:solidFill>
                      </w14:textFill>
                    </w:rPr>
                    <w:t>间</w:t>
                  </w:r>
                  <w:r>
                    <w:rPr>
                      <w:rFonts w:hint="default"/>
                      <w:color w:val="000000" w:themeColor="text1"/>
                      <w:sz w:val="21"/>
                      <w:szCs w:val="21"/>
                      <w14:textFill>
                        <w14:solidFill>
                          <w14:schemeClr w14:val="tx1"/>
                        </w14:solidFill>
                      </w14:textFill>
                    </w:rPr>
                    <w:t>，交物资回收单位回收利用</w:t>
                  </w:r>
                </w:p>
              </w:tc>
            </w:tr>
            <w:tr w14:paraId="73112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12" w:hRule="atLeast"/>
                <w:jc w:val="center"/>
              </w:trPr>
              <w:tc>
                <w:tcPr>
                  <w:tcW w:w="379" w:type="dxa"/>
                  <w:vMerge w:val="continue"/>
                  <w:vAlign w:val="center"/>
                </w:tcPr>
                <w:p w14:paraId="69687130">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vAlign w:val="center"/>
                </w:tcPr>
                <w:p w14:paraId="1B2579F4">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w:t>
                  </w:r>
                  <w:r>
                    <w:rPr>
                      <w:rFonts w:hint="default" w:ascii="Times New Roman" w:hAnsi="Times New Roman"/>
                      <w:color w:val="000000" w:themeColor="text1"/>
                      <w:lang w:val="en-US" w:eastAsia="zh-CN"/>
                      <w14:textFill>
                        <w14:solidFill>
                          <w14:schemeClr w14:val="tx1"/>
                        </w14:solidFill>
                      </w14:textFill>
                    </w:rPr>
                    <w:t>水性</w:t>
                  </w:r>
                  <w:r>
                    <w:rPr>
                      <w:rFonts w:hint="default" w:ascii="Times New Roman" w:hAnsi="Times New Roman" w:eastAsia="宋体" w:cs="Times New Roman"/>
                      <w:color w:val="000000" w:themeColor="text1"/>
                      <w:sz w:val="21"/>
                      <w:szCs w:val="21"/>
                      <w14:textFill>
                        <w14:solidFill>
                          <w14:schemeClr w14:val="tx1"/>
                        </w14:solidFill>
                      </w14:textFill>
                    </w:rPr>
                    <w:t>漆S</w:t>
                  </w: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590" w:type="dxa"/>
                  <w:vAlign w:val="center"/>
                </w:tcPr>
                <w:p w14:paraId="4A8EF3D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喷漆</w:t>
                  </w:r>
                </w:p>
              </w:tc>
              <w:tc>
                <w:tcPr>
                  <w:tcW w:w="1660" w:type="dxa"/>
                  <w:vAlign w:val="center"/>
                </w:tcPr>
                <w:p w14:paraId="42022658">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693" w:type="dxa"/>
                  <w:vMerge w:val="restart"/>
                  <w:vAlign w:val="center"/>
                </w:tcPr>
                <w:p w14:paraId="13EF0C7F">
                  <w:pPr>
                    <w:pStyle w:val="47"/>
                    <w:keepNext w:val="0"/>
                    <w:keepLines w:val="0"/>
                    <w:suppressLineNumbers w:val="0"/>
                    <w:spacing w:before="0" w:beforeAutospacing="0" w:after="0" w:afterAutospacing="0"/>
                    <w:ind w:left="0" w:right="0" w:firstLine="0" w:firstLineChars="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按当地环保相关要求，需进行危险废物属性鉴别，鉴别前暂按危废贮存与管理</w:t>
                  </w:r>
                </w:p>
              </w:tc>
            </w:tr>
            <w:tr w14:paraId="75E79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12" w:hRule="atLeast"/>
                <w:jc w:val="center"/>
              </w:trPr>
              <w:tc>
                <w:tcPr>
                  <w:tcW w:w="379" w:type="dxa"/>
                  <w:vMerge w:val="continue"/>
                  <w:vAlign w:val="center"/>
                </w:tcPr>
                <w:p w14:paraId="04E6A349">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vAlign w:val="center"/>
                </w:tcPr>
                <w:p w14:paraId="2ECF59EC">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废水性漆桶S</w:t>
                  </w: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1590" w:type="dxa"/>
                  <w:vAlign w:val="center"/>
                </w:tcPr>
                <w:p w14:paraId="31556AB3">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调漆</w:t>
                  </w:r>
                </w:p>
              </w:tc>
              <w:tc>
                <w:tcPr>
                  <w:tcW w:w="1660" w:type="dxa"/>
                  <w:vAlign w:val="center"/>
                </w:tcPr>
                <w:p w14:paraId="2B25EF9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p>
              </w:tc>
              <w:tc>
                <w:tcPr>
                  <w:tcW w:w="2693" w:type="dxa"/>
                  <w:vMerge w:val="continue"/>
                  <w:vAlign w:val="center"/>
                </w:tcPr>
                <w:p w14:paraId="1D5468CC">
                  <w:pPr>
                    <w:pStyle w:val="47"/>
                    <w:keepNext w:val="0"/>
                    <w:keepLines w:val="0"/>
                    <w:suppressLineNumbers w:val="0"/>
                    <w:spacing w:before="0" w:beforeAutospacing="0" w:after="0" w:afterAutospacing="0"/>
                    <w:ind w:left="0" w:right="0" w:firstLine="0" w:firstLineChars="0"/>
                    <w:jc w:val="both"/>
                    <w:rPr>
                      <w:rFonts w:hint="default" w:ascii="Times New Roman" w:hAnsi="Times New Roman" w:eastAsia="宋体" w:cs="Times New Roman"/>
                      <w:color w:val="000000" w:themeColor="text1"/>
                      <w:sz w:val="21"/>
                      <w:szCs w:val="21"/>
                      <w14:textFill>
                        <w14:solidFill>
                          <w14:schemeClr w14:val="tx1"/>
                        </w14:solidFill>
                      </w14:textFill>
                    </w:rPr>
                  </w:pPr>
                </w:p>
              </w:tc>
            </w:tr>
            <w:tr w14:paraId="207B6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12" w:hRule="atLeast"/>
                <w:jc w:val="center"/>
              </w:trPr>
              <w:tc>
                <w:tcPr>
                  <w:tcW w:w="379" w:type="dxa"/>
                  <w:vMerge w:val="continue"/>
                  <w:vAlign w:val="center"/>
                </w:tcPr>
                <w:p w14:paraId="72B207DF">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vAlign w:val="center"/>
                </w:tcPr>
                <w:p w14:paraId="55E0A0A9">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水性漆渣</w:t>
                  </w:r>
                  <w:r>
                    <w:rPr>
                      <w:rFonts w:hint="default" w:ascii="Times New Roman" w:hAnsi="Times New Roman" w:eastAsia="宋体" w:cs="Times New Roman"/>
                      <w:color w:val="000000" w:themeColor="text1"/>
                      <w:sz w:val="21"/>
                      <w:szCs w:val="21"/>
                      <w14:textFill>
                        <w14:solidFill>
                          <w14:schemeClr w14:val="tx1"/>
                        </w14:solidFill>
                      </w14:textFill>
                    </w:rPr>
                    <w:t>S</w:t>
                  </w: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1590" w:type="dxa"/>
                  <w:vAlign w:val="center"/>
                </w:tcPr>
                <w:p w14:paraId="378F26F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喷漆废水处理</w:t>
                  </w:r>
                </w:p>
              </w:tc>
              <w:tc>
                <w:tcPr>
                  <w:tcW w:w="1660" w:type="dxa"/>
                  <w:vAlign w:val="center"/>
                </w:tcPr>
                <w:p w14:paraId="4427E9E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693" w:type="dxa"/>
                  <w:vMerge w:val="continue"/>
                  <w:vAlign w:val="center"/>
                </w:tcPr>
                <w:p w14:paraId="025ACE93">
                  <w:pPr>
                    <w:pStyle w:val="47"/>
                    <w:keepNext w:val="0"/>
                    <w:keepLines w:val="0"/>
                    <w:suppressLineNumbers w:val="0"/>
                    <w:spacing w:before="0" w:beforeAutospacing="0" w:after="0" w:afterAutospacing="0"/>
                    <w:ind w:left="0" w:right="0" w:firstLine="0" w:firstLineChars="0"/>
                    <w:jc w:val="both"/>
                    <w:rPr>
                      <w:rFonts w:hint="default" w:ascii="Times New Roman" w:hAnsi="Times New Roman" w:eastAsia="宋体" w:cs="Times New Roman"/>
                      <w:color w:val="000000" w:themeColor="text1"/>
                      <w:sz w:val="21"/>
                      <w:szCs w:val="21"/>
                      <w14:textFill>
                        <w14:solidFill>
                          <w14:schemeClr w14:val="tx1"/>
                        </w14:solidFill>
                      </w14:textFill>
                    </w:rPr>
                  </w:pPr>
                </w:p>
              </w:tc>
            </w:tr>
            <w:tr w14:paraId="22D78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12" w:hRule="atLeast"/>
                <w:jc w:val="center"/>
              </w:trPr>
              <w:tc>
                <w:tcPr>
                  <w:tcW w:w="379" w:type="dxa"/>
                  <w:vMerge w:val="continue"/>
                  <w:vAlign w:val="center"/>
                </w:tcPr>
                <w:p w14:paraId="51747716">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vAlign w:val="center"/>
                </w:tcPr>
                <w:p w14:paraId="76FBBCFD">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废过滤棉</w:t>
                  </w:r>
                  <w:r>
                    <w:rPr>
                      <w:rFonts w:hint="default" w:ascii="Times New Roman" w:hAnsi="Times New Roman" w:eastAsia="宋体" w:cs="Times New Roman"/>
                      <w:color w:val="000000" w:themeColor="text1"/>
                      <w:sz w:val="21"/>
                      <w:szCs w:val="21"/>
                      <w:lang w:eastAsia="zh-CN"/>
                      <w14:textFill>
                        <w14:solidFill>
                          <w14:schemeClr w14:val="tx1"/>
                        </w14:solidFill>
                      </w14:textFill>
                    </w:rPr>
                    <w:t>S</w:t>
                  </w: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1590" w:type="dxa"/>
                  <w:shd w:val="clear" w:color="auto" w:fill="auto"/>
                  <w:vAlign w:val="center"/>
                </w:tcPr>
                <w:p w14:paraId="7C88D5E6">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喷漆废气处理</w:t>
                  </w:r>
                </w:p>
              </w:tc>
              <w:tc>
                <w:tcPr>
                  <w:tcW w:w="1660" w:type="dxa"/>
                  <w:shd w:val="clear" w:color="auto" w:fill="auto"/>
                  <w:vAlign w:val="center"/>
                </w:tcPr>
                <w:p w14:paraId="657617BA">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危险废物</w:t>
                  </w:r>
                </w:p>
              </w:tc>
              <w:tc>
                <w:tcPr>
                  <w:tcW w:w="2693" w:type="dxa"/>
                  <w:vMerge w:val="restart"/>
                  <w:shd w:val="clear" w:color="auto" w:fill="auto"/>
                  <w:vAlign w:val="center"/>
                </w:tcPr>
                <w:p w14:paraId="1A71DBC5">
                  <w:pPr>
                    <w:pStyle w:val="47"/>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暂存于</w:t>
                  </w:r>
                  <w:r>
                    <w:rPr>
                      <w:rFonts w:hint="default"/>
                      <w:color w:val="000000" w:themeColor="text1"/>
                      <w:sz w:val="21"/>
                      <w:szCs w:val="21"/>
                      <w:lang w:eastAsia="zh-CN"/>
                      <w14:textFill>
                        <w14:solidFill>
                          <w14:schemeClr w14:val="tx1"/>
                        </w14:solidFill>
                      </w14:textFill>
                    </w:rPr>
                    <w:t>危废贮存库</w:t>
                  </w:r>
                  <w:r>
                    <w:rPr>
                      <w:rFonts w:hint="default"/>
                      <w:color w:val="000000" w:themeColor="text1"/>
                      <w:sz w:val="21"/>
                      <w:szCs w:val="21"/>
                      <w14:textFill>
                        <w14:solidFill>
                          <w14:schemeClr w14:val="tx1"/>
                        </w14:solidFill>
                      </w14:textFill>
                    </w:rPr>
                    <w:t>内，定期交由有资质单位处置</w:t>
                  </w:r>
                </w:p>
              </w:tc>
            </w:tr>
            <w:tr w14:paraId="4F440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24" w:hRule="atLeast"/>
                <w:jc w:val="center"/>
              </w:trPr>
              <w:tc>
                <w:tcPr>
                  <w:tcW w:w="379" w:type="dxa"/>
                  <w:vMerge w:val="continue"/>
                  <w:vAlign w:val="center"/>
                </w:tcPr>
                <w:p w14:paraId="63B9C808">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vAlign w:val="center"/>
                </w:tcPr>
                <w:p w14:paraId="38B830CE">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废活性炭S</w:t>
                  </w:r>
                  <w:r>
                    <w:rPr>
                      <w:rFonts w:hint="default" w:ascii="Times New Roman" w:hAnsi="Times New Roman" w:cs="Times New Roman"/>
                      <w:color w:val="000000" w:themeColor="text1"/>
                      <w:sz w:val="21"/>
                      <w:szCs w:val="21"/>
                      <w:lang w:val="en-US" w:eastAsia="zh-CN"/>
                      <w14:textFill>
                        <w14:solidFill>
                          <w14:schemeClr w14:val="tx1"/>
                        </w14:solidFill>
                      </w14:textFill>
                    </w:rPr>
                    <w:t>6</w:t>
                  </w:r>
                </w:p>
              </w:tc>
              <w:tc>
                <w:tcPr>
                  <w:tcW w:w="1590" w:type="dxa"/>
                  <w:vAlign w:val="center"/>
                </w:tcPr>
                <w:p w14:paraId="59577FD8">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喷漆废气处理</w:t>
                  </w:r>
                </w:p>
              </w:tc>
              <w:tc>
                <w:tcPr>
                  <w:tcW w:w="1660" w:type="dxa"/>
                  <w:vAlign w:val="center"/>
                </w:tcPr>
                <w:p w14:paraId="003F637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危险废物</w:t>
                  </w:r>
                </w:p>
              </w:tc>
              <w:tc>
                <w:tcPr>
                  <w:tcW w:w="2693" w:type="dxa"/>
                  <w:vMerge w:val="continue"/>
                  <w:shd w:val="clear" w:color="auto" w:fill="auto"/>
                  <w:vAlign w:val="center"/>
                </w:tcPr>
                <w:p w14:paraId="5F4B7FDD">
                  <w:pPr>
                    <w:pStyle w:val="47"/>
                    <w:keepNext w:val="0"/>
                    <w:keepLines w:val="0"/>
                    <w:suppressLineNumbers w:val="0"/>
                    <w:spacing w:before="0" w:beforeAutospacing="0" w:after="0" w:afterAutospacing="0"/>
                    <w:ind w:left="0" w:right="0" w:firstLine="0" w:firstLine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46EDB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24" w:hRule="atLeast"/>
                <w:jc w:val="center"/>
              </w:trPr>
              <w:tc>
                <w:tcPr>
                  <w:tcW w:w="379" w:type="dxa"/>
                  <w:vMerge w:val="continue"/>
                  <w:vAlign w:val="center"/>
                </w:tcPr>
                <w:p w14:paraId="03899F84">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vAlign w:val="center"/>
                </w:tcPr>
                <w:p w14:paraId="6F010632">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w:t>
                  </w:r>
                  <w:r>
                    <w:rPr>
                      <w:rFonts w:hint="eastAsia" w:ascii="Times New Roman" w:hAnsi="Times New Roman" w:cs="Times New Roman"/>
                      <w:color w:val="000000" w:themeColor="text1"/>
                      <w:sz w:val="21"/>
                      <w:szCs w:val="21"/>
                      <w:lang w:val="en-US" w:eastAsia="zh-CN"/>
                      <w14:textFill>
                        <w14:solidFill>
                          <w14:schemeClr w14:val="tx1"/>
                        </w14:solidFill>
                      </w14:textFill>
                    </w:rPr>
                    <w:t>高分子过滤棉</w:t>
                  </w:r>
                  <w:r>
                    <w:rPr>
                      <w:rFonts w:hint="default" w:ascii="Times New Roman" w:hAnsi="Times New Roman" w:eastAsia="宋体" w:cs="Times New Roman"/>
                      <w:color w:val="000000" w:themeColor="text1"/>
                      <w:sz w:val="21"/>
                      <w:szCs w:val="21"/>
                      <w14:textFill>
                        <w14:solidFill>
                          <w14:schemeClr w14:val="tx1"/>
                        </w14:solidFill>
                      </w14:textFill>
                    </w:rPr>
                    <w:t>S</w:t>
                  </w: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1590" w:type="dxa"/>
                  <w:vAlign w:val="center"/>
                </w:tcPr>
                <w:p w14:paraId="087E4E9F">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喷漆废气处理</w:t>
                  </w:r>
                </w:p>
              </w:tc>
              <w:tc>
                <w:tcPr>
                  <w:tcW w:w="1660" w:type="dxa"/>
                  <w:vAlign w:val="center"/>
                </w:tcPr>
                <w:p w14:paraId="1A40105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危险废物</w:t>
                  </w:r>
                </w:p>
              </w:tc>
              <w:tc>
                <w:tcPr>
                  <w:tcW w:w="2693" w:type="dxa"/>
                  <w:vMerge w:val="continue"/>
                  <w:shd w:val="clear" w:color="auto" w:fill="auto"/>
                  <w:vAlign w:val="center"/>
                </w:tcPr>
                <w:p w14:paraId="245B3EA5">
                  <w:pPr>
                    <w:pStyle w:val="47"/>
                    <w:keepNext w:val="0"/>
                    <w:keepLines w:val="0"/>
                    <w:suppressLineNumbers w:val="0"/>
                    <w:spacing w:before="0" w:beforeAutospacing="0" w:after="0" w:afterAutospacing="0"/>
                    <w:ind w:left="0" w:right="0" w:firstLine="0" w:firstLine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r>
            <w:tr w14:paraId="15ADD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24" w:hRule="atLeast"/>
                <w:jc w:val="center"/>
              </w:trPr>
              <w:tc>
                <w:tcPr>
                  <w:tcW w:w="379" w:type="dxa"/>
                  <w:vMerge w:val="continue"/>
                  <w:vAlign w:val="center"/>
                </w:tcPr>
                <w:p w14:paraId="6C9832F9">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vAlign w:val="center"/>
                </w:tcPr>
                <w:p w14:paraId="48592C2D">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废贴花纸S</w:t>
                  </w:r>
                  <w:r>
                    <w:rPr>
                      <w:rFonts w:hint="default" w:ascii="Times New Roman" w:hAnsi="Times New Roman" w:cs="Times New Roman"/>
                      <w:color w:val="000000" w:themeColor="text1"/>
                      <w:sz w:val="21"/>
                      <w:szCs w:val="21"/>
                      <w:lang w:val="en-US" w:eastAsia="zh-CN"/>
                      <w14:textFill>
                        <w14:solidFill>
                          <w14:schemeClr w14:val="tx1"/>
                        </w14:solidFill>
                      </w14:textFill>
                    </w:rPr>
                    <w:t>8</w:t>
                  </w:r>
                </w:p>
              </w:tc>
              <w:tc>
                <w:tcPr>
                  <w:tcW w:w="1590" w:type="dxa"/>
                  <w:vAlign w:val="center"/>
                </w:tcPr>
                <w:p w14:paraId="3781A70D">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贴花</w:t>
                  </w:r>
                </w:p>
              </w:tc>
              <w:tc>
                <w:tcPr>
                  <w:tcW w:w="1660" w:type="dxa"/>
                  <w:vAlign w:val="center"/>
                </w:tcPr>
                <w:p w14:paraId="4B26D963">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一般固体废物</w:t>
                  </w:r>
                </w:p>
              </w:tc>
              <w:tc>
                <w:tcPr>
                  <w:tcW w:w="2693" w:type="dxa"/>
                  <w:shd w:val="clear" w:color="auto" w:fill="auto"/>
                  <w:vAlign w:val="center"/>
                </w:tcPr>
                <w:p w14:paraId="1E78E3F8">
                  <w:pPr>
                    <w:pStyle w:val="47"/>
                    <w:keepNext w:val="0"/>
                    <w:keepLines w:val="0"/>
                    <w:suppressLineNumbers w:val="0"/>
                    <w:spacing w:before="0" w:beforeAutospacing="0" w:after="0" w:afterAutospacing="0"/>
                    <w:ind w:left="0" w:right="0" w:firstLine="0" w:firstLineChars="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暂存于一般固废暂存</w:t>
                  </w:r>
                  <w:r>
                    <w:rPr>
                      <w:rFonts w:hint="default"/>
                      <w:color w:val="000000" w:themeColor="text1"/>
                      <w:sz w:val="21"/>
                      <w:szCs w:val="21"/>
                      <w:lang w:eastAsia="zh-CN"/>
                      <w14:textFill>
                        <w14:solidFill>
                          <w14:schemeClr w14:val="tx1"/>
                        </w14:solidFill>
                      </w14:textFill>
                    </w:rPr>
                    <w:t>间</w:t>
                  </w:r>
                  <w:r>
                    <w:rPr>
                      <w:rFonts w:hint="default"/>
                      <w:color w:val="000000" w:themeColor="text1"/>
                      <w:sz w:val="21"/>
                      <w:szCs w:val="21"/>
                      <w14:textFill>
                        <w14:solidFill>
                          <w14:schemeClr w14:val="tx1"/>
                        </w14:solidFill>
                      </w14:textFill>
                    </w:rPr>
                    <w:t>，交物资回收单位回收利用</w:t>
                  </w:r>
                </w:p>
              </w:tc>
            </w:tr>
            <w:tr w14:paraId="3083D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524" w:hRule="atLeast"/>
                <w:jc w:val="center"/>
              </w:trPr>
              <w:tc>
                <w:tcPr>
                  <w:tcW w:w="379" w:type="dxa"/>
                  <w:vMerge w:val="continue"/>
                  <w:vAlign w:val="center"/>
                </w:tcPr>
                <w:p w14:paraId="0E052284">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vAlign w:val="center"/>
                </w:tcPr>
                <w:p w14:paraId="05EB7DE4">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废遮蔽纸S9</w:t>
                  </w:r>
                </w:p>
              </w:tc>
              <w:tc>
                <w:tcPr>
                  <w:tcW w:w="1590" w:type="dxa"/>
                  <w:vAlign w:val="center"/>
                </w:tcPr>
                <w:p w14:paraId="708433E0">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遮蔽</w:t>
                  </w:r>
                </w:p>
              </w:tc>
              <w:tc>
                <w:tcPr>
                  <w:tcW w:w="1660" w:type="dxa"/>
                  <w:vAlign w:val="center"/>
                </w:tcPr>
                <w:p w14:paraId="45BE0FC9">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693" w:type="dxa"/>
                  <w:shd w:val="clear" w:color="auto" w:fill="auto"/>
                  <w:vAlign w:val="center"/>
                </w:tcPr>
                <w:p w14:paraId="199895E6">
                  <w:pPr>
                    <w:pStyle w:val="47"/>
                    <w:keepNext w:val="0"/>
                    <w:keepLines w:val="0"/>
                    <w:suppressLineNumbers w:val="0"/>
                    <w:spacing w:before="0" w:beforeAutospacing="0" w:after="0" w:afterAutospacing="0"/>
                    <w:ind w:left="0" w:right="0" w:firstLine="0" w:firstLineChars="0"/>
                    <w:jc w:val="both"/>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按当地环保相关要求，需进行危险废物属性鉴别，鉴别前暂按危废贮存与管理</w:t>
                  </w:r>
                </w:p>
              </w:tc>
            </w:tr>
            <w:tr w14:paraId="7B392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232" w:hRule="atLeast"/>
                <w:jc w:val="center"/>
              </w:trPr>
              <w:tc>
                <w:tcPr>
                  <w:tcW w:w="379" w:type="dxa"/>
                  <w:vMerge w:val="continue"/>
                  <w:vAlign w:val="center"/>
                </w:tcPr>
                <w:p w14:paraId="34701401">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shd w:val="clear" w:color="auto" w:fill="auto"/>
                  <w:vAlign w:val="center"/>
                </w:tcPr>
                <w:p w14:paraId="038AB6AA">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不合格品S</w:t>
                  </w: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1590" w:type="dxa"/>
                  <w:vAlign w:val="center"/>
                </w:tcPr>
                <w:p w14:paraId="0AD23F4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检验</w:t>
                  </w:r>
                </w:p>
              </w:tc>
              <w:tc>
                <w:tcPr>
                  <w:tcW w:w="1660" w:type="dxa"/>
                  <w:vAlign w:val="center"/>
                </w:tcPr>
                <w:p w14:paraId="12DBFAE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一般固体废物</w:t>
                  </w:r>
                </w:p>
              </w:tc>
              <w:tc>
                <w:tcPr>
                  <w:tcW w:w="2693" w:type="dxa"/>
                  <w:vAlign w:val="center"/>
                </w:tcPr>
                <w:p w14:paraId="159884F8">
                  <w:pPr>
                    <w:pStyle w:val="47"/>
                    <w:keepNext w:val="0"/>
                    <w:keepLines w:val="0"/>
                    <w:suppressLineNumbers w:val="0"/>
                    <w:spacing w:before="0" w:beforeAutospacing="0" w:after="0" w:afterAutospacing="0"/>
                    <w:ind w:left="0" w:right="0" w:firstLine="0" w:firstLineChars="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暂存于一般固废暂存</w:t>
                  </w:r>
                  <w:r>
                    <w:rPr>
                      <w:rFonts w:hint="default"/>
                      <w:color w:val="000000" w:themeColor="text1"/>
                      <w:sz w:val="21"/>
                      <w:szCs w:val="21"/>
                      <w:lang w:eastAsia="zh-CN"/>
                      <w14:textFill>
                        <w14:solidFill>
                          <w14:schemeClr w14:val="tx1"/>
                        </w14:solidFill>
                      </w14:textFill>
                    </w:rPr>
                    <w:t>间</w:t>
                  </w:r>
                  <w:r>
                    <w:rPr>
                      <w:rFonts w:hint="default"/>
                      <w:color w:val="000000" w:themeColor="text1"/>
                      <w:sz w:val="21"/>
                      <w:szCs w:val="21"/>
                      <w14:textFill>
                        <w14:solidFill>
                          <w14:schemeClr w14:val="tx1"/>
                        </w14:solidFill>
                      </w14:textFill>
                    </w:rPr>
                    <w:t>，交物资回收单位回收利用</w:t>
                  </w:r>
                </w:p>
              </w:tc>
            </w:tr>
            <w:tr w14:paraId="17C4E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8" w:hRule="atLeast"/>
                <w:jc w:val="center"/>
              </w:trPr>
              <w:tc>
                <w:tcPr>
                  <w:tcW w:w="379" w:type="dxa"/>
                  <w:vMerge w:val="continue"/>
                  <w:vAlign w:val="center"/>
                </w:tcPr>
                <w:p w14:paraId="2FFBFBD8">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vAlign w:val="center"/>
                </w:tcPr>
                <w:p w14:paraId="4AF5B78B">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未沾染危化品和危险废物的包装物S1</w:t>
                  </w:r>
                  <w:r>
                    <w:rPr>
                      <w:rFonts w:hint="eastAsia" w:ascii="Times New Roman" w:hAnsi="Times New Roman" w:cs="Times New Roman"/>
                      <w:color w:val="000000" w:themeColor="text1"/>
                      <w:kern w:val="0"/>
                      <w:sz w:val="21"/>
                      <w:szCs w:val="21"/>
                      <w:lang w:val="en-US" w:eastAsia="zh-CN"/>
                      <w14:textFill>
                        <w14:solidFill>
                          <w14:schemeClr w14:val="tx1"/>
                        </w14:solidFill>
                      </w14:textFill>
                    </w:rPr>
                    <w:t>1</w:t>
                  </w:r>
                </w:p>
              </w:tc>
              <w:tc>
                <w:tcPr>
                  <w:tcW w:w="1590" w:type="dxa"/>
                  <w:vAlign w:val="center"/>
                </w:tcPr>
                <w:p w14:paraId="30991A40">
                  <w:pPr>
                    <w:pStyle w:val="48"/>
                    <w:keepNext w:val="0"/>
                    <w:keepLines w:val="0"/>
                    <w:suppressLineNumbers w:val="0"/>
                    <w:tabs>
                      <w:tab w:val="left" w:pos="105"/>
                      <w:tab w:val="clear" w:pos="540"/>
                      <w:tab w:val="clear" w:pos="1080"/>
                      <w:tab w:val="clear" w:pos="1800"/>
                    </w:tabs>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入库</w:t>
                  </w:r>
                </w:p>
              </w:tc>
              <w:tc>
                <w:tcPr>
                  <w:tcW w:w="1660" w:type="dxa"/>
                  <w:vAlign w:val="center"/>
                </w:tcPr>
                <w:p w14:paraId="776DCA06">
                  <w:pPr>
                    <w:pStyle w:val="48"/>
                    <w:keepNext w:val="0"/>
                    <w:keepLines w:val="0"/>
                    <w:suppressLineNumbers w:val="0"/>
                    <w:tabs>
                      <w:tab w:val="left" w:pos="105"/>
                      <w:tab w:val="clear" w:pos="540"/>
                      <w:tab w:val="clear" w:pos="1080"/>
                      <w:tab w:val="clear" w:pos="1800"/>
                    </w:tabs>
                    <w:spacing w:before="0" w:beforeAutospacing="0" w:after="0" w:afterAutospacing="0" w:line="240" w:lineRule="auto"/>
                    <w:ind w:left="0" w:right="0" w:firstLine="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一般固体废物</w:t>
                  </w:r>
                </w:p>
              </w:tc>
              <w:tc>
                <w:tcPr>
                  <w:tcW w:w="2693" w:type="dxa"/>
                  <w:vAlign w:val="center"/>
                </w:tcPr>
                <w:p w14:paraId="3C3C28C9">
                  <w:pPr>
                    <w:pStyle w:val="47"/>
                    <w:keepNext w:val="0"/>
                    <w:keepLines w:val="0"/>
                    <w:suppressLineNumbers w:val="0"/>
                    <w:spacing w:before="0" w:beforeAutospacing="0" w:after="0" w:afterAutospacing="0"/>
                    <w:ind w:left="0" w:right="0" w:firstLine="0" w:firstLineChars="0"/>
                    <w:jc w:val="both"/>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color w:val="000000" w:themeColor="text1"/>
                      <w:sz w:val="21"/>
                      <w:szCs w:val="21"/>
                      <w14:textFill>
                        <w14:solidFill>
                          <w14:schemeClr w14:val="tx1"/>
                        </w14:solidFill>
                      </w14:textFill>
                    </w:rPr>
                    <w:t>暂存于一般固废暂存</w:t>
                  </w:r>
                  <w:r>
                    <w:rPr>
                      <w:rFonts w:hint="default"/>
                      <w:color w:val="000000" w:themeColor="text1"/>
                      <w:sz w:val="21"/>
                      <w:szCs w:val="21"/>
                      <w:lang w:eastAsia="zh-CN"/>
                      <w14:textFill>
                        <w14:solidFill>
                          <w14:schemeClr w14:val="tx1"/>
                        </w14:solidFill>
                      </w14:textFill>
                    </w:rPr>
                    <w:t>间</w:t>
                  </w:r>
                  <w:r>
                    <w:rPr>
                      <w:rFonts w:hint="default"/>
                      <w:color w:val="000000" w:themeColor="text1"/>
                      <w:sz w:val="21"/>
                      <w:szCs w:val="21"/>
                      <w14:textFill>
                        <w14:solidFill>
                          <w14:schemeClr w14:val="tx1"/>
                        </w14:solidFill>
                      </w14:textFill>
                    </w:rPr>
                    <w:t>，交物资回收单位回收利用</w:t>
                  </w:r>
                </w:p>
              </w:tc>
            </w:tr>
            <w:tr w14:paraId="49787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8" w:hRule="atLeast"/>
                <w:jc w:val="center"/>
              </w:trPr>
              <w:tc>
                <w:tcPr>
                  <w:tcW w:w="379" w:type="dxa"/>
                  <w:vMerge w:val="continue"/>
                  <w:vAlign w:val="center"/>
                </w:tcPr>
                <w:p w14:paraId="5E6931FF">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vAlign w:val="center"/>
                </w:tcPr>
                <w:p w14:paraId="0F5B47A7">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生活垃圾S1</w:t>
                  </w:r>
                  <w:r>
                    <w:rPr>
                      <w:rFonts w:hint="eastAsia" w:ascii="Times New Roman" w:hAnsi="Times New Roman" w:cs="Times New Roman"/>
                      <w:color w:val="000000" w:themeColor="text1"/>
                      <w:kern w:val="0"/>
                      <w:sz w:val="21"/>
                      <w:szCs w:val="21"/>
                      <w:lang w:val="en-US" w:eastAsia="zh-CN"/>
                      <w14:textFill>
                        <w14:solidFill>
                          <w14:schemeClr w14:val="tx1"/>
                        </w14:solidFill>
                      </w14:textFill>
                    </w:rPr>
                    <w:t>2</w:t>
                  </w:r>
                </w:p>
              </w:tc>
              <w:tc>
                <w:tcPr>
                  <w:tcW w:w="1590" w:type="dxa"/>
                  <w:vAlign w:val="center"/>
                </w:tcPr>
                <w:p w14:paraId="2EF61500">
                  <w:pPr>
                    <w:pStyle w:val="48"/>
                    <w:keepNext w:val="0"/>
                    <w:keepLines w:val="0"/>
                    <w:suppressLineNumbers w:val="0"/>
                    <w:tabs>
                      <w:tab w:val="left" w:pos="105"/>
                      <w:tab w:val="clear" w:pos="540"/>
                      <w:tab w:val="clear" w:pos="1080"/>
                      <w:tab w:val="clear" w:pos="1800"/>
                    </w:tabs>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val="en-US" w:eastAsia="zh-CN"/>
                      <w14:textFill>
                        <w14:solidFill>
                          <w14:schemeClr w14:val="tx1"/>
                        </w14:solidFill>
                      </w14:textFill>
                    </w:rPr>
                    <w:t>员工日常工作</w:t>
                  </w:r>
                </w:p>
              </w:tc>
              <w:tc>
                <w:tcPr>
                  <w:tcW w:w="1660" w:type="dxa"/>
                  <w:vAlign w:val="center"/>
                </w:tcPr>
                <w:p w14:paraId="10769CC6">
                  <w:pPr>
                    <w:pStyle w:val="48"/>
                    <w:keepNext w:val="0"/>
                    <w:keepLines w:val="0"/>
                    <w:suppressLineNumbers w:val="0"/>
                    <w:tabs>
                      <w:tab w:val="left" w:pos="105"/>
                      <w:tab w:val="clear" w:pos="540"/>
                      <w:tab w:val="clear" w:pos="1080"/>
                      <w:tab w:val="clear" w:pos="1800"/>
                    </w:tabs>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生活垃圾</w:t>
                  </w:r>
                </w:p>
              </w:tc>
              <w:tc>
                <w:tcPr>
                  <w:tcW w:w="2693" w:type="dxa"/>
                  <w:vAlign w:val="center"/>
                </w:tcPr>
                <w:p w14:paraId="197DFE3E">
                  <w:pPr>
                    <w:pStyle w:val="47"/>
                    <w:keepNext w:val="0"/>
                    <w:keepLines w:val="0"/>
                    <w:suppressLineNumbers w:val="0"/>
                    <w:spacing w:before="0" w:beforeAutospacing="0" w:after="0" w:afterAutospacing="0"/>
                    <w:ind w:left="0" w:right="0" w:firstLine="0" w:firstLineChars="0"/>
                    <w:jc w:val="both"/>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统一清运后由环卫部门处理</w:t>
                  </w:r>
                </w:p>
              </w:tc>
            </w:tr>
            <w:tr w14:paraId="3945F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8" w:hRule="atLeast"/>
                <w:jc w:val="center"/>
              </w:trPr>
              <w:tc>
                <w:tcPr>
                  <w:tcW w:w="379" w:type="dxa"/>
                  <w:vMerge w:val="continue"/>
                  <w:vAlign w:val="center"/>
                </w:tcPr>
                <w:p w14:paraId="4B2501C9">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shd w:val="clear" w:color="auto" w:fill="auto"/>
                  <w:vAlign w:val="center"/>
                </w:tcPr>
                <w:p w14:paraId="5B1296D3">
                  <w:pPr>
                    <w:pStyle w:val="45"/>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含油棉纱、手套S1</w:t>
                  </w:r>
                  <w:r>
                    <w:rPr>
                      <w:rFonts w:hint="eastAsia" w:ascii="Times New Roman" w:hAnsi="Times New Roman" w:cs="Times New Roman"/>
                      <w:color w:val="000000" w:themeColor="text1"/>
                      <w:kern w:val="0"/>
                      <w:sz w:val="21"/>
                      <w:szCs w:val="21"/>
                      <w:lang w:val="en-US" w:eastAsia="zh-CN"/>
                      <w14:textFill>
                        <w14:solidFill>
                          <w14:schemeClr w14:val="tx1"/>
                        </w14:solidFill>
                      </w14:textFill>
                    </w:rPr>
                    <w:t>3</w:t>
                  </w:r>
                </w:p>
              </w:tc>
              <w:tc>
                <w:tcPr>
                  <w:tcW w:w="1590" w:type="dxa"/>
                  <w:shd w:val="clear" w:color="auto" w:fill="auto"/>
                  <w:vAlign w:val="center"/>
                </w:tcPr>
                <w:p w14:paraId="10461CBE">
                  <w:pPr>
                    <w:pStyle w:val="48"/>
                    <w:keepNext w:val="0"/>
                    <w:keepLines w:val="0"/>
                    <w:suppressLineNumbers w:val="0"/>
                    <w:tabs>
                      <w:tab w:val="left" w:pos="105"/>
                      <w:tab w:val="clear" w:pos="540"/>
                      <w:tab w:val="clear" w:pos="1080"/>
                      <w:tab w:val="clear" w:pos="1800"/>
                    </w:tabs>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机械维护保养</w:t>
                  </w:r>
                </w:p>
              </w:tc>
              <w:tc>
                <w:tcPr>
                  <w:tcW w:w="1660" w:type="dxa"/>
                  <w:shd w:val="clear" w:color="auto" w:fill="auto"/>
                  <w:vAlign w:val="center"/>
                </w:tcPr>
                <w:p w14:paraId="14EF60A8">
                  <w:pPr>
                    <w:pStyle w:val="48"/>
                    <w:keepNext w:val="0"/>
                    <w:keepLines w:val="0"/>
                    <w:suppressLineNumbers w:val="0"/>
                    <w:tabs>
                      <w:tab w:val="left" w:pos="105"/>
                      <w:tab w:val="clear" w:pos="540"/>
                      <w:tab w:val="clear" w:pos="1080"/>
                      <w:tab w:val="clear" w:pos="1800"/>
                    </w:tabs>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危险废物</w:t>
                  </w:r>
                </w:p>
              </w:tc>
              <w:tc>
                <w:tcPr>
                  <w:tcW w:w="2693" w:type="dxa"/>
                  <w:shd w:val="clear" w:color="auto" w:fill="auto"/>
                  <w:vAlign w:val="center"/>
                </w:tcPr>
                <w:p w14:paraId="08532E2E">
                  <w:pPr>
                    <w:pStyle w:val="47"/>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暂存于</w:t>
                  </w:r>
                  <w:r>
                    <w:rPr>
                      <w:rFonts w:hint="default"/>
                      <w:color w:val="000000" w:themeColor="text1"/>
                      <w:sz w:val="21"/>
                      <w:szCs w:val="21"/>
                      <w:lang w:eastAsia="zh-CN"/>
                      <w14:textFill>
                        <w14:solidFill>
                          <w14:schemeClr w14:val="tx1"/>
                        </w14:solidFill>
                      </w14:textFill>
                    </w:rPr>
                    <w:t>危废贮存库</w:t>
                  </w:r>
                  <w:r>
                    <w:rPr>
                      <w:rFonts w:hint="default"/>
                      <w:color w:val="000000" w:themeColor="text1"/>
                      <w:sz w:val="21"/>
                      <w:szCs w:val="21"/>
                      <w14:textFill>
                        <w14:solidFill>
                          <w14:schemeClr w14:val="tx1"/>
                        </w14:solidFill>
                      </w14:textFill>
                    </w:rPr>
                    <w:t>内，定期交由有资质单位处置</w:t>
                  </w:r>
                </w:p>
              </w:tc>
            </w:tr>
            <w:tr w14:paraId="7ED8A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8" w:hRule="atLeast"/>
                <w:jc w:val="center"/>
              </w:trPr>
              <w:tc>
                <w:tcPr>
                  <w:tcW w:w="379" w:type="dxa"/>
                  <w:vMerge w:val="continue"/>
                  <w:vAlign w:val="center"/>
                </w:tcPr>
                <w:p w14:paraId="3B5AF3C7">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shd w:val="clear" w:color="auto" w:fill="auto"/>
                  <w:vAlign w:val="center"/>
                </w:tcPr>
                <w:p w14:paraId="73728E17">
                  <w:pPr>
                    <w:pStyle w:val="45"/>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废油桶S1</w:t>
                  </w:r>
                  <w:r>
                    <w:rPr>
                      <w:rFonts w:hint="eastAsia" w:ascii="Times New Roman" w:hAnsi="Times New Roman" w:cs="Times New Roman"/>
                      <w:color w:val="000000" w:themeColor="text1"/>
                      <w:kern w:val="0"/>
                      <w:sz w:val="21"/>
                      <w:szCs w:val="21"/>
                      <w:lang w:val="en-US" w:eastAsia="zh-CN"/>
                      <w14:textFill>
                        <w14:solidFill>
                          <w14:schemeClr w14:val="tx1"/>
                        </w14:solidFill>
                      </w14:textFill>
                    </w:rPr>
                    <w:t>4</w:t>
                  </w:r>
                </w:p>
              </w:tc>
              <w:tc>
                <w:tcPr>
                  <w:tcW w:w="1590" w:type="dxa"/>
                  <w:shd w:val="clear" w:color="auto" w:fill="auto"/>
                  <w:vAlign w:val="center"/>
                </w:tcPr>
                <w:p w14:paraId="5E29F3CB">
                  <w:pPr>
                    <w:pStyle w:val="48"/>
                    <w:keepNext w:val="0"/>
                    <w:keepLines w:val="0"/>
                    <w:suppressLineNumbers w:val="0"/>
                    <w:tabs>
                      <w:tab w:val="left" w:pos="105"/>
                      <w:tab w:val="clear" w:pos="540"/>
                      <w:tab w:val="clear" w:pos="1080"/>
                      <w:tab w:val="clear" w:pos="1800"/>
                    </w:tabs>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机械维护保养</w:t>
                  </w:r>
                </w:p>
              </w:tc>
              <w:tc>
                <w:tcPr>
                  <w:tcW w:w="1660" w:type="dxa"/>
                  <w:shd w:val="clear" w:color="auto" w:fill="auto"/>
                  <w:vAlign w:val="center"/>
                </w:tcPr>
                <w:p w14:paraId="36938551">
                  <w:pPr>
                    <w:pStyle w:val="48"/>
                    <w:keepNext w:val="0"/>
                    <w:keepLines w:val="0"/>
                    <w:suppressLineNumbers w:val="0"/>
                    <w:tabs>
                      <w:tab w:val="left" w:pos="105"/>
                      <w:tab w:val="clear" w:pos="540"/>
                      <w:tab w:val="clear" w:pos="1080"/>
                      <w:tab w:val="clear" w:pos="1800"/>
                    </w:tabs>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危险废物</w:t>
                  </w:r>
                </w:p>
              </w:tc>
              <w:tc>
                <w:tcPr>
                  <w:tcW w:w="2693" w:type="dxa"/>
                  <w:shd w:val="clear" w:color="auto" w:fill="auto"/>
                  <w:vAlign w:val="center"/>
                </w:tcPr>
                <w:p w14:paraId="7AC44D24">
                  <w:pPr>
                    <w:pStyle w:val="47"/>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暂存于</w:t>
                  </w:r>
                  <w:r>
                    <w:rPr>
                      <w:rFonts w:hint="default"/>
                      <w:color w:val="000000" w:themeColor="text1"/>
                      <w:sz w:val="21"/>
                      <w:szCs w:val="21"/>
                      <w:lang w:eastAsia="zh-CN"/>
                      <w14:textFill>
                        <w14:solidFill>
                          <w14:schemeClr w14:val="tx1"/>
                        </w14:solidFill>
                      </w14:textFill>
                    </w:rPr>
                    <w:t>危废贮存库</w:t>
                  </w:r>
                  <w:r>
                    <w:rPr>
                      <w:rFonts w:hint="default"/>
                      <w:color w:val="000000" w:themeColor="text1"/>
                      <w:sz w:val="21"/>
                      <w:szCs w:val="21"/>
                      <w14:textFill>
                        <w14:solidFill>
                          <w14:schemeClr w14:val="tx1"/>
                        </w14:solidFill>
                      </w14:textFill>
                    </w:rPr>
                    <w:t>内，定期交由有资质单位处置</w:t>
                  </w:r>
                </w:p>
              </w:tc>
            </w:tr>
            <w:tr w14:paraId="50C7D6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624" w:hRule="atLeast"/>
                <w:jc w:val="center"/>
              </w:trPr>
              <w:tc>
                <w:tcPr>
                  <w:tcW w:w="379" w:type="dxa"/>
                  <w:vMerge w:val="continue"/>
                  <w:vAlign w:val="center"/>
                </w:tcPr>
                <w:p w14:paraId="686F41CC">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shd w:val="clear" w:color="auto" w:fill="auto"/>
                  <w:vAlign w:val="center"/>
                </w:tcPr>
                <w:p w14:paraId="428F12AE">
                  <w:pPr>
                    <w:pStyle w:val="45"/>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废机油S1</w:t>
                  </w:r>
                  <w:r>
                    <w:rPr>
                      <w:rFonts w:hint="eastAsia" w:ascii="Times New Roman" w:hAnsi="Times New Roman" w:cs="Times New Roman"/>
                      <w:color w:val="000000" w:themeColor="text1"/>
                      <w:kern w:val="0"/>
                      <w:sz w:val="21"/>
                      <w:szCs w:val="21"/>
                      <w:lang w:val="en-US" w:eastAsia="zh-CN"/>
                      <w14:textFill>
                        <w14:solidFill>
                          <w14:schemeClr w14:val="tx1"/>
                        </w14:solidFill>
                      </w14:textFill>
                    </w:rPr>
                    <w:t>5</w:t>
                  </w:r>
                </w:p>
              </w:tc>
              <w:tc>
                <w:tcPr>
                  <w:tcW w:w="1590" w:type="dxa"/>
                  <w:shd w:val="clear" w:color="auto" w:fill="auto"/>
                  <w:vAlign w:val="center"/>
                </w:tcPr>
                <w:p w14:paraId="45C23ACC">
                  <w:pPr>
                    <w:pStyle w:val="48"/>
                    <w:keepNext w:val="0"/>
                    <w:keepLines w:val="0"/>
                    <w:suppressLineNumbers w:val="0"/>
                    <w:tabs>
                      <w:tab w:val="left" w:pos="105"/>
                      <w:tab w:val="clear" w:pos="540"/>
                      <w:tab w:val="clear" w:pos="1080"/>
                      <w:tab w:val="clear" w:pos="1800"/>
                    </w:tabs>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机械维护保养</w:t>
                  </w:r>
                </w:p>
              </w:tc>
              <w:tc>
                <w:tcPr>
                  <w:tcW w:w="1660" w:type="dxa"/>
                  <w:shd w:val="clear" w:color="auto" w:fill="auto"/>
                  <w:vAlign w:val="center"/>
                </w:tcPr>
                <w:p w14:paraId="4F45BA34">
                  <w:pPr>
                    <w:pStyle w:val="48"/>
                    <w:keepNext w:val="0"/>
                    <w:keepLines w:val="0"/>
                    <w:suppressLineNumbers w:val="0"/>
                    <w:tabs>
                      <w:tab w:val="left" w:pos="105"/>
                      <w:tab w:val="clear" w:pos="540"/>
                      <w:tab w:val="clear" w:pos="1080"/>
                      <w:tab w:val="clear" w:pos="1800"/>
                    </w:tabs>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危险废物</w:t>
                  </w:r>
                </w:p>
              </w:tc>
              <w:tc>
                <w:tcPr>
                  <w:tcW w:w="2693" w:type="dxa"/>
                  <w:shd w:val="clear" w:color="auto" w:fill="auto"/>
                  <w:vAlign w:val="center"/>
                </w:tcPr>
                <w:p w14:paraId="41145462">
                  <w:pPr>
                    <w:pStyle w:val="47"/>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暂存于</w:t>
                  </w:r>
                  <w:r>
                    <w:rPr>
                      <w:rFonts w:hint="default"/>
                      <w:color w:val="000000" w:themeColor="text1"/>
                      <w:sz w:val="21"/>
                      <w:szCs w:val="21"/>
                      <w:lang w:eastAsia="zh-CN"/>
                      <w14:textFill>
                        <w14:solidFill>
                          <w14:schemeClr w14:val="tx1"/>
                        </w14:solidFill>
                      </w14:textFill>
                    </w:rPr>
                    <w:t>危废贮存库</w:t>
                  </w:r>
                  <w:r>
                    <w:rPr>
                      <w:rFonts w:hint="default"/>
                      <w:color w:val="000000" w:themeColor="text1"/>
                      <w:sz w:val="21"/>
                      <w:szCs w:val="21"/>
                      <w14:textFill>
                        <w14:solidFill>
                          <w14:schemeClr w14:val="tx1"/>
                        </w14:solidFill>
                      </w14:textFill>
                    </w:rPr>
                    <w:t>内，定期交由有资质单位处置</w:t>
                  </w:r>
                </w:p>
              </w:tc>
            </w:tr>
            <w:tr w14:paraId="1D6F20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8" w:hRule="atLeast"/>
                <w:jc w:val="center"/>
              </w:trPr>
              <w:tc>
                <w:tcPr>
                  <w:tcW w:w="379" w:type="dxa"/>
                  <w:vMerge w:val="continue"/>
                  <w:vAlign w:val="center"/>
                </w:tcPr>
                <w:p w14:paraId="09053889">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shd w:val="clear" w:color="auto" w:fill="auto"/>
                  <w:vAlign w:val="center"/>
                </w:tcPr>
                <w:p w14:paraId="35366BB4">
                  <w:pPr>
                    <w:pStyle w:val="45"/>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空压机含油冷凝废液S1</w:t>
                  </w:r>
                  <w:r>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6</w:t>
                  </w:r>
                </w:p>
              </w:tc>
              <w:tc>
                <w:tcPr>
                  <w:tcW w:w="1590" w:type="dxa"/>
                  <w:shd w:val="clear" w:color="auto" w:fill="auto"/>
                  <w:vAlign w:val="center"/>
                </w:tcPr>
                <w:p w14:paraId="4F7820CE">
                  <w:pPr>
                    <w:pStyle w:val="48"/>
                    <w:keepNext w:val="0"/>
                    <w:keepLines w:val="0"/>
                    <w:suppressLineNumbers w:val="0"/>
                    <w:tabs>
                      <w:tab w:val="left" w:pos="105"/>
                      <w:tab w:val="clear" w:pos="540"/>
                      <w:tab w:val="clear" w:pos="1080"/>
                      <w:tab w:val="clear" w:pos="1800"/>
                    </w:tabs>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空压机</w:t>
                  </w:r>
                </w:p>
              </w:tc>
              <w:tc>
                <w:tcPr>
                  <w:tcW w:w="1660" w:type="dxa"/>
                  <w:shd w:val="clear" w:color="auto" w:fill="auto"/>
                  <w:vAlign w:val="center"/>
                </w:tcPr>
                <w:p w14:paraId="667A9DE1">
                  <w:pPr>
                    <w:pStyle w:val="48"/>
                    <w:keepNext w:val="0"/>
                    <w:keepLines w:val="0"/>
                    <w:suppressLineNumbers w:val="0"/>
                    <w:tabs>
                      <w:tab w:val="left" w:pos="105"/>
                      <w:tab w:val="clear" w:pos="540"/>
                      <w:tab w:val="clear" w:pos="1080"/>
                      <w:tab w:val="clear" w:pos="1800"/>
                    </w:tabs>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危险废物</w:t>
                  </w:r>
                </w:p>
              </w:tc>
              <w:tc>
                <w:tcPr>
                  <w:tcW w:w="2693" w:type="dxa"/>
                  <w:shd w:val="clear" w:color="auto" w:fill="auto"/>
                  <w:vAlign w:val="center"/>
                </w:tcPr>
                <w:p w14:paraId="40FE95CA">
                  <w:pPr>
                    <w:pStyle w:val="47"/>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暂存于</w:t>
                  </w:r>
                  <w:r>
                    <w:rPr>
                      <w:rFonts w:hint="default"/>
                      <w:color w:val="000000" w:themeColor="text1"/>
                      <w:sz w:val="21"/>
                      <w:szCs w:val="21"/>
                      <w:lang w:eastAsia="zh-CN"/>
                      <w14:textFill>
                        <w14:solidFill>
                          <w14:schemeClr w14:val="tx1"/>
                        </w14:solidFill>
                      </w14:textFill>
                    </w:rPr>
                    <w:t>危废贮存库</w:t>
                  </w:r>
                  <w:r>
                    <w:rPr>
                      <w:rFonts w:hint="default"/>
                      <w:color w:val="000000" w:themeColor="text1"/>
                      <w:sz w:val="21"/>
                      <w:szCs w:val="21"/>
                      <w14:textFill>
                        <w14:solidFill>
                          <w14:schemeClr w14:val="tx1"/>
                        </w14:solidFill>
                      </w14:textFill>
                    </w:rPr>
                    <w:t>内，定期交由有资质单位处置</w:t>
                  </w:r>
                </w:p>
              </w:tc>
            </w:tr>
            <w:tr w14:paraId="10470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48" w:hRule="atLeast"/>
                <w:jc w:val="center"/>
              </w:trPr>
              <w:tc>
                <w:tcPr>
                  <w:tcW w:w="379" w:type="dxa"/>
                  <w:vMerge w:val="continue"/>
                  <w:vAlign w:val="center"/>
                </w:tcPr>
                <w:p w14:paraId="53D96B53">
                  <w:pPr>
                    <w:pStyle w:val="45"/>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000000" w:themeColor="text1"/>
                      <w:sz w:val="21"/>
                      <w:szCs w:val="21"/>
                      <w14:textFill>
                        <w14:solidFill>
                          <w14:schemeClr w14:val="tx1"/>
                        </w14:solidFill>
                      </w14:textFill>
                    </w:rPr>
                  </w:pPr>
                </w:p>
              </w:tc>
              <w:tc>
                <w:tcPr>
                  <w:tcW w:w="1615" w:type="dxa"/>
                  <w:shd w:val="clear" w:color="auto" w:fill="auto"/>
                  <w:vAlign w:val="center"/>
                </w:tcPr>
                <w:p w14:paraId="5B945DD4">
                  <w:pPr>
                    <w:pStyle w:val="45"/>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含尘过滤棉S</w:t>
                  </w:r>
                  <w:r>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17</w:t>
                  </w:r>
                </w:p>
              </w:tc>
              <w:tc>
                <w:tcPr>
                  <w:tcW w:w="1590" w:type="dxa"/>
                  <w:shd w:val="clear" w:color="auto" w:fill="auto"/>
                  <w:vAlign w:val="center"/>
                </w:tcPr>
                <w:p w14:paraId="2C19A31A">
                  <w:pPr>
                    <w:pStyle w:val="48"/>
                    <w:keepNext w:val="0"/>
                    <w:keepLines w:val="0"/>
                    <w:suppressLineNumbers w:val="0"/>
                    <w:tabs>
                      <w:tab w:val="left" w:pos="105"/>
                      <w:tab w:val="clear" w:pos="540"/>
                      <w:tab w:val="clear" w:pos="1080"/>
                      <w:tab w:val="clear" w:pos="1800"/>
                    </w:tabs>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除尘废气处理</w:t>
                  </w:r>
                </w:p>
              </w:tc>
              <w:tc>
                <w:tcPr>
                  <w:tcW w:w="1660" w:type="dxa"/>
                  <w:shd w:val="clear" w:color="auto" w:fill="auto"/>
                  <w:vAlign w:val="center"/>
                </w:tcPr>
                <w:p w14:paraId="4ED972D4">
                  <w:pPr>
                    <w:pStyle w:val="48"/>
                    <w:keepNext w:val="0"/>
                    <w:keepLines w:val="0"/>
                    <w:suppressLineNumbers w:val="0"/>
                    <w:tabs>
                      <w:tab w:val="left" w:pos="105"/>
                      <w:tab w:val="clear" w:pos="540"/>
                      <w:tab w:val="clear" w:pos="1080"/>
                      <w:tab w:val="clear" w:pos="1800"/>
                    </w:tabs>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t>一般</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固体废物</w:t>
                  </w:r>
                </w:p>
              </w:tc>
              <w:tc>
                <w:tcPr>
                  <w:tcW w:w="2693" w:type="dxa"/>
                  <w:shd w:val="clear" w:color="auto" w:fill="auto"/>
                  <w:vAlign w:val="center"/>
                </w:tcPr>
                <w:p w14:paraId="01A90487">
                  <w:pPr>
                    <w:pStyle w:val="47"/>
                    <w:keepNext w:val="0"/>
                    <w:keepLines w:val="0"/>
                    <w:suppressLineNumbers w:val="0"/>
                    <w:spacing w:before="0" w:beforeAutospacing="0" w:after="0" w:afterAutospacing="0"/>
                    <w:ind w:left="0" w:leftChars="0" w:right="0" w:rightChars="0" w:firstLine="0" w:firstLineChars="0"/>
                    <w:jc w:val="both"/>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color w:val="000000" w:themeColor="text1"/>
                      <w:sz w:val="21"/>
                      <w:szCs w:val="21"/>
                      <w14:textFill>
                        <w14:solidFill>
                          <w14:schemeClr w14:val="tx1"/>
                        </w14:solidFill>
                      </w14:textFill>
                    </w:rPr>
                    <w:t>暂存于一般固废暂存</w:t>
                  </w:r>
                  <w:r>
                    <w:rPr>
                      <w:rFonts w:hint="default"/>
                      <w:color w:val="000000" w:themeColor="text1"/>
                      <w:sz w:val="21"/>
                      <w:szCs w:val="21"/>
                      <w:lang w:eastAsia="zh-CN"/>
                      <w14:textFill>
                        <w14:solidFill>
                          <w14:schemeClr w14:val="tx1"/>
                        </w14:solidFill>
                      </w14:textFill>
                    </w:rPr>
                    <w:t>间</w:t>
                  </w:r>
                  <w:r>
                    <w:rPr>
                      <w:rFonts w:hint="default"/>
                      <w:color w:val="000000" w:themeColor="text1"/>
                      <w:sz w:val="21"/>
                      <w:szCs w:val="21"/>
                      <w14:textFill>
                        <w14:solidFill>
                          <w14:schemeClr w14:val="tx1"/>
                        </w14:solidFill>
                      </w14:textFill>
                    </w:rPr>
                    <w:t>，交物资回收单位回收利用</w:t>
                  </w:r>
                </w:p>
              </w:tc>
            </w:tr>
          </w:tbl>
          <w:p w14:paraId="4B2CA07F">
            <w:pPr>
              <w:pStyle w:val="15"/>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p>
        </w:tc>
      </w:tr>
      <w:tr w14:paraId="6691BC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gridSpan w:val="2"/>
            <w:shd w:val="clear" w:color="auto" w:fill="auto"/>
            <w:vAlign w:val="center"/>
          </w:tcPr>
          <w:p w14:paraId="640E3819">
            <w:pPr>
              <w:pStyle w:val="19"/>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olor w:val="000000" w:themeColor="text1"/>
                <w:sz w:val="24"/>
                <w:szCs w:val="24"/>
                <w:lang w:eastAsia="zh-CN"/>
                <w14:textFill>
                  <w14:solidFill>
                    <w14:schemeClr w14:val="tx1"/>
                  </w14:solidFill>
                </w14:textFill>
              </w:rPr>
              <w:t>与项目有关的原有环境污染问题</w:t>
            </w:r>
          </w:p>
        </w:tc>
        <w:tc>
          <w:tcPr>
            <w:tcW w:w="8298" w:type="dxa"/>
            <w:shd w:val="clear" w:color="auto" w:fill="auto"/>
            <w:vAlign w:val="top"/>
          </w:tcPr>
          <w:p w14:paraId="0BFE7901">
            <w:pPr>
              <w:keepNext w:val="0"/>
              <w:keepLines w:val="0"/>
              <w:suppressLineNumbers w:val="0"/>
              <w:adjustRightInd w:val="0"/>
              <w:snapToGrid w:val="0"/>
              <w:spacing w:before="0" w:beforeAutospacing="0" w:after="0" w:afterAutospacing="0" w:line="360" w:lineRule="auto"/>
              <w:ind w:left="0" w:leftChars="0" w:right="0" w:rightChars="0" w:firstLine="480" w:firstLineChars="200"/>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color w:val="000000" w:themeColor="text1"/>
                <w:sz w:val="24"/>
                <w:szCs w:val="24"/>
                <w14:textFill>
                  <w14:solidFill>
                    <w14:schemeClr w14:val="tx1"/>
                  </w14:solidFill>
                </w14:textFill>
              </w:rPr>
              <w:t>根据项目情况调查，本项目使用建设单位</w:t>
            </w:r>
            <w:r>
              <w:rPr>
                <w:rFonts w:hint="default"/>
                <w:color w:val="000000" w:themeColor="text1"/>
                <w:sz w:val="24"/>
                <w:szCs w:val="24"/>
                <w:lang w:eastAsia="zh-CN"/>
                <w14:textFill>
                  <w14:solidFill>
                    <w14:schemeClr w14:val="tx1"/>
                  </w14:solidFill>
                </w14:textFill>
              </w:rPr>
              <w:t>重庆三秋禾科技有限公司</w:t>
            </w:r>
            <w:r>
              <w:rPr>
                <w:rFonts w:hint="default"/>
                <w:color w:val="000000" w:themeColor="text1"/>
                <w:sz w:val="24"/>
                <w:szCs w:val="24"/>
                <w:lang w:val="en-US" w:eastAsia="zh-CN"/>
                <w14:textFill>
                  <w14:solidFill>
                    <w14:schemeClr w14:val="tx1"/>
                  </w14:solidFill>
                </w14:textFill>
              </w:rPr>
              <w:t>租赁重庆市霞艺汽车配件制造有限公司的厂</w:t>
            </w:r>
            <w:r>
              <w:rPr>
                <w:rFonts w:hint="default"/>
                <w:bCs/>
                <w:color w:val="000000" w:themeColor="text1"/>
                <w:sz w:val="24"/>
                <w:szCs w:val="24"/>
                <w14:textFill>
                  <w14:solidFill>
                    <w14:schemeClr w14:val="tx1"/>
                  </w14:solidFill>
                </w14:textFill>
              </w:rPr>
              <w:t>房建设</w:t>
            </w:r>
            <w:r>
              <w:rPr>
                <w:rFonts w:hint="eastAsia"/>
                <w:bCs/>
                <w:color w:val="000000" w:themeColor="text1"/>
                <w:sz w:val="24"/>
                <w:szCs w:val="24"/>
                <w:lang w:eastAsia="zh-CN"/>
                <w14:textFill>
                  <w14:solidFill>
                    <w14:schemeClr w14:val="tx1"/>
                  </w14:solidFill>
                </w14:textFill>
              </w:rPr>
              <w:t>“重庆三秋禾科技有限公司年产350万件摩托车配件制造项目”</w:t>
            </w:r>
            <w:r>
              <w:rPr>
                <w:rFonts w:hint="default"/>
                <w:bCs/>
                <w:color w:val="000000" w:themeColor="text1"/>
                <w:sz w:val="24"/>
                <w:szCs w:val="24"/>
                <w14:textFill>
                  <w14:solidFill>
                    <w14:schemeClr w14:val="tx1"/>
                  </w14:solidFill>
                </w14:textFill>
              </w:rPr>
              <w:t>，建设地址位于</w:t>
            </w:r>
            <w:r>
              <w:rPr>
                <w:rFonts w:hint="default"/>
                <w:bCs/>
                <w:color w:val="000000" w:themeColor="text1"/>
                <w:sz w:val="24"/>
                <w:szCs w:val="24"/>
                <w:lang w:eastAsia="zh-CN"/>
                <w14:textFill>
                  <w14:solidFill>
                    <w14:schemeClr w14:val="tx1"/>
                  </w14:solidFill>
                </w14:textFill>
              </w:rPr>
              <w:t>璧山区青杠街道龙青路59号</w:t>
            </w:r>
            <w:r>
              <w:rPr>
                <w:rFonts w:hint="default"/>
                <w:bCs/>
                <w:color w:val="000000" w:themeColor="text1"/>
                <w:sz w:val="24"/>
                <w:szCs w:val="24"/>
                <w14:textFill>
                  <w14:solidFill>
                    <w14:schemeClr w14:val="tx1"/>
                  </w14:solidFill>
                </w14:textFill>
              </w:rPr>
              <w:t>，</w:t>
            </w:r>
            <w:r>
              <w:rPr>
                <w:rFonts w:hint="default"/>
                <w:bCs/>
                <w:color w:val="000000" w:themeColor="text1"/>
                <w:sz w:val="24"/>
                <w14:textFill>
                  <w14:solidFill>
                    <w14:schemeClr w14:val="tx1"/>
                  </w14:solidFill>
                </w14:textFill>
              </w:rPr>
              <w:t>本项目主要工程位于2F，部分设施位于2F楼顶</w:t>
            </w:r>
            <w:r>
              <w:rPr>
                <w:rFonts w:hint="eastAsia"/>
                <w:bCs/>
                <w:color w:val="000000" w:themeColor="text1"/>
                <w:sz w:val="24"/>
                <w:lang w:eastAsia="zh-CN"/>
                <w14:textFill>
                  <w14:solidFill>
                    <w14:schemeClr w14:val="tx1"/>
                  </w14:solidFill>
                </w14:textFill>
              </w:rPr>
              <w:t>，</w:t>
            </w:r>
            <w:r>
              <w:rPr>
                <w:rFonts w:hint="default"/>
                <w:bCs/>
                <w:color w:val="000000" w:themeColor="text1"/>
                <w:sz w:val="24"/>
                <w:szCs w:val="24"/>
                <w14:textFill>
                  <w14:solidFill>
                    <w14:schemeClr w14:val="tx1"/>
                  </w14:solidFill>
                </w14:textFill>
              </w:rPr>
              <w:t>项目</w:t>
            </w:r>
            <w:r>
              <w:rPr>
                <w:rFonts w:hint="default"/>
                <w:color w:val="000000" w:themeColor="text1"/>
                <w:sz w:val="24"/>
                <w:szCs w:val="24"/>
                <w14:textFill>
                  <w14:solidFill>
                    <w14:schemeClr w14:val="tx1"/>
                  </w14:solidFill>
                </w14:textFill>
              </w:rPr>
              <w:t>入驻之前处于空置状态，无原有污染和遗留环境问题。</w:t>
            </w:r>
          </w:p>
        </w:tc>
      </w:tr>
    </w:tbl>
    <w:p w14:paraId="1D4CFBE6">
      <w:pPr>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br w:type="page"/>
      </w:r>
    </w:p>
    <w:p w14:paraId="5E780395">
      <w:pPr>
        <w:pStyle w:val="19"/>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p>
    <w:tbl>
      <w:tblPr>
        <w:tblStyle w:val="21"/>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622"/>
      </w:tblGrid>
      <w:tr w14:paraId="3E0C9E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49" w:type="dxa"/>
            <w:vAlign w:val="center"/>
          </w:tcPr>
          <w:p w14:paraId="21366797">
            <w:pPr>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区域</w:t>
            </w:r>
          </w:p>
          <w:p w14:paraId="64502CEB">
            <w:pPr>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环境</w:t>
            </w:r>
          </w:p>
          <w:p w14:paraId="59754184">
            <w:pPr>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质量</w:t>
            </w:r>
          </w:p>
          <w:p w14:paraId="0C530C09">
            <w:pPr>
              <w:adjustRightInd w:val="0"/>
              <w:snapToGrid w:val="0"/>
              <w:jc w:val="center"/>
              <w:rPr>
                <w:color w:val="000000" w:themeColor="text1"/>
                <w:kern w:val="0"/>
                <w:szCs w:val="21"/>
                <w14:textFill>
                  <w14:solidFill>
                    <w14:schemeClr w14:val="tx1"/>
                  </w14:solidFill>
                </w14:textFill>
              </w:rPr>
            </w:pPr>
            <w:r>
              <w:rPr>
                <w:color w:val="000000" w:themeColor="text1"/>
                <w:kern w:val="0"/>
                <w:sz w:val="24"/>
                <w:szCs w:val="24"/>
                <w14:textFill>
                  <w14:solidFill>
                    <w14:schemeClr w14:val="tx1"/>
                  </w14:solidFill>
                </w14:textFill>
              </w:rPr>
              <w:t>现状</w:t>
            </w:r>
          </w:p>
        </w:tc>
        <w:tc>
          <w:tcPr>
            <w:tcW w:w="8622" w:type="dxa"/>
            <w:vAlign w:val="center"/>
          </w:tcPr>
          <w:p w14:paraId="7F885B56">
            <w:pPr>
              <w:adjustRightInd w:val="0"/>
              <w:snapToGrid w:val="0"/>
              <w:spacing w:line="360" w:lineRule="auto"/>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1、大气环境</w:t>
            </w:r>
          </w:p>
          <w:p w14:paraId="6F60804C">
            <w:pPr>
              <w:adjustRightInd w:val="0"/>
              <w:snapToGrid w:val="0"/>
              <w:spacing w:line="360" w:lineRule="auto"/>
              <w:ind w:firstLine="482" w:firstLineChars="200"/>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（1）项目所在区域达标判断</w:t>
            </w:r>
          </w:p>
          <w:p w14:paraId="233B1932">
            <w:pPr>
              <w:keepNext/>
              <w:keepLines/>
              <w:adjustRightInd w:val="0"/>
              <w:snapToGrid w:val="0"/>
              <w:spacing w:line="360" w:lineRule="auto"/>
              <w:ind w:firstLine="480" w:firstLineChars="200"/>
              <w:outlineLvl w:val="3"/>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根据《重庆市环境空气质量功能区划分规定》（渝府发</w:t>
            </w:r>
            <w:r>
              <w:rPr>
                <w:color w:val="000000" w:themeColor="text1"/>
                <w:kern w:val="0"/>
                <w:sz w:val="24"/>
                <w:szCs w:val="24"/>
                <w14:textFill>
                  <w14:solidFill>
                    <w14:schemeClr w14:val="tx1"/>
                  </w14:solidFill>
                </w14:textFill>
              </w:rPr>
              <w:t>〔201</w:t>
            </w:r>
            <w:r>
              <w:rPr>
                <w:rFonts w:hint="eastAsia"/>
                <w:color w:val="000000" w:themeColor="text1"/>
                <w:kern w:val="0"/>
                <w:sz w:val="24"/>
                <w:szCs w:val="24"/>
                <w14:textFill>
                  <w14:solidFill>
                    <w14:schemeClr w14:val="tx1"/>
                  </w14:solidFill>
                </w14:textFill>
              </w:rPr>
              <w:t>6</w:t>
            </w:r>
            <w:r>
              <w:rPr>
                <w:color w:val="000000" w:themeColor="text1"/>
                <w:kern w:val="0"/>
                <w:sz w:val="24"/>
                <w:szCs w:val="24"/>
                <w14:textFill>
                  <w14:solidFill>
                    <w14:schemeClr w14:val="tx1"/>
                  </w14:solidFill>
                </w14:textFill>
              </w:rPr>
              <w:t>〕</w:t>
            </w:r>
            <w:r>
              <w:rPr>
                <w:color w:val="000000" w:themeColor="text1"/>
                <w:sz w:val="24"/>
                <w:szCs w:val="24"/>
                <w14:textFill>
                  <w14:solidFill>
                    <w14:schemeClr w14:val="tx1"/>
                  </w14:solidFill>
                </w14:textFill>
              </w:rPr>
              <w:t>19号）规定，本项目所在区域为环境空气质量二类功能区，执行《环境空气质量标准》（GB3095-2018）中二级标准。</w:t>
            </w:r>
          </w:p>
          <w:p w14:paraId="54E1C587">
            <w:pPr>
              <w:keepNext/>
              <w:keepLines/>
              <w:adjustRightInd w:val="0"/>
              <w:snapToGrid w:val="0"/>
              <w:spacing w:line="360" w:lineRule="auto"/>
              <w:ind w:firstLine="480" w:firstLineChars="200"/>
              <w:outlineLvl w:val="3"/>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建设项目环境影响报告表编制技术指南</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（污染影响类）</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常规污染物引用与建设项目距离近的有效数据，</w:t>
            </w:r>
            <w:r>
              <w:rPr>
                <w:rFonts w:hint="eastAsia"/>
                <w:color w:val="000000" w:themeColor="text1"/>
                <w:sz w:val="24"/>
                <w:szCs w:val="24"/>
                <w14:textFill>
                  <w14:solidFill>
                    <w14:schemeClr w14:val="tx1"/>
                  </w14:solidFill>
                </w14:textFill>
              </w:rPr>
              <w:t>包括近3年的规划环境影响评价的监测数据，国家、地方环境空气质量监测网数据或生态环境主管部门公开发布的质量数据等。”</w:t>
            </w:r>
            <w:r>
              <w:rPr>
                <w:color w:val="000000" w:themeColor="text1"/>
                <w:sz w:val="24"/>
                <w:szCs w:val="24"/>
                <w14:textFill>
                  <w14:solidFill>
                    <w14:schemeClr w14:val="tx1"/>
                  </w14:solidFill>
                </w14:textFill>
              </w:rPr>
              <w:t>根据重庆市生态环境局发布的</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202</w:t>
            </w:r>
            <w:r>
              <w:rPr>
                <w:rFonts w:hint="eastAsia"/>
                <w:color w:val="000000" w:themeColor="text1"/>
                <w:sz w:val="24"/>
                <w:szCs w:val="24"/>
                <w:lang w:val="en-US" w:eastAsia="zh-CN"/>
                <w14:textFill>
                  <w14:solidFill>
                    <w14:schemeClr w14:val="tx1"/>
                  </w14:solidFill>
                </w14:textFill>
              </w:rPr>
              <w:t>4</w:t>
            </w:r>
            <w:r>
              <w:rPr>
                <w:color w:val="000000" w:themeColor="text1"/>
                <w:sz w:val="24"/>
                <w:szCs w:val="24"/>
                <w14:textFill>
                  <w14:solidFill>
                    <w14:schemeClr w14:val="tx1"/>
                  </w14:solidFill>
                </w14:textFill>
              </w:rPr>
              <w:t>重庆市生态环境状况公报</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，202</w:t>
            </w:r>
            <w:r>
              <w:rPr>
                <w:rFonts w:hint="eastAsia"/>
                <w:color w:val="000000" w:themeColor="text1"/>
                <w:sz w:val="24"/>
                <w:szCs w:val="24"/>
                <w:lang w:val="en-US" w:eastAsia="zh-CN"/>
                <w14:textFill>
                  <w14:solidFill>
                    <w14:schemeClr w14:val="tx1"/>
                  </w14:solidFill>
                </w14:textFill>
              </w:rPr>
              <w:t>4</w:t>
            </w:r>
            <w:r>
              <w:rPr>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璧山</w:t>
            </w:r>
            <w:r>
              <w:rPr>
                <w:color w:val="000000" w:themeColor="text1"/>
                <w:sz w:val="24"/>
                <w:szCs w:val="24"/>
                <w14:textFill>
                  <w14:solidFill>
                    <w14:schemeClr w14:val="tx1"/>
                  </w14:solidFill>
                </w14:textFill>
              </w:rPr>
              <w:t>区基本污染物环境质量现状数据详见表3-1。</w:t>
            </w:r>
          </w:p>
          <w:p w14:paraId="441A8729">
            <w:pPr>
              <w:pStyle w:val="2"/>
              <w:jc w:val="center"/>
              <w:rPr>
                <w:rFonts w:ascii="Times New Roman" w:cs="Times New Roman"/>
                <w:b/>
                <w:color w:val="000000" w:themeColor="text1"/>
                <w:sz w:val="24"/>
                <w:szCs w:val="24"/>
                <w14:textFill>
                  <w14:solidFill>
                    <w14:schemeClr w14:val="tx1"/>
                  </w14:solidFill>
                </w14:textFill>
              </w:rPr>
            </w:pPr>
            <w:r>
              <w:rPr>
                <w:rFonts w:ascii="Times New Roman" w:cs="Times New Roman"/>
                <w:b/>
                <w:color w:val="000000" w:themeColor="text1"/>
                <w:sz w:val="24"/>
                <w:szCs w:val="24"/>
                <w14:textFill>
                  <w14:solidFill>
                    <w14:schemeClr w14:val="tx1"/>
                  </w14:solidFill>
                </w14:textFill>
              </w:rPr>
              <w:t>表3-1 基本污染物环境质量现状  单位：μg/m</w:t>
            </w:r>
            <w:r>
              <w:rPr>
                <w:rFonts w:ascii="Times New Roman" w:cs="Times New Roman"/>
                <w:b/>
                <w:color w:val="000000" w:themeColor="text1"/>
                <w:sz w:val="24"/>
                <w:szCs w:val="24"/>
                <w:vertAlign w:val="superscript"/>
                <w14:textFill>
                  <w14:solidFill>
                    <w14:schemeClr w14:val="tx1"/>
                  </w14:solidFill>
                </w14:textFill>
              </w:rPr>
              <w:t>3</w:t>
            </w:r>
            <w:r>
              <w:rPr>
                <w:rFonts w:hint="eastAsia" w:ascii="Times New Roman" w:cs="Times New Roman"/>
                <w:b/>
                <w:color w:val="000000" w:themeColor="text1"/>
                <w:sz w:val="24"/>
                <w:szCs w:val="24"/>
                <w14:textFill>
                  <w14:solidFill>
                    <w14:schemeClr w14:val="tx1"/>
                  </w14:solidFill>
                </w14:textFill>
              </w:rPr>
              <w:t>（CO除外）</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550"/>
              <w:gridCol w:w="1596"/>
              <w:gridCol w:w="1453"/>
              <w:gridCol w:w="1121"/>
              <w:gridCol w:w="1121"/>
            </w:tblGrid>
            <w:tr w14:paraId="5AD46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14:paraId="72A8D9F9">
                  <w:pPr>
                    <w:widowControl/>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污染物</w:t>
                  </w:r>
                </w:p>
              </w:tc>
              <w:tc>
                <w:tcPr>
                  <w:tcW w:w="976" w:type="pct"/>
                  <w:vAlign w:val="center"/>
                </w:tcPr>
                <w:p w14:paraId="3582BD2E">
                  <w:pPr>
                    <w:widowControl/>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年评价指标</w:t>
                  </w:r>
                </w:p>
              </w:tc>
              <w:tc>
                <w:tcPr>
                  <w:tcW w:w="1005" w:type="pct"/>
                  <w:vAlign w:val="center"/>
                </w:tcPr>
                <w:p w14:paraId="17342829">
                  <w:pPr>
                    <w:widowControl/>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现状浓度</w:t>
                  </w:r>
                </w:p>
              </w:tc>
              <w:tc>
                <w:tcPr>
                  <w:tcW w:w="915" w:type="pct"/>
                  <w:vAlign w:val="center"/>
                </w:tcPr>
                <w:p w14:paraId="242FC01F">
                  <w:pPr>
                    <w:widowControl/>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标准值</w:t>
                  </w:r>
                </w:p>
              </w:tc>
              <w:tc>
                <w:tcPr>
                  <w:tcW w:w="706" w:type="pct"/>
                  <w:vAlign w:val="center"/>
                </w:tcPr>
                <w:p w14:paraId="29D4E05A">
                  <w:pPr>
                    <w:widowControl/>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占标率%</w:t>
                  </w:r>
                </w:p>
              </w:tc>
              <w:tc>
                <w:tcPr>
                  <w:tcW w:w="705" w:type="pct"/>
                  <w:vAlign w:val="center"/>
                </w:tcPr>
                <w:p w14:paraId="27407625">
                  <w:pPr>
                    <w:widowControl/>
                    <w:jc w:val="center"/>
                    <w:rPr>
                      <w:b/>
                      <w:bCs/>
                      <w:snapToGrid w:val="0"/>
                      <w:color w:val="000000" w:themeColor="text1"/>
                      <w:kern w:val="0"/>
                      <w:sz w:val="21"/>
                      <w:szCs w:val="21"/>
                      <w14:textFill>
                        <w14:solidFill>
                          <w14:schemeClr w14:val="tx1"/>
                        </w14:solidFill>
                      </w14:textFill>
                    </w:rPr>
                  </w:pPr>
                  <w:r>
                    <w:rPr>
                      <w:b/>
                      <w:bCs/>
                      <w:snapToGrid w:val="0"/>
                      <w:color w:val="000000" w:themeColor="text1"/>
                      <w:kern w:val="0"/>
                      <w:sz w:val="21"/>
                      <w:szCs w:val="21"/>
                      <w14:textFill>
                        <w14:solidFill>
                          <w14:schemeClr w14:val="tx1"/>
                        </w14:solidFill>
                      </w14:textFill>
                    </w:rPr>
                    <w:t>达标情况</w:t>
                  </w:r>
                </w:p>
              </w:tc>
            </w:tr>
            <w:tr w14:paraId="6794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90" w:type="pct"/>
                  <w:vAlign w:val="center"/>
                </w:tcPr>
                <w:p w14:paraId="7B87881D">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PM</w:t>
                  </w:r>
                  <w:r>
                    <w:rPr>
                      <w:snapToGrid w:val="0"/>
                      <w:color w:val="000000" w:themeColor="text1"/>
                      <w:kern w:val="0"/>
                      <w:sz w:val="21"/>
                      <w:szCs w:val="21"/>
                      <w:vertAlign w:val="subscript"/>
                      <w14:textFill>
                        <w14:solidFill>
                          <w14:schemeClr w14:val="tx1"/>
                        </w14:solidFill>
                      </w14:textFill>
                    </w:rPr>
                    <w:t>10</w:t>
                  </w:r>
                </w:p>
              </w:tc>
              <w:tc>
                <w:tcPr>
                  <w:tcW w:w="976" w:type="pct"/>
                  <w:vMerge w:val="restart"/>
                  <w:vAlign w:val="center"/>
                </w:tcPr>
                <w:p w14:paraId="7B0B8733">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年平均质量浓度</w:t>
                  </w:r>
                </w:p>
              </w:tc>
              <w:tc>
                <w:tcPr>
                  <w:tcW w:w="1005" w:type="pct"/>
                  <w:vAlign w:val="center"/>
                </w:tcPr>
                <w:p w14:paraId="79E62B06">
                  <w:pPr>
                    <w:widowControl/>
                    <w:jc w:val="center"/>
                    <w:rPr>
                      <w:rFonts w:hint="default" w:eastAsia="宋体"/>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53</w:t>
                  </w:r>
                </w:p>
              </w:tc>
              <w:tc>
                <w:tcPr>
                  <w:tcW w:w="915" w:type="pct"/>
                  <w:vAlign w:val="center"/>
                </w:tcPr>
                <w:p w14:paraId="2D0BEDF9">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70</w:t>
                  </w:r>
                </w:p>
              </w:tc>
              <w:tc>
                <w:tcPr>
                  <w:tcW w:w="1121" w:type="dxa"/>
                  <w:vAlign w:val="center"/>
                </w:tcPr>
                <w:p w14:paraId="47A4BF40">
                  <w:pPr>
                    <w:keepNext w:val="0"/>
                    <w:keepLines w:val="0"/>
                    <w:widowControl/>
                    <w:suppressLineNumbers w:val="0"/>
                    <w:jc w:val="center"/>
                    <w:textAlignment w:val="auto"/>
                    <w:rPr>
                      <w:rFonts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75.7</w:t>
                  </w:r>
                </w:p>
              </w:tc>
              <w:tc>
                <w:tcPr>
                  <w:tcW w:w="705" w:type="pct"/>
                  <w:vAlign w:val="center"/>
                </w:tcPr>
                <w:p w14:paraId="3284B0AD">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达标</w:t>
                  </w:r>
                </w:p>
              </w:tc>
            </w:tr>
            <w:tr w14:paraId="2BFE1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90" w:type="pct"/>
                  <w:vAlign w:val="center"/>
                </w:tcPr>
                <w:p w14:paraId="17F31800">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SO</w:t>
                  </w:r>
                  <w:r>
                    <w:rPr>
                      <w:snapToGrid w:val="0"/>
                      <w:color w:val="000000" w:themeColor="text1"/>
                      <w:kern w:val="0"/>
                      <w:sz w:val="21"/>
                      <w:szCs w:val="21"/>
                      <w:vertAlign w:val="subscript"/>
                      <w14:textFill>
                        <w14:solidFill>
                          <w14:schemeClr w14:val="tx1"/>
                        </w14:solidFill>
                      </w14:textFill>
                    </w:rPr>
                    <w:t>2</w:t>
                  </w:r>
                </w:p>
              </w:tc>
              <w:tc>
                <w:tcPr>
                  <w:tcW w:w="976" w:type="pct"/>
                  <w:vMerge w:val="continue"/>
                  <w:vAlign w:val="center"/>
                </w:tcPr>
                <w:p w14:paraId="1F978858">
                  <w:pPr>
                    <w:widowControl/>
                    <w:jc w:val="center"/>
                    <w:rPr>
                      <w:snapToGrid w:val="0"/>
                      <w:color w:val="000000" w:themeColor="text1"/>
                      <w:kern w:val="0"/>
                      <w:sz w:val="21"/>
                      <w:szCs w:val="21"/>
                      <w14:textFill>
                        <w14:solidFill>
                          <w14:schemeClr w14:val="tx1"/>
                        </w14:solidFill>
                      </w14:textFill>
                    </w:rPr>
                  </w:pPr>
                </w:p>
              </w:tc>
              <w:tc>
                <w:tcPr>
                  <w:tcW w:w="1005" w:type="pct"/>
                  <w:vAlign w:val="center"/>
                </w:tcPr>
                <w:p w14:paraId="4BB3F563">
                  <w:pPr>
                    <w:widowControl/>
                    <w:jc w:val="center"/>
                    <w:rPr>
                      <w:rFonts w:hint="default" w:eastAsia="宋体"/>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8</w:t>
                  </w:r>
                </w:p>
              </w:tc>
              <w:tc>
                <w:tcPr>
                  <w:tcW w:w="915" w:type="pct"/>
                  <w:vAlign w:val="center"/>
                </w:tcPr>
                <w:p w14:paraId="64788A13">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60</w:t>
                  </w:r>
                </w:p>
              </w:tc>
              <w:tc>
                <w:tcPr>
                  <w:tcW w:w="1121" w:type="dxa"/>
                  <w:vAlign w:val="center"/>
                </w:tcPr>
                <w:p w14:paraId="3708A891">
                  <w:pPr>
                    <w:keepNext w:val="0"/>
                    <w:keepLines w:val="0"/>
                    <w:widowControl/>
                    <w:suppressLineNumbers w:val="0"/>
                    <w:jc w:val="center"/>
                    <w:textAlignment w:val="auto"/>
                    <w:rPr>
                      <w:rFonts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13.3</w:t>
                  </w:r>
                </w:p>
              </w:tc>
              <w:tc>
                <w:tcPr>
                  <w:tcW w:w="705" w:type="pct"/>
                  <w:vAlign w:val="center"/>
                </w:tcPr>
                <w:p w14:paraId="082FF753">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达标</w:t>
                  </w:r>
                </w:p>
              </w:tc>
            </w:tr>
            <w:tr w14:paraId="5862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14:paraId="61638933">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NO</w:t>
                  </w:r>
                  <w:r>
                    <w:rPr>
                      <w:snapToGrid w:val="0"/>
                      <w:color w:val="000000" w:themeColor="text1"/>
                      <w:kern w:val="0"/>
                      <w:sz w:val="21"/>
                      <w:szCs w:val="21"/>
                      <w:vertAlign w:val="subscript"/>
                      <w14:textFill>
                        <w14:solidFill>
                          <w14:schemeClr w14:val="tx1"/>
                        </w14:solidFill>
                      </w14:textFill>
                    </w:rPr>
                    <w:t>2</w:t>
                  </w:r>
                </w:p>
              </w:tc>
              <w:tc>
                <w:tcPr>
                  <w:tcW w:w="976" w:type="pct"/>
                  <w:vMerge w:val="continue"/>
                  <w:vAlign w:val="center"/>
                </w:tcPr>
                <w:p w14:paraId="3600ED05">
                  <w:pPr>
                    <w:widowControl/>
                    <w:jc w:val="center"/>
                    <w:rPr>
                      <w:snapToGrid w:val="0"/>
                      <w:color w:val="000000" w:themeColor="text1"/>
                      <w:kern w:val="0"/>
                      <w:sz w:val="21"/>
                      <w:szCs w:val="21"/>
                      <w14:textFill>
                        <w14:solidFill>
                          <w14:schemeClr w14:val="tx1"/>
                        </w14:solidFill>
                      </w14:textFill>
                    </w:rPr>
                  </w:pPr>
                </w:p>
              </w:tc>
              <w:tc>
                <w:tcPr>
                  <w:tcW w:w="1005" w:type="pct"/>
                  <w:vAlign w:val="center"/>
                </w:tcPr>
                <w:p w14:paraId="2B301AA0">
                  <w:pPr>
                    <w:widowControl/>
                    <w:jc w:val="center"/>
                    <w:rPr>
                      <w:rFonts w:hint="default" w:eastAsia="宋体"/>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21</w:t>
                  </w:r>
                </w:p>
              </w:tc>
              <w:tc>
                <w:tcPr>
                  <w:tcW w:w="915" w:type="pct"/>
                  <w:vAlign w:val="center"/>
                </w:tcPr>
                <w:p w14:paraId="72D8A5C5">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40</w:t>
                  </w:r>
                </w:p>
              </w:tc>
              <w:tc>
                <w:tcPr>
                  <w:tcW w:w="1121" w:type="dxa"/>
                  <w:vAlign w:val="center"/>
                </w:tcPr>
                <w:p w14:paraId="243ED795">
                  <w:pPr>
                    <w:keepNext w:val="0"/>
                    <w:keepLines w:val="0"/>
                    <w:widowControl/>
                    <w:suppressLineNumbers w:val="0"/>
                    <w:jc w:val="center"/>
                    <w:textAlignment w:val="auto"/>
                    <w:rPr>
                      <w:rFonts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52.5</w:t>
                  </w:r>
                </w:p>
              </w:tc>
              <w:tc>
                <w:tcPr>
                  <w:tcW w:w="705" w:type="pct"/>
                  <w:vAlign w:val="center"/>
                </w:tcPr>
                <w:p w14:paraId="125FCD5B">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达标</w:t>
                  </w:r>
                </w:p>
              </w:tc>
            </w:tr>
            <w:tr w14:paraId="0A44C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690" w:type="pct"/>
                  <w:vAlign w:val="center"/>
                </w:tcPr>
                <w:p w14:paraId="60DCEB63">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PM</w:t>
                  </w:r>
                  <w:r>
                    <w:rPr>
                      <w:snapToGrid w:val="0"/>
                      <w:color w:val="000000" w:themeColor="text1"/>
                      <w:kern w:val="0"/>
                      <w:sz w:val="21"/>
                      <w:szCs w:val="21"/>
                      <w:vertAlign w:val="subscript"/>
                      <w14:textFill>
                        <w14:solidFill>
                          <w14:schemeClr w14:val="tx1"/>
                        </w14:solidFill>
                      </w14:textFill>
                    </w:rPr>
                    <w:t>2.5</w:t>
                  </w:r>
                </w:p>
              </w:tc>
              <w:tc>
                <w:tcPr>
                  <w:tcW w:w="976" w:type="pct"/>
                  <w:vMerge w:val="continue"/>
                  <w:vAlign w:val="center"/>
                </w:tcPr>
                <w:p w14:paraId="7879DC9A">
                  <w:pPr>
                    <w:widowControl/>
                    <w:jc w:val="center"/>
                    <w:rPr>
                      <w:snapToGrid w:val="0"/>
                      <w:color w:val="000000" w:themeColor="text1"/>
                      <w:kern w:val="0"/>
                      <w:sz w:val="21"/>
                      <w:szCs w:val="21"/>
                      <w14:textFill>
                        <w14:solidFill>
                          <w14:schemeClr w14:val="tx1"/>
                        </w14:solidFill>
                      </w14:textFill>
                    </w:rPr>
                  </w:pPr>
                </w:p>
              </w:tc>
              <w:tc>
                <w:tcPr>
                  <w:tcW w:w="1005" w:type="pct"/>
                  <w:vAlign w:val="center"/>
                </w:tcPr>
                <w:p w14:paraId="291E0417">
                  <w:pPr>
                    <w:widowControl/>
                    <w:jc w:val="center"/>
                    <w:rPr>
                      <w:rFonts w:hint="default" w:eastAsia="宋体"/>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31.6</w:t>
                  </w:r>
                </w:p>
              </w:tc>
              <w:tc>
                <w:tcPr>
                  <w:tcW w:w="915" w:type="pct"/>
                  <w:vAlign w:val="center"/>
                </w:tcPr>
                <w:p w14:paraId="525D939B">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35</w:t>
                  </w:r>
                </w:p>
              </w:tc>
              <w:tc>
                <w:tcPr>
                  <w:tcW w:w="1121" w:type="dxa"/>
                  <w:vAlign w:val="center"/>
                </w:tcPr>
                <w:p w14:paraId="6C31F4DE">
                  <w:pPr>
                    <w:keepNext w:val="0"/>
                    <w:keepLines w:val="0"/>
                    <w:widowControl/>
                    <w:suppressLineNumbers w:val="0"/>
                    <w:jc w:val="center"/>
                    <w:textAlignment w:val="auto"/>
                    <w:rPr>
                      <w:rFonts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90.3</w:t>
                  </w:r>
                </w:p>
              </w:tc>
              <w:tc>
                <w:tcPr>
                  <w:tcW w:w="705" w:type="pct"/>
                  <w:vAlign w:val="center"/>
                </w:tcPr>
                <w:p w14:paraId="7EE72BAA">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达标</w:t>
                  </w:r>
                </w:p>
              </w:tc>
            </w:tr>
            <w:tr w14:paraId="04B27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14:paraId="1F7FECF0">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CO</w:t>
                  </w:r>
                </w:p>
              </w:tc>
              <w:tc>
                <w:tcPr>
                  <w:tcW w:w="976" w:type="pct"/>
                  <w:vAlign w:val="center"/>
                </w:tcPr>
                <w:p w14:paraId="3B4E57A7">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第95百分位数日均浓度</w:t>
                  </w:r>
                </w:p>
              </w:tc>
              <w:tc>
                <w:tcPr>
                  <w:tcW w:w="1005" w:type="pct"/>
                  <w:vAlign w:val="center"/>
                </w:tcPr>
                <w:p w14:paraId="6E5BD235">
                  <w:pPr>
                    <w:widowControl/>
                    <w:jc w:val="both"/>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1.0</w:t>
                  </w:r>
                  <w:r>
                    <w:rPr>
                      <w:snapToGrid w:val="0"/>
                      <w:color w:val="000000" w:themeColor="text1"/>
                      <w:kern w:val="0"/>
                      <w:sz w:val="21"/>
                      <w:szCs w:val="21"/>
                      <w14:textFill>
                        <w14:solidFill>
                          <w14:schemeClr w14:val="tx1"/>
                        </w14:solidFill>
                      </w14:textFill>
                    </w:rPr>
                    <w:t>（mg/m</w:t>
                  </w:r>
                  <w:r>
                    <w:rPr>
                      <w:snapToGrid w:val="0"/>
                      <w:color w:val="000000" w:themeColor="text1"/>
                      <w:kern w:val="0"/>
                      <w:sz w:val="21"/>
                      <w:szCs w:val="21"/>
                      <w:vertAlign w:val="superscript"/>
                      <w14:textFill>
                        <w14:solidFill>
                          <w14:schemeClr w14:val="tx1"/>
                        </w14:solidFill>
                      </w14:textFill>
                    </w:rPr>
                    <w:t>3</w:t>
                  </w:r>
                  <w:r>
                    <w:rPr>
                      <w:snapToGrid w:val="0"/>
                      <w:color w:val="000000" w:themeColor="text1"/>
                      <w:kern w:val="0"/>
                      <w:sz w:val="21"/>
                      <w:szCs w:val="21"/>
                      <w14:textFill>
                        <w14:solidFill>
                          <w14:schemeClr w14:val="tx1"/>
                        </w14:solidFill>
                      </w14:textFill>
                    </w:rPr>
                    <w:t>）</w:t>
                  </w:r>
                </w:p>
              </w:tc>
              <w:tc>
                <w:tcPr>
                  <w:tcW w:w="915" w:type="pct"/>
                  <w:vAlign w:val="center"/>
                </w:tcPr>
                <w:p w14:paraId="03564279">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4（mg/m</w:t>
                  </w:r>
                  <w:r>
                    <w:rPr>
                      <w:snapToGrid w:val="0"/>
                      <w:color w:val="000000" w:themeColor="text1"/>
                      <w:kern w:val="0"/>
                      <w:sz w:val="21"/>
                      <w:szCs w:val="21"/>
                      <w:vertAlign w:val="superscript"/>
                      <w14:textFill>
                        <w14:solidFill>
                          <w14:schemeClr w14:val="tx1"/>
                        </w14:solidFill>
                      </w14:textFill>
                    </w:rPr>
                    <w:t>3</w:t>
                  </w:r>
                  <w:r>
                    <w:rPr>
                      <w:snapToGrid w:val="0"/>
                      <w:color w:val="000000" w:themeColor="text1"/>
                      <w:kern w:val="0"/>
                      <w:sz w:val="21"/>
                      <w:szCs w:val="21"/>
                      <w14:textFill>
                        <w14:solidFill>
                          <w14:schemeClr w14:val="tx1"/>
                        </w14:solidFill>
                      </w14:textFill>
                    </w:rPr>
                    <w:t>）</w:t>
                  </w:r>
                </w:p>
              </w:tc>
              <w:tc>
                <w:tcPr>
                  <w:tcW w:w="1121" w:type="dxa"/>
                  <w:vAlign w:val="center"/>
                </w:tcPr>
                <w:p w14:paraId="2E20177B">
                  <w:pPr>
                    <w:keepNext w:val="0"/>
                    <w:keepLines w:val="0"/>
                    <w:widowControl/>
                    <w:suppressLineNumbers w:val="0"/>
                    <w:jc w:val="center"/>
                    <w:textAlignment w:val="auto"/>
                    <w:rPr>
                      <w:rFonts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25.0</w:t>
                  </w:r>
                </w:p>
              </w:tc>
              <w:tc>
                <w:tcPr>
                  <w:tcW w:w="705" w:type="pct"/>
                  <w:vAlign w:val="center"/>
                </w:tcPr>
                <w:p w14:paraId="7265ADA6">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达标</w:t>
                  </w:r>
                </w:p>
              </w:tc>
            </w:tr>
            <w:tr w14:paraId="5DDD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pct"/>
                  <w:vAlign w:val="center"/>
                </w:tcPr>
                <w:p w14:paraId="42B54457">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O</w:t>
                  </w:r>
                  <w:r>
                    <w:rPr>
                      <w:snapToGrid w:val="0"/>
                      <w:color w:val="000000" w:themeColor="text1"/>
                      <w:kern w:val="0"/>
                      <w:sz w:val="21"/>
                      <w:szCs w:val="21"/>
                      <w:vertAlign w:val="subscript"/>
                      <w14:textFill>
                        <w14:solidFill>
                          <w14:schemeClr w14:val="tx1"/>
                        </w14:solidFill>
                      </w14:textFill>
                    </w:rPr>
                    <w:t>3</w:t>
                  </w:r>
                </w:p>
              </w:tc>
              <w:tc>
                <w:tcPr>
                  <w:tcW w:w="976" w:type="pct"/>
                  <w:vAlign w:val="center"/>
                </w:tcPr>
                <w:p w14:paraId="064BB3E6">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第90百分位数日最大8h平均浓度</w:t>
                  </w:r>
                </w:p>
              </w:tc>
              <w:tc>
                <w:tcPr>
                  <w:tcW w:w="1005" w:type="pct"/>
                  <w:vAlign w:val="center"/>
                </w:tcPr>
                <w:p w14:paraId="7C7B4122">
                  <w:pPr>
                    <w:widowControl/>
                    <w:jc w:val="center"/>
                    <w:rPr>
                      <w:rFonts w:hint="default" w:eastAsia="宋体"/>
                      <w:snapToGrid w:val="0"/>
                      <w:color w:val="000000" w:themeColor="text1"/>
                      <w:kern w:val="0"/>
                      <w:sz w:val="21"/>
                      <w:szCs w:val="21"/>
                      <w:lang w:val="en-US" w:eastAsia="zh-CN"/>
                      <w14:textFill>
                        <w14:solidFill>
                          <w14:schemeClr w14:val="tx1"/>
                        </w14:solidFill>
                      </w14:textFill>
                    </w:rPr>
                  </w:pPr>
                  <w:r>
                    <w:rPr>
                      <w:rFonts w:hint="eastAsia"/>
                      <w:snapToGrid w:val="0"/>
                      <w:color w:val="000000" w:themeColor="text1"/>
                      <w:kern w:val="0"/>
                      <w:sz w:val="21"/>
                      <w:szCs w:val="21"/>
                      <w:lang w:val="en-US" w:eastAsia="zh-CN"/>
                      <w14:textFill>
                        <w14:solidFill>
                          <w14:schemeClr w14:val="tx1"/>
                        </w14:solidFill>
                      </w14:textFill>
                    </w:rPr>
                    <w:t>158</w:t>
                  </w:r>
                </w:p>
              </w:tc>
              <w:tc>
                <w:tcPr>
                  <w:tcW w:w="915" w:type="pct"/>
                  <w:vAlign w:val="center"/>
                </w:tcPr>
                <w:p w14:paraId="78A115E0">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160</w:t>
                  </w:r>
                </w:p>
              </w:tc>
              <w:tc>
                <w:tcPr>
                  <w:tcW w:w="1121" w:type="dxa"/>
                  <w:vAlign w:val="center"/>
                </w:tcPr>
                <w:p w14:paraId="32C23ED6">
                  <w:pPr>
                    <w:keepNext w:val="0"/>
                    <w:keepLines w:val="0"/>
                    <w:widowControl/>
                    <w:suppressLineNumbers w:val="0"/>
                    <w:jc w:val="center"/>
                    <w:textAlignment w:val="auto"/>
                    <w:rPr>
                      <w:rFonts w:ascii="Times New Roman" w:hAnsi="Times New Roman" w:eastAsia="宋体" w:cs="Times New Roman"/>
                      <w:snapToGrid w:val="0"/>
                      <w:color w:val="000000" w:themeColor="text1"/>
                      <w:kern w:val="0"/>
                      <w:sz w:val="21"/>
                      <w:szCs w:val="21"/>
                      <w14:textFill>
                        <w14:solidFill>
                          <w14:schemeClr w14:val="tx1"/>
                        </w14:solidFill>
                      </w14:textFill>
                    </w:rPr>
                  </w:pPr>
                  <w:r>
                    <w:rPr>
                      <w:rFonts w:hint="default" w:ascii="Times New Roman" w:hAnsi="Times New Roman" w:eastAsia="宋体" w:cs="Times New Roman"/>
                      <w:i w:val="0"/>
                      <w:iCs w:val="0"/>
                      <w:snapToGrid w:val="0"/>
                      <w:color w:val="000000" w:themeColor="text1"/>
                      <w:kern w:val="0"/>
                      <w:sz w:val="21"/>
                      <w:szCs w:val="21"/>
                      <w:u w:val="none"/>
                      <w:lang w:val="en-US" w:eastAsia="zh-CN" w:bidi="ar"/>
                      <w14:textFill>
                        <w14:solidFill>
                          <w14:schemeClr w14:val="tx1"/>
                        </w14:solidFill>
                      </w14:textFill>
                    </w:rPr>
                    <w:t>98.8</w:t>
                  </w:r>
                </w:p>
              </w:tc>
              <w:tc>
                <w:tcPr>
                  <w:tcW w:w="705" w:type="pct"/>
                  <w:vAlign w:val="center"/>
                </w:tcPr>
                <w:p w14:paraId="32665923">
                  <w:pPr>
                    <w:widowControl/>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达标</w:t>
                  </w:r>
                </w:p>
              </w:tc>
            </w:tr>
          </w:tbl>
          <w:p w14:paraId="7EA93D37">
            <w:pPr>
              <w:autoSpaceDE w:val="0"/>
              <w:autoSpaceDN w:val="0"/>
              <w:adjustRightInd w:val="0"/>
              <w:snapToGrid w:val="0"/>
              <w:spacing w:beforeLines="50"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表3-1表明本项目所在区域环境空气中SO</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、NO</w:t>
            </w:r>
            <w:r>
              <w:rPr>
                <w:color w:val="000000" w:themeColor="text1"/>
                <w:sz w:val="24"/>
                <w:szCs w:val="24"/>
                <w:vertAlign w:val="subscript"/>
                <w14:textFill>
                  <w14:solidFill>
                    <w14:schemeClr w14:val="tx1"/>
                  </w14:solidFill>
                </w14:textFill>
              </w:rPr>
              <w:t>2</w:t>
            </w:r>
            <w:r>
              <w:rPr>
                <w:color w:val="000000" w:themeColor="text1"/>
                <w:sz w:val="24"/>
                <w:szCs w:val="24"/>
                <w14:textFill>
                  <w14:solidFill>
                    <w14:schemeClr w14:val="tx1"/>
                  </w14:solidFill>
                </w14:textFill>
              </w:rPr>
              <w:t>、PM</w:t>
            </w:r>
            <w:r>
              <w:rPr>
                <w:color w:val="000000" w:themeColor="text1"/>
                <w:sz w:val="24"/>
                <w:szCs w:val="24"/>
                <w:vertAlign w:val="subscript"/>
                <w14:textFill>
                  <w14:solidFill>
                    <w14:schemeClr w14:val="tx1"/>
                  </w14:solidFill>
                </w14:textFill>
              </w:rPr>
              <w:t>10</w:t>
            </w:r>
            <w:r>
              <w:rPr>
                <w:color w:val="000000" w:themeColor="text1"/>
                <w:sz w:val="24"/>
                <w:szCs w:val="24"/>
                <w14:textFill>
                  <w14:solidFill>
                    <w14:schemeClr w14:val="tx1"/>
                  </w14:solidFill>
                </w14:textFill>
              </w:rPr>
              <w:t>、PM</w:t>
            </w:r>
            <w:r>
              <w:rPr>
                <w:color w:val="000000" w:themeColor="text1"/>
                <w:sz w:val="24"/>
                <w:szCs w:val="24"/>
                <w:vertAlign w:val="subscript"/>
                <w14:textFill>
                  <w14:solidFill>
                    <w14:schemeClr w14:val="tx1"/>
                  </w14:solidFill>
                </w14:textFill>
              </w:rPr>
              <w:t>2.5</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O</w:t>
            </w:r>
            <w:r>
              <w:rPr>
                <w:color w:val="000000" w:themeColor="text1"/>
                <w:sz w:val="24"/>
                <w:szCs w:val="24"/>
                <w:vertAlign w:val="subscript"/>
                <w14:textFill>
                  <w14:solidFill>
                    <w14:schemeClr w14:val="tx1"/>
                  </w14:solidFill>
                </w14:textFill>
              </w:rPr>
              <w:t>3</w:t>
            </w:r>
            <w:r>
              <w:rPr>
                <w:color w:val="000000" w:themeColor="text1"/>
                <w:sz w:val="24"/>
                <w:szCs w:val="24"/>
                <w14:textFill>
                  <w14:solidFill>
                    <w14:schemeClr w14:val="tx1"/>
                  </w14:solidFill>
                </w14:textFill>
              </w:rPr>
              <w:t>、CO浓度均满足《环境空气质量标准》</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GB3095-2012</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中二级标准要求</w:t>
            </w:r>
            <w:r>
              <w:rPr>
                <w:rFonts w:hint="eastAsia"/>
                <w:color w:val="000000" w:themeColor="text1"/>
                <w:sz w:val="24"/>
                <w:szCs w:val="24"/>
                <w:lang w:eastAsia="zh-CN"/>
                <w14:textFill>
                  <w14:solidFill>
                    <w14:schemeClr w14:val="tx1"/>
                  </w14:solidFill>
                </w14:textFill>
              </w:rPr>
              <w:t>，</w:t>
            </w:r>
            <w:r>
              <w:rPr>
                <w:color w:val="000000" w:themeColor="text1"/>
                <w:sz w:val="24"/>
                <w:szCs w:val="24"/>
                <w14:textFill>
                  <w14:solidFill>
                    <w14:schemeClr w14:val="tx1"/>
                  </w14:solidFill>
                </w14:textFill>
              </w:rPr>
              <w:t>本项目所在的</w:t>
            </w:r>
            <w:r>
              <w:rPr>
                <w:rFonts w:hint="eastAsia"/>
                <w:color w:val="000000" w:themeColor="text1"/>
                <w:sz w:val="24"/>
                <w:szCs w:val="24"/>
                <w:lang w:val="en-US" w:eastAsia="zh-CN"/>
                <w14:textFill>
                  <w14:solidFill>
                    <w14:schemeClr w14:val="tx1"/>
                  </w14:solidFill>
                </w14:textFill>
              </w:rPr>
              <w:t>璧山</w:t>
            </w:r>
            <w:r>
              <w:rPr>
                <w:color w:val="000000" w:themeColor="text1"/>
                <w:sz w:val="24"/>
                <w:szCs w:val="24"/>
                <w14:textFill>
                  <w14:solidFill>
                    <w14:schemeClr w14:val="tx1"/>
                  </w14:solidFill>
                </w14:textFill>
              </w:rPr>
              <w:t>区属于达标区。</w:t>
            </w:r>
          </w:p>
          <w:p w14:paraId="492200B6">
            <w:pPr>
              <w:widowControl/>
              <w:adjustRightInd w:val="0"/>
              <w:snapToGrid w:val="0"/>
              <w:spacing w:line="360" w:lineRule="auto"/>
              <w:ind w:firstLine="482" w:firstLineChars="200"/>
              <w:jc w:val="left"/>
              <w:rPr>
                <w:rFonts w:eastAsiaTheme="minorEastAsia"/>
                <w:b/>
                <w:snapToGrid w:val="0"/>
                <w:color w:val="000000" w:themeColor="text1"/>
                <w:kern w:val="0"/>
                <w:sz w:val="24"/>
                <w:szCs w:val="24"/>
                <w14:textFill>
                  <w14:solidFill>
                    <w14:schemeClr w14:val="tx1"/>
                  </w14:solidFill>
                </w14:textFill>
              </w:rPr>
            </w:pPr>
            <w:r>
              <w:rPr>
                <w:rFonts w:eastAsiaTheme="minorEastAsia"/>
                <w:b/>
                <w:snapToGrid w:val="0"/>
                <w:color w:val="000000" w:themeColor="text1"/>
                <w:kern w:val="0"/>
                <w:sz w:val="24"/>
                <w:szCs w:val="24"/>
                <w14:textFill>
                  <w14:solidFill>
                    <w14:schemeClr w14:val="tx1"/>
                  </w14:solidFill>
                </w14:textFill>
              </w:rPr>
              <w:t>（2）其他污染物环境质量现状</w:t>
            </w:r>
          </w:p>
          <w:p w14:paraId="0E1D0C86">
            <w:pPr>
              <w:pStyle w:val="35"/>
              <w:spacing w:line="360" w:lineRule="auto"/>
              <w:ind w:firstLine="420"/>
              <w:jc w:val="both"/>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本项目大气特征因子为非甲烷总烃。</w:t>
            </w:r>
          </w:p>
          <w:p w14:paraId="551BE6A8">
            <w:pPr>
              <w:pStyle w:val="14"/>
              <w:spacing w:line="360" w:lineRule="auto"/>
              <w:ind w:firstLine="480" w:firstLineChars="200"/>
              <w:rPr>
                <w:rFonts w:ascii="Times New Roman" w:hAnsi="Times New Roman" w:eastAsiaTheme="minorEastAsia"/>
                <w:bCs/>
                <w:color w:val="000000" w:themeColor="text1"/>
                <w:kern w:val="0"/>
                <w:sz w:val="24"/>
                <w:szCs w:val="24"/>
                <w14:textFill>
                  <w14:solidFill>
                    <w14:schemeClr w14:val="tx1"/>
                  </w14:solidFill>
                </w14:textFill>
              </w:rPr>
            </w:pPr>
            <w:r>
              <w:rPr>
                <w:rFonts w:ascii="Times New Roman" w:hAnsi="Times New Roman" w:eastAsiaTheme="minorEastAsia"/>
                <w:color w:val="000000" w:themeColor="text1"/>
                <w:sz w:val="24"/>
                <w:szCs w:val="24"/>
                <w14:textFill>
                  <w14:solidFill>
                    <w14:schemeClr w14:val="tx1"/>
                  </w14:solidFill>
                </w14:textFill>
              </w:rPr>
              <w:t>根据《重庆市人民政府关于印发重庆市环境空气质量功能区划分规定的通知》（渝府发</w:t>
            </w:r>
            <w:r>
              <w:rPr>
                <w:rFonts w:ascii="Times New Roman" w:hAnsi="Times New Roman" w:eastAsiaTheme="minorEastAsia"/>
                <w:bCs/>
                <w:color w:val="000000" w:themeColor="text1"/>
                <w:sz w:val="24"/>
                <w:szCs w:val="24"/>
                <w14:textFill>
                  <w14:solidFill>
                    <w14:schemeClr w14:val="tx1"/>
                  </w14:solidFill>
                </w14:textFill>
              </w:rPr>
              <w:t>〔2016〕</w:t>
            </w:r>
            <w:r>
              <w:rPr>
                <w:rFonts w:ascii="Times New Roman" w:hAnsi="Times New Roman" w:eastAsiaTheme="minorEastAsia"/>
                <w:color w:val="000000" w:themeColor="text1"/>
                <w:sz w:val="24"/>
                <w:szCs w:val="24"/>
                <w14:textFill>
                  <w14:solidFill>
                    <w14:schemeClr w14:val="tx1"/>
                  </w14:solidFill>
                </w14:textFill>
              </w:rPr>
              <w:t>19号），项目所在区为环境空气二类功能区</w:t>
            </w:r>
            <w:r>
              <w:rPr>
                <w:rFonts w:ascii="Times New Roman" w:hAnsi="Times New Roman" w:eastAsiaTheme="minorEastAsia"/>
                <w:color w:val="000000" w:themeColor="text1"/>
                <w:kern w:val="0"/>
                <w:sz w:val="24"/>
                <w:szCs w:val="24"/>
                <w14:textFill>
                  <w14:solidFill>
                    <w14:schemeClr w14:val="tx1"/>
                  </w14:solidFill>
                </w14:textFill>
              </w:rPr>
              <w:t>。</w:t>
            </w:r>
          </w:p>
          <w:p w14:paraId="2C42DB78">
            <w:pPr>
              <w:adjustRightInd w:val="0"/>
              <w:snapToGrid w:val="0"/>
              <w:spacing w:line="360" w:lineRule="auto"/>
              <w:ind w:firstLine="480" w:firstLineChars="200"/>
              <w:rPr>
                <w:rFonts w:eastAsiaTheme="minorEastAsia"/>
                <w:bCs/>
                <w:color w:val="000000" w:themeColor="text1"/>
                <w:kern w:val="0"/>
                <w:sz w:val="24"/>
                <w:szCs w:val="24"/>
                <w14:textFill>
                  <w14:solidFill>
                    <w14:schemeClr w14:val="tx1"/>
                  </w14:solidFill>
                </w14:textFill>
              </w:rPr>
            </w:pPr>
            <w:r>
              <w:rPr>
                <w:rFonts w:eastAsiaTheme="minorEastAsia"/>
                <w:bCs/>
                <w:color w:val="000000" w:themeColor="text1"/>
                <w:kern w:val="0"/>
                <w:sz w:val="24"/>
                <w:szCs w:val="24"/>
                <w14:textFill>
                  <w14:solidFill>
                    <w14:schemeClr w14:val="tx1"/>
                  </w14:solidFill>
                </w14:textFill>
              </w:rPr>
              <w:t>根据《建设项目环境影响报告表编制技术指南（污染影响类）（试行）》可知，排放国家、地方环境空气质量标准中有标准限值要求的特征污染物时，可引用建设项目周边5千米范围内近3年的现有监测数据，无相关数据的选择当季主导风向下风向1个点位补充不少于3天的监测数据。本项目非甲烷总烃引用</w:t>
            </w:r>
            <w:r>
              <w:rPr>
                <w:rFonts w:hint="eastAsia" w:eastAsiaTheme="minorEastAsia"/>
                <w:bCs/>
                <w:color w:val="000000" w:themeColor="text1"/>
                <w:kern w:val="0"/>
                <w:sz w:val="24"/>
                <w:szCs w:val="24"/>
                <w14:textFill>
                  <w14:solidFill>
                    <w14:schemeClr w14:val="tx1"/>
                  </w14:solidFill>
                </w14:textFill>
              </w:rPr>
              <w:t>重庆渝久环保产业有限公司监测报告（渝久</w:t>
            </w:r>
            <w:r>
              <w:rPr>
                <w:rFonts w:hint="eastAsia" w:eastAsiaTheme="minorEastAsia"/>
                <w:bCs/>
                <w:color w:val="000000" w:themeColor="text1"/>
                <w:kern w:val="0"/>
                <w:sz w:val="24"/>
                <w:szCs w:val="24"/>
                <w:lang w:eastAsia="zh-CN"/>
                <w14:textFill>
                  <w14:solidFill>
                    <w14:schemeClr w14:val="tx1"/>
                  </w14:solidFill>
                </w14:textFill>
              </w:rPr>
              <w:t>（</w:t>
            </w:r>
            <w:r>
              <w:rPr>
                <w:rFonts w:hint="eastAsia" w:eastAsiaTheme="minorEastAsia"/>
                <w:bCs/>
                <w:color w:val="000000" w:themeColor="text1"/>
                <w:kern w:val="0"/>
                <w:sz w:val="24"/>
                <w:szCs w:val="24"/>
                <w14:textFill>
                  <w14:solidFill>
                    <w14:schemeClr w14:val="tx1"/>
                  </w14:solidFill>
                </w14:textFill>
              </w:rPr>
              <w:t>监</w:t>
            </w:r>
            <w:r>
              <w:rPr>
                <w:rFonts w:hint="eastAsia" w:eastAsiaTheme="minorEastAsia"/>
                <w:bCs/>
                <w:color w:val="000000" w:themeColor="text1"/>
                <w:kern w:val="0"/>
                <w:sz w:val="24"/>
                <w:szCs w:val="24"/>
                <w:lang w:eastAsia="zh-CN"/>
                <w14:textFill>
                  <w14:solidFill>
                    <w14:schemeClr w14:val="tx1"/>
                  </w14:solidFill>
                </w14:textFill>
              </w:rPr>
              <w:t>）</w:t>
            </w:r>
            <w:r>
              <w:rPr>
                <w:rFonts w:hint="eastAsia" w:eastAsiaTheme="minorEastAsia"/>
                <w:bCs/>
                <w:color w:val="000000" w:themeColor="text1"/>
                <w:kern w:val="0"/>
                <w:sz w:val="24"/>
                <w:szCs w:val="24"/>
                <w14:textFill>
                  <w14:solidFill>
                    <w14:schemeClr w14:val="tx1"/>
                  </w14:solidFill>
                </w14:textFill>
              </w:rPr>
              <w:t>字</w:t>
            </w:r>
            <w:r>
              <w:rPr>
                <w:rFonts w:hint="eastAsia" w:ascii="宋体" w:hAnsi="宋体" w:eastAsia="宋体" w:cs="宋体"/>
                <w:color w:val="000000" w:themeColor="text1"/>
                <w:sz w:val="24"/>
                <w:lang w:eastAsia="zh-CN"/>
                <w14:textFill>
                  <w14:solidFill>
                    <w14:schemeClr w14:val="tx1"/>
                  </w14:solidFill>
                </w14:textFill>
              </w:rPr>
              <w:t>〔</w:t>
            </w:r>
            <w:r>
              <w:rPr>
                <w:rFonts w:hint="eastAsia" w:eastAsiaTheme="minorEastAsia"/>
                <w:bCs/>
                <w:color w:val="000000" w:themeColor="text1"/>
                <w:kern w:val="0"/>
                <w:sz w:val="24"/>
                <w:szCs w:val="24"/>
                <w14:textFill>
                  <w14:solidFill>
                    <w14:schemeClr w14:val="tx1"/>
                  </w14:solidFill>
                </w14:textFill>
              </w:rPr>
              <w:t>2024</w:t>
            </w:r>
            <w:r>
              <w:rPr>
                <w:rFonts w:hint="eastAsia" w:ascii="宋体" w:hAnsi="宋体" w:eastAsia="宋体" w:cs="宋体"/>
                <w:color w:val="000000" w:themeColor="text1"/>
                <w:sz w:val="24"/>
                <w:lang w:eastAsia="zh-CN"/>
                <w14:textFill>
                  <w14:solidFill>
                    <w14:schemeClr w14:val="tx1"/>
                  </w14:solidFill>
                </w14:textFill>
              </w:rPr>
              <w:t>〕</w:t>
            </w:r>
            <w:r>
              <w:rPr>
                <w:rFonts w:hint="eastAsia" w:eastAsiaTheme="minorEastAsia"/>
                <w:bCs/>
                <w:color w:val="000000" w:themeColor="text1"/>
                <w:kern w:val="0"/>
                <w:sz w:val="24"/>
                <w:szCs w:val="24"/>
                <w14:textFill>
                  <w14:solidFill>
                    <w14:schemeClr w14:val="tx1"/>
                  </w14:solidFill>
                </w14:textFill>
              </w:rPr>
              <w:t>第HP28-3号）</w:t>
            </w:r>
            <w:r>
              <w:rPr>
                <w:rFonts w:hint="eastAsia" w:eastAsiaTheme="minorEastAsia"/>
                <w:bCs/>
                <w:color w:val="000000" w:themeColor="text1"/>
                <w:kern w:val="0"/>
                <w:sz w:val="24"/>
                <w:szCs w:val="24"/>
                <w:lang w:val="en-US" w:eastAsia="zh-CN"/>
                <w14:textFill>
                  <w14:solidFill>
                    <w14:schemeClr w14:val="tx1"/>
                  </w14:solidFill>
                </w14:textFill>
              </w:rPr>
              <w:t>来凤中学E7</w:t>
            </w:r>
            <w:r>
              <w:rPr>
                <w:rFonts w:hint="eastAsia" w:eastAsiaTheme="minorEastAsia"/>
                <w:bCs/>
                <w:color w:val="000000" w:themeColor="text1"/>
                <w:kern w:val="0"/>
                <w:sz w:val="24"/>
                <w:szCs w:val="24"/>
                <w14:textFill>
                  <w14:solidFill>
                    <w14:schemeClr w14:val="tx1"/>
                  </w14:solidFill>
                </w14:textFill>
              </w:rPr>
              <w:t>点位数据进行评价，监测时间为202</w:t>
            </w:r>
            <w:r>
              <w:rPr>
                <w:rFonts w:hint="eastAsia" w:eastAsiaTheme="minorEastAsia"/>
                <w:bCs/>
                <w:color w:val="000000" w:themeColor="text1"/>
                <w:kern w:val="0"/>
                <w:sz w:val="24"/>
                <w:szCs w:val="24"/>
                <w:lang w:val="en-US" w:eastAsia="zh-CN"/>
                <w14:textFill>
                  <w14:solidFill>
                    <w14:schemeClr w14:val="tx1"/>
                  </w14:solidFill>
                </w14:textFill>
              </w:rPr>
              <w:t>4</w:t>
            </w:r>
            <w:r>
              <w:rPr>
                <w:rFonts w:hint="eastAsia" w:eastAsiaTheme="minorEastAsia"/>
                <w:bCs/>
                <w:color w:val="000000" w:themeColor="text1"/>
                <w:kern w:val="0"/>
                <w:sz w:val="24"/>
                <w:szCs w:val="24"/>
                <w14:textFill>
                  <w14:solidFill>
                    <w14:schemeClr w14:val="tx1"/>
                  </w14:solidFill>
                </w14:textFill>
              </w:rPr>
              <w:t>年</w:t>
            </w:r>
            <w:r>
              <w:rPr>
                <w:rFonts w:hint="eastAsia" w:eastAsiaTheme="minorEastAsia"/>
                <w:bCs/>
                <w:color w:val="000000" w:themeColor="text1"/>
                <w:kern w:val="0"/>
                <w:sz w:val="24"/>
                <w:szCs w:val="24"/>
                <w:lang w:val="en-US" w:eastAsia="zh-CN"/>
                <w14:textFill>
                  <w14:solidFill>
                    <w14:schemeClr w14:val="tx1"/>
                  </w14:solidFill>
                </w14:textFill>
              </w:rPr>
              <w:t>5</w:t>
            </w:r>
            <w:r>
              <w:rPr>
                <w:rFonts w:hint="eastAsia" w:eastAsiaTheme="minorEastAsia"/>
                <w:bCs/>
                <w:color w:val="000000" w:themeColor="text1"/>
                <w:kern w:val="0"/>
                <w:sz w:val="24"/>
                <w:szCs w:val="24"/>
                <w14:textFill>
                  <w14:solidFill>
                    <w14:schemeClr w14:val="tx1"/>
                  </w14:solidFill>
                </w14:textFill>
              </w:rPr>
              <w:t>月</w:t>
            </w:r>
            <w:r>
              <w:rPr>
                <w:rFonts w:hint="eastAsia" w:eastAsiaTheme="minorEastAsia"/>
                <w:bCs/>
                <w:color w:val="000000" w:themeColor="text1"/>
                <w:kern w:val="0"/>
                <w:sz w:val="24"/>
                <w:szCs w:val="24"/>
                <w:lang w:val="en-US" w:eastAsia="zh-CN"/>
                <w14:textFill>
                  <w14:solidFill>
                    <w14:schemeClr w14:val="tx1"/>
                  </w14:solidFill>
                </w14:textFill>
              </w:rPr>
              <w:t>19</w:t>
            </w:r>
            <w:r>
              <w:rPr>
                <w:rFonts w:hint="eastAsia" w:eastAsiaTheme="minorEastAsia"/>
                <w:bCs/>
                <w:color w:val="000000" w:themeColor="text1"/>
                <w:kern w:val="0"/>
                <w:sz w:val="24"/>
                <w:szCs w:val="24"/>
                <w14:textFill>
                  <w14:solidFill>
                    <w14:schemeClr w14:val="tx1"/>
                  </w14:solidFill>
                </w14:textFill>
              </w:rPr>
              <w:t>日~</w:t>
            </w:r>
            <w:r>
              <w:rPr>
                <w:rFonts w:hint="eastAsia" w:eastAsiaTheme="minorEastAsia"/>
                <w:bCs/>
                <w:color w:val="000000" w:themeColor="text1"/>
                <w:kern w:val="0"/>
                <w:sz w:val="24"/>
                <w:szCs w:val="24"/>
                <w:lang w:val="en-US" w:eastAsia="zh-CN"/>
                <w14:textFill>
                  <w14:solidFill>
                    <w14:schemeClr w14:val="tx1"/>
                  </w14:solidFill>
                </w14:textFill>
              </w:rPr>
              <w:t>5</w:t>
            </w:r>
            <w:r>
              <w:rPr>
                <w:rFonts w:hint="eastAsia" w:eastAsiaTheme="minorEastAsia"/>
                <w:bCs/>
                <w:color w:val="000000" w:themeColor="text1"/>
                <w:kern w:val="0"/>
                <w:sz w:val="24"/>
                <w:szCs w:val="24"/>
                <w14:textFill>
                  <w14:solidFill>
                    <w14:schemeClr w14:val="tx1"/>
                  </w14:solidFill>
                </w14:textFill>
              </w:rPr>
              <w:t>月</w:t>
            </w:r>
            <w:r>
              <w:rPr>
                <w:rFonts w:hint="eastAsia" w:eastAsiaTheme="minorEastAsia"/>
                <w:bCs/>
                <w:color w:val="000000" w:themeColor="text1"/>
                <w:kern w:val="0"/>
                <w:sz w:val="24"/>
                <w:szCs w:val="24"/>
                <w:lang w:val="en-US" w:eastAsia="zh-CN"/>
                <w14:textFill>
                  <w14:solidFill>
                    <w14:schemeClr w14:val="tx1"/>
                  </w14:solidFill>
                </w14:textFill>
              </w:rPr>
              <w:t>25</w:t>
            </w:r>
            <w:r>
              <w:rPr>
                <w:rFonts w:hint="eastAsia" w:eastAsiaTheme="minorEastAsia"/>
                <w:bCs/>
                <w:color w:val="000000" w:themeColor="text1"/>
                <w:kern w:val="0"/>
                <w:sz w:val="24"/>
                <w:szCs w:val="24"/>
                <w14:textFill>
                  <w14:solidFill>
                    <w14:schemeClr w14:val="tx1"/>
                  </w14:solidFill>
                </w14:textFill>
              </w:rPr>
              <w:t>日，该监测点位于项目</w:t>
            </w:r>
            <w:r>
              <w:rPr>
                <w:rFonts w:hint="eastAsia" w:eastAsiaTheme="minorEastAsia"/>
                <w:bCs/>
                <w:color w:val="000000" w:themeColor="text1"/>
                <w:kern w:val="0"/>
                <w:sz w:val="24"/>
                <w:szCs w:val="24"/>
                <w:lang w:val="en-US" w:eastAsia="zh-CN"/>
                <w14:textFill>
                  <w14:solidFill>
                    <w14:schemeClr w14:val="tx1"/>
                  </w14:solidFill>
                </w14:textFill>
              </w:rPr>
              <w:t>西南</w:t>
            </w:r>
            <w:r>
              <w:rPr>
                <w:rFonts w:hint="eastAsia" w:eastAsiaTheme="minorEastAsia"/>
                <w:bCs/>
                <w:color w:val="000000" w:themeColor="text1"/>
                <w:kern w:val="0"/>
                <w:sz w:val="24"/>
                <w:szCs w:val="24"/>
                <w14:textFill>
                  <w14:solidFill>
                    <w14:schemeClr w14:val="tx1"/>
                  </w14:solidFill>
                </w14:textFill>
              </w:rPr>
              <w:t>侧，距离约</w:t>
            </w:r>
            <w:r>
              <w:rPr>
                <w:rFonts w:hint="eastAsia" w:eastAsiaTheme="minorEastAsia"/>
                <w:bCs/>
                <w:color w:val="000000" w:themeColor="text1"/>
                <w:kern w:val="0"/>
                <w:sz w:val="24"/>
                <w:szCs w:val="24"/>
                <w:lang w:val="en-US" w:eastAsia="zh-CN"/>
                <w14:textFill>
                  <w14:solidFill>
                    <w14:schemeClr w14:val="tx1"/>
                  </w14:solidFill>
                </w14:textFill>
              </w:rPr>
              <w:t>2.93</w:t>
            </w:r>
            <w:r>
              <w:rPr>
                <w:rFonts w:hint="eastAsia" w:eastAsiaTheme="minorEastAsia"/>
                <w:bCs/>
                <w:color w:val="000000" w:themeColor="text1"/>
                <w:kern w:val="0"/>
                <w:sz w:val="24"/>
                <w:szCs w:val="24"/>
                <w14:textFill>
                  <w14:solidFill>
                    <w14:schemeClr w14:val="tx1"/>
                  </w14:solidFill>
                </w14:textFill>
              </w:rPr>
              <w:t>km</w:t>
            </w:r>
            <w:r>
              <w:rPr>
                <w:rFonts w:eastAsiaTheme="minorEastAsia"/>
                <w:bCs/>
                <w:color w:val="000000" w:themeColor="text1"/>
                <w:kern w:val="0"/>
                <w:sz w:val="24"/>
                <w:szCs w:val="24"/>
                <w14:textFill>
                  <w14:solidFill>
                    <w14:schemeClr w14:val="tx1"/>
                  </w14:solidFill>
                </w14:textFill>
              </w:rPr>
              <w:t>。引用非甲烷总烃符合《</w:t>
            </w:r>
            <w:r>
              <w:rPr>
                <w:rFonts w:hint="eastAsia" w:eastAsiaTheme="minorEastAsia"/>
                <w:bCs/>
                <w:color w:val="000000" w:themeColor="text1"/>
                <w:kern w:val="0"/>
                <w:sz w:val="24"/>
                <w:szCs w:val="24"/>
                <w14:textFill>
                  <w14:solidFill>
                    <w14:schemeClr w14:val="tx1"/>
                  </w14:solidFill>
                </w14:textFill>
              </w:rPr>
              <w:t>建设项目环境影响报告表编制技术指南</w:t>
            </w:r>
            <w:r>
              <w:rPr>
                <w:rFonts w:hint="eastAsia" w:eastAsiaTheme="minorEastAsia"/>
                <w:bCs/>
                <w:color w:val="000000" w:themeColor="text1"/>
                <w:kern w:val="0"/>
                <w:sz w:val="24"/>
                <w:szCs w:val="24"/>
                <w:lang w:eastAsia="zh-CN"/>
                <w14:textFill>
                  <w14:solidFill>
                    <w14:schemeClr w14:val="tx1"/>
                  </w14:solidFill>
                </w14:textFill>
              </w:rPr>
              <w:t>（</w:t>
            </w:r>
            <w:r>
              <w:rPr>
                <w:rFonts w:hint="eastAsia" w:eastAsiaTheme="minorEastAsia"/>
                <w:bCs/>
                <w:color w:val="000000" w:themeColor="text1"/>
                <w:kern w:val="0"/>
                <w:sz w:val="24"/>
                <w:szCs w:val="24"/>
                <w14:textFill>
                  <w14:solidFill>
                    <w14:schemeClr w14:val="tx1"/>
                  </w14:solidFill>
                </w14:textFill>
              </w:rPr>
              <w:t>污染影响类</w:t>
            </w:r>
            <w:r>
              <w:rPr>
                <w:rFonts w:hint="eastAsia" w:eastAsiaTheme="minorEastAsia"/>
                <w:bCs/>
                <w:color w:val="000000" w:themeColor="text1"/>
                <w:kern w:val="0"/>
                <w:sz w:val="24"/>
                <w:szCs w:val="24"/>
                <w:lang w:eastAsia="zh-CN"/>
                <w14:textFill>
                  <w14:solidFill>
                    <w14:schemeClr w14:val="tx1"/>
                  </w14:solidFill>
                </w14:textFill>
              </w:rPr>
              <w:t>）（</w:t>
            </w:r>
            <w:r>
              <w:rPr>
                <w:rFonts w:hint="eastAsia" w:eastAsiaTheme="minorEastAsia"/>
                <w:bCs/>
                <w:color w:val="000000" w:themeColor="text1"/>
                <w:kern w:val="0"/>
                <w:sz w:val="24"/>
                <w:szCs w:val="24"/>
                <w14:textFill>
                  <w14:solidFill>
                    <w14:schemeClr w14:val="tx1"/>
                  </w14:solidFill>
                </w14:textFill>
              </w:rPr>
              <w:t>试行</w:t>
            </w:r>
            <w:r>
              <w:rPr>
                <w:rFonts w:hint="eastAsia" w:eastAsiaTheme="minorEastAsia"/>
                <w:bCs/>
                <w:color w:val="000000" w:themeColor="text1"/>
                <w:kern w:val="0"/>
                <w:sz w:val="24"/>
                <w:szCs w:val="24"/>
                <w:lang w:eastAsia="zh-CN"/>
                <w14:textFill>
                  <w14:solidFill>
                    <w14:schemeClr w14:val="tx1"/>
                  </w14:solidFill>
                </w14:textFill>
              </w:rPr>
              <w:t>）</w:t>
            </w:r>
            <w:r>
              <w:rPr>
                <w:rFonts w:eastAsiaTheme="minorEastAsia"/>
                <w:bCs/>
                <w:color w:val="000000" w:themeColor="text1"/>
                <w:kern w:val="0"/>
                <w:sz w:val="24"/>
                <w:szCs w:val="24"/>
                <w14:textFill>
                  <w14:solidFill>
                    <w14:schemeClr w14:val="tx1"/>
                  </w14:solidFill>
                </w14:textFill>
              </w:rPr>
              <w:t>》“引用建设项目周边五千米范围内近3年现有的监测数据”。因此，本次评价引用的监测数据是合理可行的。</w:t>
            </w:r>
          </w:p>
          <w:p w14:paraId="3F17BF11">
            <w:pPr>
              <w:adjustRightInd w:val="0"/>
              <w:snapToGrid w:val="0"/>
              <w:spacing w:line="360" w:lineRule="auto"/>
              <w:ind w:firstLine="480" w:firstLineChars="200"/>
              <w:rPr>
                <w:rFonts w:eastAsiaTheme="minorEastAsia"/>
                <w:color w:val="000000" w:themeColor="text1"/>
                <w:kern w:val="0"/>
                <w:sz w:val="24"/>
                <w:szCs w:val="24"/>
                <w14:textFill>
                  <w14:solidFill>
                    <w14:schemeClr w14:val="tx1"/>
                  </w14:solidFill>
                </w14:textFill>
              </w:rPr>
            </w:pPr>
            <w:r>
              <w:rPr>
                <w:rFonts w:eastAsiaTheme="minorEastAsia"/>
                <w:color w:val="000000" w:themeColor="text1"/>
                <w:kern w:val="0"/>
                <w:sz w:val="24"/>
                <w:szCs w:val="24"/>
                <w14:textFill>
                  <w14:solidFill>
                    <w14:schemeClr w14:val="tx1"/>
                  </w14:solidFill>
                </w14:textFill>
              </w:rPr>
              <w:t>①监测因子：</w:t>
            </w:r>
            <w:r>
              <w:rPr>
                <w:rFonts w:eastAsiaTheme="minorEastAsia"/>
                <w:bCs/>
                <w:color w:val="000000" w:themeColor="text1"/>
                <w:kern w:val="0"/>
                <w:sz w:val="24"/>
                <w:szCs w:val="24"/>
                <w14:textFill>
                  <w14:solidFill>
                    <w14:schemeClr w14:val="tx1"/>
                  </w14:solidFill>
                </w14:textFill>
              </w:rPr>
              <w:t>非甲烷总烃</w:t>
            </w:r>
          </w:p>
          <w:p w14:paraId="78BA83CD">
            <w:pPr>
              <w:adjustRightInd w:val="0"/>
              <w:snapToGrid w:val="0"/>
              <w:spacing w:line="360" w:lineRule="auto"/>
              <w:ind w:firstLine="480" w:firstLineChars="200"/>
              <w:rPr>
                <w:rFonts w:eastAsiaTheme="minorEastAsia"/>
                <w:color w:val="000000" w:themeColor="text1"/>
                <w:kern w:val="0"/>
                <w:sz w:val="24"/>
                <w:szCs w:val="24"/>
                <w14:textFill>
                  <w14:solidFill>
                    <w14:schemeClr w14:val="tx1"/>
                  </w14:solidFill>
                </w14:textFill>
              </w:rPr>
            </w:pPr>
            <w:r>
              <w:rPr>
                <w:rFonts w:eastAsiaTheme="minorEastAsia"/>
                <w:color w:val="000000" w:themeColor="text1"/>
                <w:kern w:val="0"/>
                <w:sz w:val="24"/>
                <w:szCs w:val="24"/>
                <w14:textFill>
                  <w14:solidFill>
                    <w14:schemeClr w14:val="tx1"/>
                  </w14:solidFill>
                </w14:textFill>
              </w:rPr>
              <w:t>②监测时间：</w:t>
            </w:r>
            <w:r>
              <w:rPr>
                <w:rFonts w:hint="eastAsia" w:eastAsiaTheme="minorEastAsia"/>
                <w:bCs/>
                <w:color w:val="000000" w:themeColor="text1"/>
                <w:kern w:val="0"/>
                <w:sz w:val="24"/>
                <w:szCs w:val="24"/>
                <w14:textFill>
                  <w14:solidFill>
                    <w14:schemeClr w14:val="tx1"/>
                  </w14:solidFill>
                </w14:textFill>
              </w:rPr>
              <w:t>202</w:t>
            </w:r>
            <w:r>
              <w:rPr>
                <w:rFonts w:hint="eastAsia" w:eastAsiaTheme="minorEastAsia"/>
                <w:bCs/>
                <w:color w:val="000000" w:themeColor="text1"/>
                <w:kern w:val="0"/>
                <w:sz w:val="24"/>
                <w:szCs w:val="24"/>
                <w:lang w:val="en-US" w:eastAsia="zh-CN"/>
                <w14:textFill>
                  <w14:solidFill>
                    <w14:schemeClr w14:val="tx1"/>
                  </w14:solidFill>
                </w14:textFill>
              </w:rPr>
              <w:t>4</w:t>
            </w:r>
            <w:r>
              <w:rPr>
                <w:rFonts w:hint="eastAsia" w:eastAsiaTheme="minorEastAsia"/>
                <w:bCs/>
                <w:color w:val="000000" w:themeColor="text1"/>
                <w:kern w:val="0"/>
                <w:sz w:val="24"/>
                <w:szCs w:val="24"/>
                <w14:textFill>
                  <w14:solidFill>
                    <w14:schemeClr w14:val="tx1"/>
                  </w14:solidFill>
                </w14:textFill>
              </w:rPr>
              <w:t>年</w:t>
            </w:r>
            <w:r>
              <w:rPr>
                <w:rFonts w:hint="eastAsia" w:eastAsiaTheme="minorEastAsia"/>
                <w:bCs/>
                <w:color w:val="000000" w:themeColor="text1"/>
                <w:kern w:val="0"/>
                <w:sz w:val="24"/>
                <w:szCs w:val="24"/>
                <w:lang w:val="en-US" w:eastAsia="zh-CN"/>
                <w14:textFill>
                  <w14:solidFill>
                    <w14:schemeClr w14:val="tx1"/>
                  </w14:solidFill>
                </w14:textFill>
              </w:rPr>
              <w:t>5</w:t>
            </w:r>
            <w:r>
              <w:rPr>
                <w:rFonts w:hint="eastAsia" w:eastAsiaTheme="minorEastAsia"/>
                <w:bCs/>
                <w:color w:val="000000" w:themeColor="text1"/>
                <w:kern w:val="0"/>
                <w:sz w:val="24"/>
                <w:szCs w:val="24"/>
                <w14:textFill>
                  <w14:solidFill>
                    <w14:schemeClr w14:val="tx1"/>
                  </w14:solidFill>
                </w14:textFill>
              </w:rPr>
              <w:t>月</w:t>
            </w:r>
            <w:r>
              <w:rPr>
                <w:rFonts w:hint="eastAsia" w:eastAsiaTheme="minorEastAsia"/>
                <w:bCs/>
                <w:color w:val="000000" w:themeColor="text1"/>
                <w:kern w:val="0"/>
                <w:sz w:val="24"/>
                <w:szCs w:val="24"/>
                <w:lang w:val="en-US" w:eastAsia="zh-CN"/>
                <w14:textFill>
                  <w14:solidFill>
                    <w14:schemeClr w14:val="tx1"/>
                  </w14:solidFill>
                </w14:textFill>
              </w:rPr>
              <w:t>19</w:t>
            </w:r>
            <w:r>
              <w:rPr>
                <w:rFonts w:hint="eastAsia" w:eastAsiaTheme="minorEastAsia"/>
                <w:bCs/>
                <w:color w:val="000000" w:themeColor="text1"/>
                <w:kern w:val="0"/>
                <w:sz w:val="24"/>
                <w:szCs w:val="24"/>
                <w14:textFill>
                  <w14:solidFill>
                    <w14:schemeClr w14:val="tx1"/>
                  </w14:solidFill>
                </w14:textFill>
              </w:rPr>
              <w:t>日~</w:t>
            </w:r>
            <w:r>
              <w:rPr>
                <w:rFonts w:hint="eastAsia" w:eastAsiaTheme="minorEastAsia"/>
                <w:bCs/>
                <w:color w:val="000000" w:themeColor="text1"/>
                <w:kern w:val="0"/>
                <w:sz w:val="24"/>
                <w:szCs w:val="24"/>
                <w:lang w:val="en-US" w:eastAsia="zh-CN"/>
                <w14:textFill>
                  <w14:solidFill>
                    <w14:schemeClr w14:val="tx1"/>
                  </w14:solidFill>
                </w14:textFill>
              </w:rPr>
              <w:t>5</w:t>
            </w:r>
            <w:r>
              <w:rPr>
                <w:rFonts w:hint="eastAsia" w:eastAsiaTheme="minorEastAsia"/>
                <w:bCs/>
                <w:color w:val="000000" w:themeColor="text1"/>
                <w:kern w:val="0"/>
                <w:sz w:val="24"/>
                <w:szCs w:val="24"/>
                <w14:textFill>
                  <w14:solidFill>
                    <w14:schemeClr w14:val="tx1"/>
                  </w14:solidFill>
                </w14:textFill>
              </w:rPr>
              <w:t>月</w:t>
            </w:r>
            <w:r>
              <w:rPr>
                <w:rFonts w:hint="eastAsia" w:eastAsiaTheme="minorEastAsia"/>
                <w:bCs/>
                <w:color w:val="000000" w:themeColor="text1"/>
                <w:kern w:val="0"/>
                <w:sz w:val="24"/>
                <w:szCs w:val="24"/>
                <w:lang w:val="en-US" w:eastAsia="zh-CN"/>
                <w14:textFill>
                  <w14:solidFill>
                    <w14:schemeClr w14:val="tx1"/>
                  </w14:solidFill>
                </w14:textFill>
              </w:rPr>
              <w:t>25</w:t>
            </w:r>
            <w:r>
              <w:rPr>
                <w:rFonts w:hint="eastAsia" w:eastAsiaTheme="minorEastAsia"/>
                <w:bCs/>
                <w:color w:val="000000" w:themeColor="text1"/>
                <w:kern w:val="0"/>
                <w:sz w:val="24"/>
                <w:szCs w:val="24"/>
                <w14:textFill>
                  <w14:solidFill>
                    <w14:schemeClr w14:val="tx1"/>
                  </w14:solidFill>
                </w14:textFill>
              </w:rPr>
              <w:t>日</w:t>
            </w:r>
          </w:p>
          <w:p w14:paraId="573396A8">
            <w:pPr>
              <w:adjustRightInd w:val="0"/>
              <w:snapToGrid w:val="0"/>
              <w:spacing w:line="360" w:lineRule="auto"/>
              <w:ind w:firstLine="480" w:firstLineChars="200"/>
              <w:rPr>
                <w:rFonts w:eastAsiaTheme="minorEastAsia"/>
                <w:color w:val="000000" w:themeColor="text1"/>
                <w:kern w:val="0"/>
                <w:sz w:val="24"/>
                <w:szCs w:val="24"/>
                <w14:textFill>
                  <w14:solidFill>
                    <w14:schemeClr w14:val="tx1"/>
                  </w14:solidFill>
                </w14:textFill>
              </w:rPr>
            </w:pPr>
            <w:r>
              <w:rPr>
                <w:rFonts w:eastAsiaTheme="minorEastAsia"/>
                <w:color w:val="000000" w:themeColor="text1"/>
                <w:kern w:val="0"/>
                <w:sz w:val="24"/>
                <w:szCs w:val="24"/>
                <w14:textFill>
                  <w14:solidFill>
                    <w14:schemeClr w14:val="tx1"/>
                  </w14:solidFill>
                </w14:textFill>
              </w:rPr>
              <w:t>③评价标准：非甲烷总烃参照执行河北省地方标准《环境空气质量 非甲烷总烃限值》（DB13/1577-2012）二级标准。</w:t>
            </w:r>
          </w:p>
          <w:p w14:paraId="3C4B79BF">
            <w:pPr>
              <w:adjustRightInd w:val="0"/>
              <w:snapToGrid w:val="0"/>
              <w:spacing w:line="360" w:lineRule="auto"/>
              <w:ind w:firstLine="480" w:firstLineChars="200"/>
              <w:rPr>
                <w:rFonts w:eastAsiaTheme="minorEastAsia"/>
                <w:color w:val="000000" w:themeColor="text1"/>
                <w:kern w:val="0"/>
                <w:sz w:val="24"/>
                <w:szCs w:val="24"/>
                <w14:textFill>
                  <w14:solidFill>
                    <w14:schemeClr w14:val="tx1"/>
                  </w14:solidFill>
                </w14:textFill>
              </w:rPr>
            </w:pPr>
            <w:r>
              <w:rPr>
                <w:rFonts w:eastAsiaTheme="minorEastAsia"/>
                <w:color w:val="000000" w:themeColor="text1"/>
                <w:kern w:val="0"/>
                <w:sz w:val="24"/>
                <w:szCs w:val="24"/>
                <w14:textFill>
                  <w14:solidFill>
                    <w14:schemeClr w14:val="tx1"/>
                  </w14:solidFill>
                </w14:textFill>
              </w:rPr>
              <w:t>④评价方法</w:t>
            </w:r>
          </w:p>
          <w:p w14:paraId="083CE5F0">
            <w:pPr>
              <w:adjustRightInd w:val="0"/>
              <w:snapToGrid w:val="0"/>
              <w:spacing w:line="360" w:lineRule="auto"/>
              <w:ind w:firstLine="480" w:firstLineChars="200"/>
              <w:rPr>
                <w:rFonts w:eastAsiaTheme="minorEastAsia"/>
                <w:color w:val="000000" w:themeColor="text1"/>
                <w:kern w:val="0"/>
                <w:sz w:val="24"/>
                <w:szCs w:val="24"/>
                <w14:textFill>
                  <w14:solidFill>
                    <w14:schemeClr w14:val="tx1"/>
                  </w14:solidFill>
                </w14:textFill>
              </w:rPr>
            </w:pPr>
            <w:r>
              <w:rPr>
                <w:rFonts w:eastAsiaTheme="minorEastAsia"/>
                <w:color w:val="000000" w:themeColor="text1"/>
                <w:kern w:val="0"/>
                <w:sz w:val="24"/>
                <w:szCs w:val="24"/>
                <w14:textFill>
                  <w14:solidFill>
                    <w14:schemeClr w14:val="tx1"/>
                  </w14:solidFill>
                </w14:textFill>
              </w:rPr>
              <w:t>采用导则推荐的最大浓度占标率进行评价。评价模式如下：</w:t>
            </w:r>
          </w:p>
          <w:p w14:paraId="5C025C0A">
            <w:pPr>
              <w:adjustRightInd w:val="0"/>
              <w:snapToGrid w:val="0"/>
              <w:spacing w:line="360" w:lineRule="auto"/>
              <w:ind w:firstLine="480" w:firstLineChars="200"/>
              <w:jc w:val="center"/>
              <w:rPr>
                <w:rFonts w:eastAsiaTheme="minorEastAsia"/>
                <w:color w:val="000000" w:themeColor="text1"/>
                <w:kern w:val="0"/>
                <w:sz w:val="24"/>
                <w:szCs w:val="24"/>
                <w14:textFill>
                  <w14:solidFill>
                    <w14:schemeClr w14:val="tx1"/>
                  </w14:solidFill>
                </w14:textFill>
              </w:rPr>
            </w:pPr>
            <w:r>
              <w:rPr>
                <w:rFonts w:eastAsiaTheme="minorEastAsia"/>
                <w:color w:val="000000" w:themeColor="text1"/>
                <w:kern w:val="0"/>
                <w:sz w:val="24"/>
                <w:szCs w:val="24"/>
                <w14:textFill>
                  <w14:solidFill>
                    <w14:schemeClr w14:val="tx1"/>
                  </w14:solidFill>
                </w14:textFill>
              </w:rPr>
              <w:t>P</w:t>
            </w:r>
            <w:r>
              <w:rPr>
                <w:rFonts w:eastAsiaTheme="minorEastAsia"/>
                <w:color w:val="000000" w:themeColor="text1"/>
                <w:kern w:val="0"/>
                <w:sz w:val="24"/>
                <w:szCs w:val="24"/>
                <w:vertAlign w:val="subscript"/>
                <w14:textFill>
                  <w14:solidFill>
                    <w14:schemeClr w14:val="tx1"/>
                  </w14:solidFill>
                </w14:textFill>
              </w:rPr>
              <w:t>ij</w:t>
            </w:r>
            <w:r>
              <w:rPr>
                <w:rFonts w:eastAsiaTheme="minorEastAsia"/>
                <w:color w:val="000000" w:themeColor="text1"/>
                <w:kern w:val="0"/>
                <w:sz w:val="24"/>
                <w:szCs w:val="24"/>
                <w14:textFill>
                  <w14:solidFill>
                    <w14:schemeClr w14:val="tx1"/>
                  </w14:solidFill>
                </w14:textFill>
              </w:rPr>
              <w:t>=C</w:t>
            </w:r>
            <w:r>
              <w:rPr>
                <w:rFonts w:eastAsiaTheme="minorEastAsia"/>
                <w:color w:val="000000" w:themeColor="text1"/>
                <w:kern w:val="0"/>
                <w:sz w:val="24"/>
                <w:szCs w:val="24"/>
                <w:vertAlign w:val="subscript"/>
                <w14:textFill>
                  <w14:solidFill>
                    <w14:schemeClr w14:val="tx1"/>
                  </w14:solidFill>
                </w14:textFill>
              </w:rPr>
              <w:t>ij</w:t>
            </w:r>
            <w:r>
              <w:rPr>
                <w:rFonts w:eastAsiaTheme="minorEastAsia"/>
                <w:color w:val="000000" w:themeColor="text1"/>
                <w:kern w:val="0"/>
                <w:sz w:val="24"/>
                <w:szCs w:val="24"/>
                <w14:textFill>
                  <w14:solidFill>
                    <w14:schemeClr w14:val="tx1"/>
                  </w14:solidFill>
                </w14:textFill>
              </w:rPr>
              <w:t>/C</w:t>
            </w:r>
            <w:r>
              <w:rPr>
                <w:rFonts w:eastAsiaTheme="minorEastAsia"/>
                <w:color w:val="000000" w:themeColor="text1"/>
                <w:kern w:val="0"/>
                <w:sz w:val="24"/>
                <w:szCs w:val="24"/>
                <w:vertAlign w:val="subscript"/>
                <w14:textFill>
                  <w14:solidFill>
                    <w14:schemeClr w14:val="tx1"/>
                  </w14:solidFill>
                </w14:textFill>
              </w:rPr>
              <w:t>sj</w:t>
            </w:r>
            <w:r>
              <w:rPr>
                <w:rFonts w:eastAsiaTheme="minorEastAsia"/>
                <w:color w:val="000000" w:themeColor="text1"/>
                <w:kern w:val="0"/>
                <w:sz w:val="24"/>
                <w:szCs w:val="24"/>
                <w14:textFill>
                  <w14:solidFill>
                    <w14:schemeClr w14:val="tx1"/>
                  </w14:solidFill>
                </w14:textFill>
              </w:rPr>
              <w:t>×100%</w:t>
            </w:r>
          </w:p>
          <w:p w14:paraId="0B4438AB">
            <w:pPr>
              <w:adjustRightInd w:val="0"/>
              <w:snapToGrid w:val="0"/>
              <w:spacing w:line="360" w:lineRule="auto"/>
              <w:ind w:firstLine="480" w:firstLineChars="200"/>
              <w:rPr>
                <w:rFonts w:eastAsiaTheme="minorEastAsia"/>
                <w:color w:val="000000" w:themeColor="text1"/>
                <w:kern w:val="0"/>
                <w:sz w:val="24"/>
                <w:szCs w:val="24"/>
                <w14:textFill>
                  <w14:solidFill>
                    <w14:schemeClr w14:val="tx1"/>
                  </w14:solidFill>
                </w14:textFill>
              </w:rPr>
            </w:pPr>
            <w:r>
              <w:rPr>
                <w:rFonts w:eastAsiaTheme="minorEastAsia"/>
                <w:color w:val="000000" w:themeColor="text1"/>
                <w:kern w:val="0"/>
                <w:sz w:val="24"/>
                <w:szCs w:val="24"/>
                <w14:textFill>
                  <w14:solidFill>
                    <w14:schemeClr w14:val="tx1"/>
                  </w14:solidFill>
                </w14:textFill>
              </w:rPr>
              <w:t>式中：P</w:t>
            </w:r>
            <w:r>
              <w:rPr>
                <w:rFonts w:eastAsiaTheme="minorEastAsia"/>
                <w:color w:val="000000" w:themeColor="text1"/>
                <w:kern w:val="0"/>
                <w:sz w:val="24"/>
                <w:szCs w:val="24"/>
                <w:vertAlign w:val="subscript"/>
                <w14:textFill>
                  <w14:solidFill>
                    <w14:schemeClr w14:val="tx1"/>
                  </w14:solidFill>
                </w14:textFill>
              </w:rPr>
              <w:t>ij</w:t>
            </w:r>
            <w:r>
              <w:rPr>
                <w:rFonts w:eastAsiaTheme="minorEastAsia"/>
                <w:color w:val="000000" w:themeColor="text1"/>
                <w:kern w:val="0"/>
                <w:sz w:val="24"/>
                <w:szCs w:val="24"/>
                <w14:textFill>
                  <w14:solidFill>
                    <w14:schemeClr w14:val="tx1"/>
                  </w14:solidFill>
                </w14:textFill>
              </w:rPr>
              <w:t>——第i现状监测点第j污染因子的最大浓度占标率，其值在0%~100%之间为满足标准，大于100%则为超标；</w:t>
            </w:r>
          </w:p>
          <w:p w14:paraId="752A69D4">
            <w:pPr>
              <w:adjustRightInd w:val="0"/>
              <w:snapToGrid w:val="0"/>
              <w:spacing w:line="360" w:lineRule="auto"/>
              <w:ind w:firstLine="480" w:firstLineChars="200"/>
              <w:rPr>
                <w:rFonts w:eastAsiaTheme="minorEastAsia"/>
                <w:color w:val="000000" w:themeColor="text1"/>
                <w:kern w:val="0"/>
                <w:sz w:val="24"/>
                <w:szCs w:val="24"/>
                <w14:textFill>
                  <w14:solidFill>
                    <w14:schemeClr w14:val="tx1"/>
                  </w14:solidFill>
                </w14:textFill>
              </w:rPr>
            </w:pPr>
            <w:r>
              <w:rPr>
                <w:rFonts w:eastAsiaTheme="minorEastAsia"/>
                <w:color w:val="000000" w:themeColor="text1"/>
                <w:kern w:val="0"/>
                <w:sz w:val="24"/>
                <w:szCs w:val="24"/>
                <w14:textFill>
                  <w14:solidFill>
                    <w14:schemeClr w14:val="tx1"/>
                  </w14:solidFill>
                </w14:textFill>
              </w:rPr>
              <w:t xml:space="preserve">      C</w:t>
            </w:r>
            <w:r>
              <w:rPr>
                <w:rFonts w:eastAsiaTheme="minorEastAsia"/>
                <w:color w:val="000000" w:themeColor="text1"/>
                <w:kern w:val="0"/>
                <w:sz w:val="24"/>
                <w:szCs w:val="24"/>
                <w:vertAlign w:val="subscript"/>
                <w14:textFill>
                  <w14:solidFill>
                    <w14:schemeClr w14:val="tx1"/>
                  </w14:solidFill>
                </w14:textFill>
              </w:rPr>
              <w:t>ij</w:t>
            </w:r>
            <w:r>
              <w:rPr>
                <w:rFonts w:eastAsiaTheme="minorEastAsia"/>
                <w:color w:val="000000" w:themeColor="text1"/>
                <w:kern w:val="0"/>
                <w:sz w:val="24"/>
                <w:szCs w:val="24"/>
                <w14:textFill>
                  <w14:solidFill>
                    <w14:schemeClr w14:val="tx1"/>
                  </w14:solidFill>
                </w14:textFill>
              </w:rPr>
              <w:t>——第i现状监测点第污染因子j的实测浓度（mg/m</w:t>
            </w:r>
            <w:r>
              <w:rPr>
                <w:rFonts w:eastAsiaTheme="minorEastAsia"/>
                <w:color w:val="000000" w:themeColor="text1"/>
                <w:kern w:val="0"/>
                <w:sz w:val="24"/>
                <w:szCs w:val="24"/>
                <w:vertAlign w:val="superscript"/>
                <w14:textFill>
                  <w14:solidFill>
                    <w14:schemeClr w14:val="tx1"/>
                  </w14:solidFill>
                </w14:textFill>
              </w:rPr>
              <w:t>3</w:t>
            </w:r>
            <w:r>
              <w:rPr>
                <w:rFonts w:eastAsiaTheme="minorEastAsia"/>
                <w:color w:val="000000" w:themeColor="text1"/>
                <w:kern w:val="0"/>
                <w:sz w:val="24"/>
                <w:szCs w:val="24"/>
                <w14:textFill>
                  <w14:solidFill>
                    <w14:schemeClr w14:val="tx1"/>
                  </w14:solidFill>
                </w14:textFill>
              </w:rPr>
              <w:t>）；</w:t>
            </w:r>
          </w:p>
          <w:p w14:paraId="2AD460B3">
            <w:pPr>
              <w:adjustRightInd w:val="0"/>
              <w:snapToGrid w:val="0"/>
              <w:spacing w:line="360" w:lineRule="auto"/>
              <w:ind w:firstLine="480" w:firstLineChars="200"/>
              <w:rPr>
                <w:rFonts w:eastAsiaTheme="minorEastAsia"/>
                <w:color w:val="000000" w:themeColor="text1"/>
                <w:kern w:val="0"/>
                <w:sz w:val="24"/>
                <w:szCs w:val="24"/>
                <w14:textFill>
                  <w14:solidFill>
                    <w14:schemeClr w14:val="tx1"/>
                  </w14:solidFill>
                </w14:textFill>
              </w:rPr>
            </w:pPr>
            <w:r>
              <w:rPr>
                <w:rFonts w:eastAsiaTheme="minorEastAsia"/>
                <w:color w:val="000000" w:themeColor="text1"/>
                <w:kern w:val="0"/>
                <w:sz w:val="24"/>
                <w:szCs w:val="24"/>
                <w14:textFill>
                  <w14:solidFill>
                    <w14:schemeClr w14:val="tx1"/>
                  </w14:solidFill>
                </w14:textFill>
              </w:rPr>
              <w:t xml:space="preserve">      C</w:t>
            </w:r>
            <w:r>
              <w:rPr>
                <w:rFonts w:eastAsiaTheme="minorEastAsia"/>
                <w:color w:val="000000" w:themeColor="text1"/>
                <w:kern w:val="0"/>
                <w:sz w:val="24"/>
                <w:szCs w:val="24"/>
                <w:vertAlign w:val="subscript"/>
                <w14:textFill>
                  <w14:solidFill>
                    <w14:schemeClr w14:val="tx1"/>
                  </w14:solidFill>
                </w14:textFill>
              </w:rPr>
              <w:t>sj</w:t>
            </w:r>
            <w:r>
              <w:rPr>
                <w:rFonts w:eastAsiaTheme="minorEastAsia"/>
                <w:color w:val="000000" w:themeColor="text1"/>
                <w:kern w:val="0"/>
                <w:sz w:val="24"/>
                <w:szCs w:val="24"/>
                <w14:textFill>
                  <w14:solidFill>
                    <w14:schemeClr w14:val="tx1"/>
                  </w14:solidFill>
                </w14:textFill>
              </w:rPr>
              <w:t>——污染因子j的环境质量标准（mg/m</w:t>
            </w:r>
            <w:r>
              <w:rPr>
                <w:rFonts w:eastAsiaTheme="minorEastAsia"/>
                <w:color w:val="000000" w:themeColor="text1"/>
                <w:kern w:val="0"/>
                <w:sz w:val="24"/>
                <w:szCs w:val="24"/>
                <w:vertAlign w:val="superscript"/>
                <w14:textFill>
                  <w14:solidFill>
                    <w14:schemeClr w14:val="tx1"/>
                  </w14:solidFill>
                </w14:textFill>
              </w:rPr>
              <w:t>3</w:t>
            </w:r>
            <w:r>
              <w:rPr>
                <w:rFonts w:eastAsiaTheme="minorEastAsia"/>
                <w:color w:val="000000" w:themeColor="text1"/>
                <w:kern w:val="0"/>
                <w:sz w:val="24"/>
                <w:szCs w:val="24"/>
                <w14:textFill>
                  <w14:solidFill>
                    <w14:schemeClr w14:val="tx1"/>
                  </w14:solidFill>
                </w14:textFill>
              </w:rPr>
              <w:t>）。</w:t>
            </w:r>
          </w:p>
          <w:p w14:paraId="59B50009">
            <w:pPr>
              <w:adjustRightInd w:val="0"/>
              <w:snapToGrid w:val="0"/>
              <w:spacing w:line="360" w:lineRule="auto"/>
              <w:ind w:firstLine="480" w:firstLineChars="200"/>
              <w:rPr>
                <w:rFonts w:eastAsiaTheme="minorEastAsia"/>
                <w:color w:val="000000" w:themeColor="text1"/>
                <w:kern w:val="0"/>
                <w:sz w:val="24"/>
                <w:szCs w:val="24"/>
                <w14:textFill>
                  <w14:solidFill>
                    <w14:schemeClr w14:val="tx1"/>
                  </w14:solidFill>
                </w14:textFill>
              </w:rPr>
            </w:pPr>
            <w:r>
              <w:rPr>
                <w:rFonts w:eastAsiaTheme="minorEastAsia"/>
                <w:color w:val="000000" w:themeColor="text1"/>
                <w:kern w:val="0"/>
                <w:sz w:val="24"/>
                <w:szCs w:val="24"/>
                <w14:textFill>
                  <w14:solidFill>
                    <w14:schemeClr w14:val="tx1"/>
                  </w14:solidFill>
                </w14:textFill>
              </w:rPr>
              <w:t>⑤评价结果及分析</w:t>
            </w:r>
          </w:p>
          <w:p w14:paraId="30D87595">
            <w:pPr>
              <w:adjustRightInd w:val="0"/>
              <w:snapToGrid w:val="0"/>
              <w:spacing w:line="360" w:lineRule="auto"/>
              <w:ind w:firstLine="480" w:firstLineChars="200"/>
              <w:rPr>
                <w:rFonts w:eastAsiaTheme="minorEastAsia"/>
                <w:color w:val="000000" w:themeColor="text1"/>
                <w:kern w:val="0"/>
                <w:sz w:val="24"/>
                <w:szCs w:val="24"/>
                <w14:textFill>
                  <w14:solidFill>
                    <w14:schemeClr w14:val="tx1"/>
                  </w14:solidFill>
                </w14:textFill>
              </w:rPr>
            </w:pPr>
            <w:r>
              <w:rPr>
                <w:rFonts w:eastAsiaTheme="minorEastAsia"/>
                <w:color w:val="000000" w:themeColor="text1"/>
                <w:kern w:val="0"/>
                <w:sz w:val="24"/>
                <w:szCs w:val="24"/>
                <w14:textFill>
                  <w14:solidFill>
                    <w14:schemeClr w14:val="tx1"/>
                  </w14:solidFill>
                </w14:textFill>
              </w:rPr>
              <w:t>监测点环境空气现状监测值和评价结果见表3-2。</w:t>
            </w:r>
          </w:p>
          <w:p w14:paraId="6244F4AC">
            <w:pPr>
              <w:adjustRightInd w:val="0"/>
              <w:snapToGrid w:val="0"/>
              <w:jc w:val="center"/>
              <w:rPr>
                <w:rFonts w:eastAsiaTheme="minorEastAsia"/>
                <w:b/>
                <w:bCs/>
                <w:color w:val="000000" w:themeColor="text1"/>
                <w:sz w:val="24"/>
                <w:szCs w:val="24"/>
                <w14:textFill>
                  <w14:solidFill>
                    <w14:schemeClr w14:val="tx1"/>
                  </w14:solidFill>
                </w14:textFill>
              </w:rPr>
            </w:pPr>
            <w:r>
              <w:rPr>
                <w:rFonts w:eastAsiaTheme="minorEastAsia"/>
                <w:b/>
                <w:bCs/>
                <w:color w:val="000000" w:themeColor="text1"/>
                <w:sz w:val="24"/>
                <w:szCs w:val="24"/>
                <w14:textFill>
                  <w14:solidFill>
                    <w14:schemeClr w14:val="tx1"/>
                  </w14:solidFill>
                </w14:textFill>
              </w:rPr>
              <w:t>表3-2</w:t>
            </w:r>
            <w:r>
              <w:rPr>
                <w:rFonts w:hint="eastAsia" w:eastAsiaTheme="minorEastAsia"/>
                <w:b/>
                <w:bCs/>
                <w:color w:val="000000" w:themeColor="text1"/>
                <w:sz w:val="24"/>
                <w:szCs w:val="24"/>
                <w:lang w:val="en-US" w:eastAsia="zh-CN"/>
                <w14:textFill>
                  <w14:solidFill>
                    <w14:schemeClr w14:val="tx1"/>
                  </w14:solidFill>
                </w14:textFill>
              </w:rPr>
              <w:t xml:space="preserve"> </w:t>
            </w:r>
            <w:r>
              <w:rPr>
                <w:rFonts w:eastAsiaTheme="minorEastAsia"/>
                <w:b/>
                <w:bCs/>
                <w:color w:val="000000" w:themeColor="text1"/>
                <w:sz w:val="24"/>
                <w:szCs w:val="24"/>
                <w14:textFill>
                  <w14:solidFill>
                    <w14:schemeClr w14:val="tx1"/>
                  </w14:solidFill>
                </w14:textFill>
              </w:rPr>
              <w:t>环境空气质量监测结果一览表单位：mg/m</w:t>
            </w:r>
            <w:r>
              <w:rPr>
                <w:rFonts w:eastAsiaTheme="minorEastAsia"/>
                <w:b/>
                <w:bCs/>
                <w:color w:val="000000" w:themeColor="text1"/>
                <w:sz w:val="24"/>
                <w:szCs w:val="24"/>
                <w:vertAlign w:val="superscript"/>
                <w14:textFill>
                  <w14:solidFill>
                    <w14:schemeClr w14:val="tx1"/>
                  </w14:solidFill>
                </w14:textFill>
              </w:rPr>
              <w:t>3</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1331"/>
              <w:gridCol w:w="1469"/>
              <w:gridCol w:w="955"/>
              <w:gridCol w:w="1827"/>
              <w:gridCol w:w="1342"/>
            </w:tblGrid>
            <w:tr w14:paraId="6FB5E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38" w:type="pct"/>
                  <w:tcBorders>
                    <w:top w:val="single" w:color="auto" w:sz="4" w:space="0"/>
                    <w:left w:val="single" w:color="auto" w:sz="4" w:space="0"/>
                    <w:bottom w:val="single" w:color="auto" w:sz="4" w:space="0"/>
                    <w:right w:val="single" w:color="auto" w:sz="4" w:space="0"/>
                  </w:tcBorders>
                  <w:vAlign w:val="center"/>
                </w:tcPr>
                <w:p w14:paraId="5289844B">
                  <w:pPr>
                    <w:pStyle w:val="36"/>
                    <w:spacing w:line="240" w:lineRule="auto"/>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监测点</w:t>
                  </w:r>
                </w:p>
              </w:tc>
              <w:tc>
                <w:tcPr>
                  <w:tcW w:w="838" w:type="pct"/>
                  <w:tcBorders>
                    <w:top w:val="single" w:color="auto" w:sz="4" w:space="0"/>
                    <w:left w:val="nil"/>
                    <w:bottom w:val="single" w:color="auto" w:sz="4" w:space="0"/>
                    <w:right w:val="single" w:color="auto" w:sz="4" w:space="0"/>
                  </w:tcBorders>
                  <w:vAlign w:val="center"/>
                </w:tcPr>
                <w:p w14:paraId="15D10F7B">
                  <w:pPr>
                    <w:pStyle w:val="36"/>
                    <w:spacing w:line="240" w:lineRule="auto"/>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监测因子</w:t>
                  </w:r>
                </w:p>
              </w:tc>
              <w:tc>
                <w:tcPr>
                  <w:tcW w:w="925" w:type="pct"/>
                  <w:tcBorders>
                    <w:top w:val="single" w:color="auto" w:sz="4" w:space="0"/>
                    <w:left w:val="nil"/>
                    <w:bottom w:val="single" w:color="auto" w:sz="4" w:space="0"/>
                    <w:right w:val="single" w:color="auto" w:sz="4" w:space="0"/>
                  </w:tcBorders>
                  <w:vAlign w:val="center"/>
                </w:tcPr>
                <w:p w14:paraId="23ADDC82">
                  <w:pPr>
                    <w:pStyle w:val="36"/>
                    <w:spacing w:line="240" w:lineRule="auto"/>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监测值范围</w:t>
                  </w:r>
                </w:p>
              </w:tc>
              <w:tc>
                <w:tcPr>
                  <w:tcW w:w="601" w:type="pct"/>
                  <w:tcBorders>
                    <w:top w:val="single" w:color="auto" w:sz="4" w:space="0"/>
                    <w:left w:val="nil"/>
                    <w:bottom w:val="single" w:color="auto" w:sz="4" w:space="0"/>
                    <w:right w:val="single" w:color="auto" w:sz="4" w:space="0"/>
                  </w:tcBorders>
                  <w:vAlign w:val="center"/>
                </w:tcPr>
                <w:p w14:paraId="44F2203B">
                  <w:pPr>
                    <w:pStyle w:val="36"/>
                    <w:spacing w:line="240" w:lineRule="auto"/>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标准值</w:t>
                  </w:r>
                </w:p>
              </w:tc>
              <w:tc>
                <w:tcPr>
                  <w:tcW w:w="1150" w:type="pct"/>
                  <w:tcBorders>
                    <w:top w:val="single" w:color="auto" w:sz="4" w:space="0"/>
                    <w:left w:val="nil"/>
                    <w:bottom w:val="single" w:color="auto" w:sz="4" w:space="0"/>
                    <w:right w:val="single" w:color="auto" w:sz="4" w:space="0"/>
                  </w:tcBorders>
                  <w:vAlign w:val="center"/>
                </w:tcPr>
                <w:p w14:paraId="55E77245">
                  <w:pPr>
                    <w:pStyle w:val="36"/>
                    <w:spacing w:line="240" w:lineRule="auto"/>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最大占标准率（%）</w:t>
                  </w:r>
                </w:p>
              </w:tc>
              <w:tc>
                <w:tcPr>
                  <w:tcW w:w="845" w:type="pct"/>
                  <w:tcBorders>
                    <w:top w:val="single" w:color="auto" w:sz="4" w:space="0"/>
                    <w:left w:val="nil"/>
                    <w:bottom w:val="single" w:color="auto" w:sz="4" w:space="0"/>
                    <w:right w:val="single" w:color="auto" w:sz="4" w:space="0"/>
                  </w:tcBorders>
                  <w:vAlign w:val="center"/>
                </w:tcPr>
                <w:p w14:paraId="10CD9028">
                  <w:pPr>
                    <w:pStyle w:val="36"/>
                    <w:spacing w:line="240" w:lineRule="auto"/>
                    <w:rPr>
                      <w:rFonts w:eastAsiaTheme="minorEastAsia"/>
                      <w:b/>
                      <w:bCs/>
                      <w:color w:val="000000" w:themeColor="text1"/>
                      <w:sz w:val="21"/>
                      <w:szCs w:val="21"/>
                      <w14:textFill>
                        <w14:solidFill>
                          <w14:schemeClr w14:val="tx1"/>
                        </w14:solidFill>
                      </w14:textFill>
                    </w:rPr>
                  </w:pPr>
                  <w:r>
                    <w:rPr>
                      <w:rFonts w:eastAsiaTheme="minorEastAsia"/>
                      <w:b/>
                      <w:bCs/>
                      <w:color w:val="000000" w:themeColor="text1"/>
                      <w:sz w:val="21"/>
                      <w:szCs w:val="21"/>
                      <w14:textFill>
                        <w14:solidFill>
                          <w14:schemeClr w14:val="tx1"/>
                        </w14:solidFill>
                      </w14:textFill>
                    </w:rPr>
                    <w:t>超标率（%）</w:t>
                  </w:r>
                </w:p>
              </w:tc>
            </w:tr>
            <w:tr w14:paraId="2CB9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38" w:type="pct"/>
                  <w:tcBorders>
                    <w:top w:val="nil"/>
                    <w:left w:val="single" w:color="auto" w:sz="4" w:space="0"/>
                    <w:right w:val="single" w:color="auto" w:sz="4" w:space="0"/>
                  </w:tcBorders>
                  <w:vAlign w:val="center"/>
                </w:tcPr>
                <w:p w14:paraId="3CB4C104">
                  <w:pPr>
                    <w:pStyle w:val="36"/>
                    <w:spacing w:line="240" w:lineRule="auto"/>
                    <w:rPr>
                      <w:rFonts w:hint="default" w:eastAsiaTheme="minorEastAsia"/>
                      <w:bCs/>
                      <w:color w:val="000000" w:themeColor="text1"/>
                      <w:sz w:val="21"/>
                      <w:szCs w:val="21"/>
                      <w:lang w:val="en-US" w:eastAsia="zh-CN"/>
                      <w14:textFill>
                        <w14:solidFill>
                          <w14:schemeClr w14:val="tx1"/>
                        </w14:solidFill>
                      </w14:textFill>
                    </w:rPr>
                  </w:pPr>
                  <w:r>
                    <w:rPr>
                      <w:rFonts w:hint="eastAsia" w:eastAsiaTheme="minorEastAsia"/>
                      <w:bCs/>
                      <w:color w:val="000000" w:themeColor="text1"/>
                      <w:kern w:val="0"/>
                      <w:sz w:val="21"/>
                      <w:szCs w:val="21"/>
                      <w:lang w:val="en-US" w:eastAsia="zh-CN"/>
                      <w14:textFill>
                        <w14:solidFill>
                          <w14:schemeClr w14:val="tx1"/>
                        </w14:solidFill>
                      </w14:textFill>
                    </w:rPr>
                    <w:t>来凤中学E7</w:t>
                  </w:r>
                </w:p>
              </w:tc>
              <w:tc>
                <w:tcPr>
                  <w:tcW w:w="838" w:type="pct"/>
                  <w:tcBorders>
                    <w:top w:val="single" w:color="auto" w:sz="4" w:space="0"/>
                    <w:left w:val="nil"/>
                    <w:bottom w:val="single" w:color="auto" w:sz="4" w:space="0"/>
                    <w:right w:val="single" w:color="auto" w:sz="4" w:space="0"/>
                  </w:tcBorders>
                  <w:vAlign w:val="center"/>
                </w:tcPr>
                <w:p w14:paraId="54965EBF">
                  <w:pPr>
                    <w:pStyle w:val="36"/>
                    <w:spacing w:line="240" w:lineRule="auto"/>
                    <w:rPr>
                      <w:rFonts w:eastAsiaTheme="minorEastAsia"/>
                      <w:bCs/>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非甲烷总烃</w:t>
                  </w:r>
                </w:p>
              </w:tc>
              <w:tc>
                <w:tcPr>
                  <w:tcW w:w="925" w:type="pct"/>
                  <w:tcBorders>
                    <w:top w:val="single" w:color="auto" w:sz="4" w:space="0"/>
                    <w:left w:val="nil"/>
                    <w:bottom w:val="single" w:color="auto" w:sz="4" w:space="0"/>
                    <w:right w:val="single" w:color="auto" w:sz="4" w:space="0"/>
                  </w:tcBorders>
                  <w:vAlign w:val="center"/>
                </w:tcPr>
                <w:p w14:paraId="23D514BD">
                  <w:pPr>
                    <w:pStyle w:val="36"/>
                    <w:spacing w:line="240" w:lineRule="auto"/>
                    <w:rPr>
                      <w:rFonts w:hint="default" w:eastAsiaTheme="minorEastAsia"/>
                      <w:bCs/>
                      <w:color w:val="000000" w:themeColor="text1"/>
                      <w:sz w:val="21"/>
                      <w:szCs w:val="21"/>
                      <w:lang w:val="en-US" w:eastAsia="zh-CN"/>
                      <w14:textFill>
                        <w14:solidFill>
                          <w14:schemeClr w14:val="tx1"/>
                        </w14:solidFill>
                      </w14:textFill>
                    </w:rPr>
                  </w:pPr>
                  <w:r>
                    <w:rPr>
                      <w:rFonts w:hint="eastAsia" w:eastAsiaTheme="minorEastAsia"/>
                      <w:bCs/>
                      <w:color w:val="000000" w:themeColor="text1"/>
                      <w:sz w:val="21"/>
                      <w:szCs w:val="21"/>
                      <w:lang w:val="en-US" w:eastAsia="zh-CN"/>
                      <w14:textFill>
                        <w14:solidFill>
                          <w14:schemeClr w14:val="tx1"/>
                        </w14:solidFill>
                      </w14:textFill>
                    </w:rPr>
                    <w:t>0.87~1.25</w:t>
                  </w:r>
                </w:p>
              </w:tc>
              <w:tc>
                <w:tcPr>
                  <w:tcW w:w="601" w:type="pct"/>
                  <w:tcBorders>
                    <w:top w:val="single" w:color="auto" w:sz="4" w:space="0"/>
                    <w:left w:val="nil"/>
                    <w:bottom w:val="single" w:color="auto" w:sz="4" w:space="0"/>
                    <w:right w:val="single" w:color="auto" w:sz="4" w:space="0"/>
                  </w:tcBorders>
                  <w:vAlign w:val="center"/>
                </w:tcPr>
                <w:p w14:paraId="43C36BF0">
                  <w:pPr>
                    <w:pStyle w:val="36"/>
                    <w:spacing w:line="240" w:lineRule="auto"/>
                    <w:rPr>
                      <w:rFonts w:eastAsiaTheme="minorEastAsia"/>
                      <w:bCs/>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2.0</w:t>
                  </w:r>
                </w:p>
              </w:tc>
              <w:tc>
                <w:tcPr>
                  <w:tcW w:w="1150" w:type="pct"/>
                  <w:tcBorders>
                    <w:top w:val="single" w:color="auto" w:sz="4" w:space="0"/>
                    <w:left w:val="nil"/>
                    <w:bottom w:val="single" w:color="auto" w:sz="4" w:space="0"/>
                    <w:right w:val="single" w:color="auto" w:sz="4" w:space="0"/>
                  </w:tcBorders>
                  <w:vAlign w:val="center"/>
                </w:tcPr>
                <w:p w14:paraId="7016B0FE">
                  <w:pPr>
                    <w:pStyle w:val="36"/>
                    <w:spacing w:line="240" w:lineRule="auto"/>
                    <w:rPr>
                      <w:rFonts w:hint="default" w:eastAsiaTheme="minorEastAsia"/>
                      <w:bCs/>
                      <w:color w:val="000000" w:themeColor="text1"/>
                      <w:sz w:val="21"/>
                      <w:szCs w:val="21"/>
                      <w:lang w:val="en-US" w:eastAsia="zh-CN"/>
                      <w14:textFill>
                        <w14:solidFill>
                          <w14:schemeClr w14:val="tx1"/>
                        </w14:solidFill>
                      </w14:textFill>
                    </w:rPr>
                  </w:pPr>
                  <w:r>
                    <w:rPr>
                      <w:rFonts w:hint="eastAsia" w:eastAsiaTheme="minorEastAsia"/>
                      <w:bCs/>
                      <w:color w:val="000000" w:themeColor="text1"/>
                      <w:sz w:val="21"/>
                      <w:szCs w:val="21"/>
                      <w:lang w:val="en-US" w:eastAsia="zh-CN"/>
                      <w14:textFill>
                        <w14:solidFill>
                          <w14:schemeClr w14:val="tx1"/>
                        </w14:solidFill>
                      </w14:textFill>
                    </w:rPr>
                    <w:t>62.5</w:t>
                  </w:r>
                </w:p>
              </w:tc>
              <w:tc>
                <w:tcPr>
                  <w:tcW w:w="845" w:type="pct"/>
                  <w:tcBorders>
                    <w:top w:val="single" w:color="auto" w:sz="4" w:space="0"/>
                    <w:left w:val="nil"/>
                    <w:bottom w:val="single" w:color="auto" w:sz="4" w:space="0"/>
                    <w:right w:val="single" w:color="auto" w:sz="4" w:space="0"/>
                  </w:tcBorders>
                  <w:vAlign w:val="center"/>
                </w:tcPr>
                <w:p w14:paraId="59217A1E">
                  <w:pPr>
                    <w:pStyle w:val="36"/>
                    <w:spacing w:line="240" w:lineRule="auto"/>
                    <w:rPr>
                      <w:rFonts w:eastAsiaTheme="minorEastAsia"/>
                      <w:bCs/>
                      <w:color w:val="000000" w:themeColor="text1"/>
                      <w:sz w:val="21"/>
                      <w:szCs w:val="21"/>
                      <w14:textFill>
                        <w14:solidFill>
                          <w14:schemeClr w14:val="tx1"/>
                        </w14:solidFill>
                      </w14:textFill>
                    </w:rPr>
                  </w:pPr>
                  <w:r>
                    <w:rPr>
                      <w:rFonts w:eastAsiaTheme="minorEastAsia"/>
                      <w:bCs/>
                      <w:color w:val="000000" w:themeColor="text1"/>
                      <w:sz w:val="21"/>
                      <w:szCs w:val="21"/>
                      <w14:textFill>
                        <w14:solidFill>
                          <w14:schemeClr w14:val="tx1"/>
                        </w14:solidFill>
                      </w14:textFill>
                    </w:rPr>
                    <w:t>0</w:t>
                  </w:r>
                </w:p>
              </w:tc>
            </w:tr>
          </w:tbl>
          <w:p w14:paraId="01DF45C5">
            <w:pPr>
              <w:adjustRightInd w:val="0"/>
              <w:snapToGrid w:val="0"/>
              <w:spacing w:line="360" w:lineRule="auto"/>
              <w:ind w:firstLine="600" w:firstLineChars="250"/>
              <w:rPr>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由上表可知，项目所在区域评价范围内非甲烷总烃满足河北省地方标准《环境空气质量非甲烷总烃限值》（DB 13/1577-2012）中相应标准限值</w:t>
            </w:r>
            <w:r>
              <w:rPr>
                <w:rFonts w:eastAsiaTheme="minorEastAsia"/>
                <w:bCs/>
                <w:color w:val="000000" w:themeColor="text1"/>
                <w:sz w:val="24"/>
                <w:szCs w:val="24"/>
                <w14:textFill>
                  <w14:solidFill>
                    <w14:schemeClr w14:val="tx1"/>
                  </w14:solidFill>
                </w14:textFill>
              </w:rPr>
              <w:t>。表明</w:t>
            </w:r>
            <w:r>
              <w:rPr>
                <w:rFonts w:eastAsiaTheme="minorEastAsia"/>
                <w:color w:val="000000" w:themeColor="text1"/>
                <w:sz w:val="24"/>
                <w:szCs w:val="24"/>
                <w14:textFill>
                  <w14:solidFill>
                    <w14:schemeClr w14:val="tx1"/>
                  </w14:solidFill>
                </w14:textFill>
              </w:rPr>
              <w:t>区域环境空气质量良好，具有一定的环境容量。</w:t>
            </w:r>
          </w:p>
          <w:p w14:paraId="24EA77A5">
            <w:pPr>
              <w:adjustRightInd w:val="0"/>
              <w:snapToGrid w:val="0"/>
              <w:spacing w:line="360" w:lineRule="auto"/>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2、地表水环境</w:t>
            </w:r>
          </w:p>
          <w:p w14:paraId="5F58C7D2">
            <w:pPr>
              <w:pStyle w:val="2"/>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eastAsia="宋体" w:cs="Times New Roman"/>
                <w:caps/>
                <w:color w:val="000000" w:themeColor="text1"/>
                <w:sz w:val="24"/>
                <w:szCs w:val="24"/>
                <w14:textFill>
                  <w14:solidFill>
                    <w14:schemeClr w14:val="tx1"/>
                  </w14:solidFill>
                </w14:textFill>
              </w:rPr>
            </w:pPr>
            <w:r>
              <w:rPr>
                <w:rFonts w:hint="eastAsia" w:ascii="Times New Roman" w:cs="Times New Roman"/>
                <w:caps/>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aps/>
                <w:color w:val="000000" w:themeColor="text1"/>
                <w:sz w:val="24"/>
                <w:szCs w:val="24"/>
                <w14:textFill>
                  <w14:solidFill>
                    <w14:schemeClr w14:val="tx1"/>
                  </w14:solidFill>
                </w14:textFill>
              </w:rPr>
              <w:t>项目受纳水体为璧南河。根据《重庆市人民政府批转重庆市地表水环境功能类别调整方案的通知》（渝府发〔2012〕4号）</w:t>
            </w:r>
            <w:r>
              <w:rPr>
                <w:rFonts w:hint="eastAsia" w:ascii="Times New Roman" w:cs="Times New Roman"/>
                <w:caps/>
                <w:color w:val="000000" w:themeColor="text1"/>
                <w:sz w:val="24"/>
                <w:szCs w:val="24"/>
                <w:lang w:eastAsia="zh-CN"/>
                <w14:textFill>
                  <w14:solidFill>
                    <w14:schemeClr w14:val="tx1"/>
                  </w14:solidFill>
                </w14:textFill>
              </w:rPr>
              <w:t>、《重庆市人民政府关于批转重庆市地表水环境功能类别局部调整方案的通知》渝府〔2016〕43号</w:t>
            </w:r>
            <w:r>
              <w:rPr>
                <w:rFonts w:hint="default" w:ascii="Times New Roman" w:hAnsi="Times New Roman" w:eastAsia="宋体" w:cs="Times New Roman"/>
                <w:caps/>
                <w:color w:val="000000" w:themeColor="text1"/>
                <w:sz w:val="24"/>
                <w:szCs w:val="24"/>
                <w14:textFill>
                  <w14:solidFill>
                    <w14:schemeClr w14:val="tx1"/>
                  </w14:solidFill>
                </w14:textFill>
              </w:rPr>
              <w:t>可知，璧南河属于Ⅳ类水域，因此璧南河执行《地表水环境质量标准》（GB3838-2002）中的Ⅳ类水域标准。</w:t>
            </w:r>
          </w:p>
          <w:p w14:paraId="60D8159E">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建设项目环境影响报告表编制技术指南（污染影响类）（试行）》中水环境质量现状调查要求，可引用与建设项目距离近的有效数据，包括近3年的规划环境影响评价的监测数据，所在流域控制单元内国家、地方控制断面监测数据。</w:t>
            </w:r>
          </w:p>
          <w:p w14:paraId="55624A55">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根据重庆市</w:t>
            </w:r>
            <w:r>
              <w:rPr>
                <w:rFonts w:hint="eastAsia" w:cs="Times New Roman"/>
                <w:color w:val="000000" w:themeColor="text1"/>
                <w:sz w:val="24"/>
                <w:szCs w:val="24"/>
                <w:lang w:val="en-US" w:eastAsia="zh-CN"/>
                <w14:textFill>
                  <w14:solidFill>
                    <w14:schemeClr w14:val="tx1"/>
                  </w14:solidFill>
                </w14:textFill>
              </w:rPr>
              <w:t>璧山区人民政府</w:t>
            </w:r>
            <w:r>
              <w:rPr>
                <w:rFonts w:hint="default" w:ascii="Times New Roman" w:hAnsi="Times New Roman" w:cs="Times New Roman"/>
                <w:color w:val="000000" w:themeColor="text1"/>
                <w:sz w:val="24"/>
                <w:szCs w:val="24"/>
                <w:lang w:val="en-US" w:eastAsia="zh-CN"/>
                <w14:textFill>
                  <w14:solidFill>
                    <w14:schemeClr w14:val="tx1"/>
                  </w14:solidFill>
                </w14:textFill>
              </w:rPr>
              <w:t>202</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lang w:val="en-US" w:eastAsia="zh-CN"/>
                <w14:textFill>
                  <w14:solidFill>
                    <w14:schemeClr w14:val="tx1"/>
                  </w14:solidFill>
                </w14:textFill>
              </w:rPr>
              <w:t>年</w:t>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lang w:val="en-US" w:eastAsia="zh-CN"/>
                <w14:textFill>
                  <w14:solidFill>
                    <w14:schemeClr w14:val="tx1"/>
                  </w14:solidFill>
                </w14:textFill>
              </w:rPr>
              <w:t>月</w:t>
            </w:r>
            <w:r>
              <w:rPr>
                <w:rFonts w:hint="eastAsia" w:cs="Times New Roman"/>
                <w:color w:val="000000" w:themeColor="text1"/>
                <w:sz w:val="24"/>
                <w:szCs w:val="24"/>
                <w:lang w:val="en-US" w:eastAsia="zh-CN"/>
                <w14:textFill>
                  <w14:solidFill>
                    <w14:schemeClr w14:val="tx1"/>
                  </w14:solidFill>
                </w14:textFill>
              </w:rPr>
              <w:t>8</w:t>
            </w:r>
            <w:r>
              <w:rPr>
                <w:rFonts w:hint="default" w:ascii="Times New Roman" w:hAnsi="Times New Roman" w:cs="Times New Roman"/>
                <w:color w:val="000000" w:themeColor="text1"/>
                <w:sz w:val="24"/>
                <w:szCs w:val="24"/>
                <w:lang w:val="en-US" w:eastAsia="zh-CN"/>
                <w14:textFill>
                  <w14:solidFill>
                    <w14:schemeClr w14:val="tx1"/>
                  </w14:solidFill>
                </w14:textFill>
              </w:rPr>
              <w:t>日</w:t>
            </w:r>
            <w:r>
              <w:rPr>
                <w:rFonts w:hint="default" w:ascii="Times New Roman" w:hAnsi="Times New Roman" w:cs="Times New Roman"/>
                <w:color w:val="000000" w:themeColor="text1"/>
                <w:sz w:val="24"/>
                <w:szCs w:val="24"/>
                <w14:textFill>
                  <w14:solidFill>
                    <w14:schemeClr w14:val="tx1"/>
                  </w14:solidFill>
                </w14:textFill>
              </w:rPr>
              <w:t>在官网</w:t>
            </w:r>
            <w:r>
              <w:rPr>
                <w:rFonts w:hint="default" w:ascii="Times New Roman" w:hAnsi="Times New Roman" w:cs="Times New Roman"/>
                <w:color w:val="000000" w:themeColor="text1"/>
                <w:sz w:val="24"/>
                <w:szCs w:val="24"/>
                <w:lang w:val="en-US" w:eastAsia="zh-CN"/>
                <w14:textFill>
                  <w14:solidFill>
                    <w14:schemeClr w14:val="tx1"/>
                  </w14:solidFill>
                </w14:textFill>
              </w:rPr>
              <w:t>发布的《璧山区2025年1—4月国控和市控断面水质达到地表水Ⅲ类标准》可知</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2025年1—4月，璧南河两河口国控考核断面水质稳定达到地表水Ⅲ类标准，璧北河平滩市控考核断面水质稳定达到地表水Ⅲ类标准。</w:t>
            </w:r>
          </w:p>
          <w:p w14:paraId="7FD06775">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因此，</w:t>
            </w:r>
            <w:r>
              <w:rPr>
                <w:rFonts w:hint="default" w:ascii="Times New Roman" w:hAnsi="Times New Roman" w:cs="Times New Roman"/>
                <w:color w:val="000000" w:themeColor="text1"/>
                <w:sz w:val="24"/>
                <w:szCs w:val="24"/>
                <w14:textFill>
                  <w14:solidFill>
                    <w14:schemeClr w14:val="tx1"/>
                  </w14:solidFill>
                </w14:textFill>
              </w:rPr>
              <w:t>璧南河水质能满足《地表水环境质量标准》（GB3838-2002）</w:t>
            </w:r>
            <w:r>
              <w:rPr>
                <w:rFonts w:hint="default" w:ascii="Times New Roman" w:hAnsi="Times New Roman" w:cs="Times New Roman"/>
                <w:color w:val="000000" w:themeColor="text1"/>
                <w:sz w:val="24"/>
                <w:szCs w:val="24"/>
                <w:lang w:eastAsia="zh-CN"/>
                <w14:textFill>
                  <w14:solidFill>
                    <w14:schemeClr w14:val="tx1"/>
                  </w14:solidFill>
                </w14:textFill>
              </w:rPr>
              <w:t>Ⅳ类</w:t>
            </w:r>
            <w:r>
              <w:rPr>
                <w:rFonts w:hint="default" w:ascii="Times New Roman" w:hAnsi="Times New Roman" w:cs="Times New Roman"/>
                <w:color w:val="000000" w:themeColor="text1"/>
                <w:sz w:val="24"/>
                <w:szCs w:val="24"/>
                <w14:textFill>
                  <w14:solidFill>
                    <w14:schemeClr w14:val="tx1"/>
                  </w14:solidFill>
                </w14:textFill>
              </w:rPr>
              <w:t>水域标准，地表水质量现状较好。</w:t>
            </w:r>
          </w:p>
          <w:p w14:paraId="137EDE5A">
            <w:pPr>
              <w:adjustRightInd w:val="0"/>
              <w:snapToGrid w:val="0"/>
              <w:spacing w:line="360" w:lineRule="auto"/>
              <w:jc w:val="left"/>
              <w:rPr>
                <w:b/>
                <w:bCs/>
                <w:color w:val="000000" w:themeColor="text1"/>
                <w:kern w:val="0"/>
                <w:sz w:val="24"/>
                <w:szCs w:val="24"/>
                <w14:textFill>
                  <w14:solidFill>
                    <w14:schemeClr w14:val="tx1"/>
                  </w14:solidFill>
                </w14:textFill>
              </w:rPr>
            </w:pPr>
            <w:r>
              <w:rPr>
                <w:b/>
                <w:bCs/>
                <w:color w:val="000000" w:themeColor="text1"/>
                <w:kern w:val="0"/>
                <w:sz w:val="24"/>
                <w:szCs w:val="24"/>
                <w14:textFill>
                  <w14:solidFill>
                    <w14:schemeClr w14:val="tx1"/>
                  </w14:solidFill>
                </w14:textFill>
              </w:rPr>
              <w:t>3、声环境</w:t>
            </w:r>
          </w:p>
          <w:p w14:paraId="39153161">
            <w:pPr>
              <w:adjustRightInd w:val="0"/>
              <w:snapToGrid w:val="0"/>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根据《建设项目环境影响报告表编制指南》</w:t>
            </w:r>
            <w:r>
              <w:rPr>
                <w:rFonts w:hint="eastAsia"/>
                <w:color w:val="000000" w:themeColor="text1"/>
                <w:kern w:val="0"/>
                <w:sz w:val="24"/>
                <w:szCs w:val="24"/>
                <w:lang w:eastAsia="zh-CN"/>
                <w14:textFill>
                  <w14:solidFill>
                    <w14:schemeClr w14:val="tx1"/>
                  </w14:solidFill>
                </w14:textFill>
              </w:rPr>
              <w:t>（</w:t>
            </w:r>
            <w:r>
              <w:rPr>
                <w:rFonts w:hint="eastAsia"/>
                <w:color w:val="000000" w:themeColor="text1"/>
                <w:kern w:val="0"/>
                <w:sz w:val="24"/>
                <w:szCs w:val="24"/>
                <w14:textFill>
                  <w14:solidFill>
                    <w14:schemeClr w14:val="tx1"/>
                  </w14:solidFill>
                </w14:textFill>
              </w:rPr>
              <w:t>污染影响类</w:t>
            </w:r>
            <w:r>
              <w:rPr>
                <w:rFonts w:hint="eastAsia"/>
                <w:color w:val="000000" w:themeColor="text1"/>
                <w:kern w:val="0"/>
                <w:sz w:val="24"/>
                <w:szCs w:val="24"/>
                <w:lang w:eastAsia="zh-CN"/>
                <w14:textFill>
                  <w14:solidFill>
                    <w14:schemeClr w14:val="tx1"/>
                  </w14:solidFill>
                </w14:textFill>
              </w:rPr>
              <w:t>）</w:t>
            </w:r>
            <w:r>
              <w:rPr>
                <w:rFonts w:hint="eastAsia"/>
                <w:color w:val="000000" w:themeColor="text1"/>
                <w:kern w:val="0"/>
                <w:sz w:val="24"/>
                <w:szCs w:val="24"/>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本</w:t>
            </w:r>
            <w:r>
              <w:rPr>
                <w:rFonts w:hint="eastAsia"/>
                <w:color w:val="000000" w:themeColor="text1"/>
                <w:kern w:val="0"/>
                <w:sz w:val="24"/>
                <w:szCs w:val="24"/>
                <w14:textFill>
                  <w14:solidFill>
                    <w14:schemeClr w14:val="tx1"/>
                  </w14:solidFill>
                </w14:textFill>
              </w:rPr>
              <w:t>项目位于</w:t>
            </w:r>
            <w:r>
              <w:rPr>
                <w:rFonts w:hint="eastAsia"/>
                <w:color w:val="000000" w:themeColor="text1"/>
                <w:kern w:val="0"/>
                <w:sz w:val="24"/>
                <w14:textFill>
                  <w14:solidFill>
                    <w14:schemeClr w14:val="tx1"/>
                  </w14:solidFill>
                </w14:textFill>
              </w:rPr>
              <w:t>璧山高新技术产业开发区青杠-来凤组团</w:t>
            </w:r>
            <w:r>
              <w:rPr>
                <w:rFonts w:hint="eastAsia"/>
                <w:color w:val="000000" w:themeColor="text1"/>
                <w:kern w:val="0"/>
                <w:sz w:val="24"/>
                <w:szCs w:val="24"/>
                <w14:textFill>
                  <w14:solidFill>
                    <w14:schemeClr w14:val="tx1"/>
                  </w14:solidFill>
                </w14:textFill>
              </w:rPr>
              <w:t>内，本</w:t>
            </w:r>
            <w:r>
              <w:rPr>
                <w:bCs/>
                <w:color w:val="000000" w:themeColor="text1"/>
                <w:kern w:val="0"/>
                <w:sz w:val="24"/>
                <w:szCs w:val="24"/>
                <w14:textFill>
                  <w14:solidFill>
                    <w14:schemeClr w14:val="tx1"/>
                  </w14:solidFill>
                </w14:textFill>
              </w:rPr>
              <w:t>项目厂界外周边50m范围内不存在声环境保护目标，因此项目不进行保护目标声环境质量现状评价。</w:t>
            </w:r>
          </w:p>
          <w:p w14:paraId="7BB2471A">
            <w:pPr>
              <w:adjustRightInd w:val="0"/>
              <w:snapToGrid w:val="0"/>
              <w:spacing w:line="360" w:lineRule="auto"/>
              <w:rPr>
                <w:b/>
                <w:bCs/>
                <w:color w:val="000000" w:themeColor="text1"/>
                <w:kern w:val="0"/>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4、土壤及地下水</w:t>
            </w:r>
          </w:p>
          <w:p w14:paraId="6C3B75B7">
            <w:pPr>
              <w:widowControl/>
              <w:adjustRightInd w:val="0"/>
              <w:snapToGrid w:val="0"/>
              <w:spacing w:line="360" w:lineRule="auto"/>
              <w:ind w:firstLine="480" w:firstLineChars="200"/>
              <w:jc w:val="left"/>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根据《建设项目环境影响报告表编制技术指南（污染影响类）（试行）》，原则上可不开展环境质量现状调查，建设项目存在土壤、地下水环境污染途径的，应结合污染源、保护目标分布情况开展现状调查以留作背景值。</w:t>
            </w:r>
          </w:p>
          <w:p w14:paraId="4CF76143">
            <w:pPr>
              <w:widowControl/>
              <w:adjustRightInd w:val="0"/>
              <w:snapToGrid w:val="0"/>
              <w:spacing w:line="360" w:lineRule="auto"/>
              <w:ind w:firstLine="480" w:firstLineChars="200"/>
              <w:jc w:val="left"/>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本项目位于已建厂房内，厂房内地坪及周边道路等均已做硬化处理，周边为工业园区</w:t>
            </w:r>
            <w:r>
              <w:rPr>
                <w:rFonts w:hint="eastAsia"/>
                <w:color w:val="000000" w:themeColor="text1"/>
                <w:kern w:val="0"/>
                <w:sz w:val="24"/>
                <w:szCs w:val="24"/>
                <w:lang w:eastAsia="zh-CN"/>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散户居民和清明村安置房居民</w:t>
            </w:r>
            <w:r>
              <w:rPr>
                <w:rFonts w:hint="eastAsia"/>
                <w:color w:val="000000" w:themeColor="text1"/>
                <w:kern w:val="0"/>
                <w:sz w:val="24"/>
                <w:szCs w:val="24"/>
                <w14:textFill>
                  <w14:solidFill>
                    <w14:schemeClr w14:val="tx1"/>
                  </w14:solidFill>
                </w14:textFill>
              </w:rPr>
              <w:t>，根据调查厂界500m范围内不存在地下水环境敏感目标，环评要求，</w:t>
            </w:r>
            <w:r>
              <w:rPr>
                <w:rFonts w:hint="eastAsia" w:eastAsiaTheme="minorEastAsia"/>
                <w:color w:val="000000" w:themeColor="text1"/>
                <w:kern w:val="0"/>
                <w:sz w:val="24"/>
                <w:szCs w:val="24"/>
                <w:lang w:eastAsia="zh-CN"/>
                <w14:textFill>
                  <w14:solidFill>
                    <w14:schemeClr w14:val="tx1"/>
                  </w14:solidFill>
                </w14:textFill>
              </w:rPr>
              <w:t>危废贮存库、水性漆库房、喷涂区、备漆间、一体化生产废水处理站、空压机区域</w:t>
            </w:r>
            <w:r>
              <w:rPr>
                <w:rFonts w:eastAsiaTheme="minorEastAsia"/>
                <w:color w:val="000000" w:themeColor="text1"/>
                <w:kern w:val="0"/>
                <w:sz w:val="24"/>
                <w:szCs w:val="24"/>
                <w14:textFill>
                  <w14:solidFill>
                    <w14:schemeClr w14:val="tx1"/>
                  </w14:solidFill>
                </w14:textFill>
              </w:rPr>
              <w:t>进行重点防渗</w:t>
            </w:r>
            <w:r>
              <w:rPr>
                <w:rFonts w:hint="eastAsia" w:eastAsiaTheme="minorEastAsia"/>
                <w:color w:val="000000" w:themeColor="text1"/>
                <w:kern w:val="0"/>
                <w:sz w:val="24"/>
                <w:szCs w:val="24"/>
                <w:lang w:eastAsia="zh-CN"/>
                <w14:textFill>
                  <w14:solidFill>
                    <w14:schemeClr w14:val="tx1"/>
                  </w14:solidFill>
                </w14:textFill>
              </w:rPr>
              <w:t>。</w:t>
            </w:r>
            <w:r>
              <w:rPr>
                <w:rFonts w:hint="eastAsia" w:eastAsiaTheme="minorEastAsia"/>
                <w:color w:val="000000" w:themeColor="text1"/>
                <w:kern w:val="0"/>
                <w:sz w:val="24"/>
                <w14:textFill>
                  <w14:solidFill>
                    <w14:schemeClr w14:val="tx1"/>
                  </w14:solidFill>
                </w14:textFill>
              </w:rPr>
              <w:t>危险废物贮存库按照《危险废物贮存污染控制标准》（GB18597-2023）要求建设</w:t>
            </w:r>
            <w:r>
              <w:rPr>
                <w:rFonts w:eastAsiaTheme="minorEastAsia"/>
                <w:color w:val="000000" w:themeColor="text1"/>
                <w:kern w:val="0"/>
                <w:sz w:val="24"/>
                <w:szCs w:val="24"/>
                <w14:textFill>
                  <w14:solidFill>
                    <w14:schemeClr w14:val="tx1"/>
                  </w14:solidFill>
                </w14:textFill>
              </w:rPr>
              <w:t>，</w:t>
            </w:r>
            <w:r>
              <w:rPr>
                <w:rFonts w:hint="eastAsia" w:eastAsiaTheme="minorEastAsia"/>
                <w:color w:val="000000" w:themeColor="text1"/>
                <w:kern w:val="0"/>
                <w:sz w:val="24"/>
                <w:szCs w:val="24"/>
                <w:lang w:eastAsia="zh-CN"/>
                <w14:textFill>
                  <w14:solidFill>
                    <w14:schemeClr w14:val="tx1"/>
                  </w14:solidFill>
                </w14:textFill>
              </w:rPr>
              <w:t>水性漆库房</w:t>
            </w:r>
            <w:r>
              <w:rPr>
                <w:rFonts w:eastAsiaTheme="minorEastAsia"/>
                <w:color w:val="000000" w:themeColor="text1"/>
                <w:kern w:val="0"/>
                <w:sz w:val="24"/>
                <w:szCs w:val="24"/>
                <w14:textFill>
                  <w14:solidFill>
                    <w14:schemeClr w14:val="tx1"/>
                  </w14:solidFill>
                </w14:textFill>
              </w:rPr>
              <w:t>和</w:t>
            </w:r>
            <w:r>
              <w:rPr>
                <w:rFonts w:hint="eastAsia" w:eastAsiaTheme="minorEastAsia"/>
                <w:color w:val="000000" w:themeColor="text1"/>
                <w:kern w:val="0"/>
                <w:sz w:val="24"/>
                <w:szCs w:val="24"/>
                <w:lang w:eastAsia="zh-CN"/>
                <w14:textFill>
                  <w14:solidFill>
                    <w14:schemeClr w14:val="tx1"/>
                  </w14:solidFill>
                </w14:textFill>
              </w:rPr>
              <w:t>危废贮存库</w:t>
            </w:r>
            <w:r>
              <w:rPr>
                <w:rFonts w:eastAsiaTheme="minorEastAsia"/>
                <w:color w:val="000000" w:themeColor="text1"/>
                <w:kern w:val="0"/>
                <w:sz w:val="24"/>
                <w:szCs w:val="24"/>
                <w14:textFill>
                  <w14:solidFill>
                    <w14:schemeClr w14:val="tx1"/>
                  </w14:solidFill>
                </w14:textFill>
              </w:rPr>
              <w:t>地坪上方设置托盘，</w:t>
            </w:r>
            <w:r>
              <w:rPr>
                <w:rFonts w:hint="eastAsia" w:eastAsiaTheme="minorEastAsia"/>
                <w:color w:val="000000" w:themeColor="text1"/>
                <w:kern w:val="0"/>
                <w:sz w:val="24"/>
                <w:szCs w:val="24"/>
                <w:lang w:val="en-US" w:eastAsia="zh-CN"/>
                <w14:textFill>
                  <w14:solidFill>
                    <w14:schemeClr w14:val="tx1"/>
                  </w14:solidFill>
                </w14:textFill>
              </w:rPr>
              <w:t>物料</w:t>
            </w:r>
            <w:r>
              <w:rPr>
                <w:rFonts w:eastAsiaTheme="minorEastAsia"/>
                <w:color w:val="000000" w:themeColor="text1"/>
                <w:kern w:val="0"/>
                <w:sz w:val="24"/>
                <w:szCs w:val="24"/>
                <w14:textFill>
                  <w14:solidFill>
                    <w14:schemeClr w14:val="tx1"/>
                  </w14:solidFill>
                </w14:textFill>
              </w:rPr>
              <w:t>泄漏后进入可由托盘进行收集</w:t>
            </w:r>
            <w:r>
              <w:rPr>
                <w:rFonts w:hint="eastAsia" w:eastAsiaTheme="minorEastAsia"/>
                <w:color w:val="000000" w:themeColor="text1"/>
                <w:kern w:val="0"/>
                <w:sz w:val="24"/>
                <w:szCs w:val="24"/>
                <w:lang w:eastAsia="zh-CN"/>
                <w14:textFill>
                  <w14:solidFill>
                    <w14:schemeClr w14:val="tx1"/>
                  </w14:solidFill>
                </w14:textFill>
              </w:rPr>
              <w:t>。</w:t>
            </w:r>
            <w:r>
              <w:rPr>
                <w:rFonts w:hint="eastAsia"/>
                <w:color w:val="000000" w:themeColor="text1"/>
                <w:sz w:val="24"/>
                <w:szCs w:val="24"/>
                <w:lang w:eastAsia="zh-CN"/>
                <w14:textFill>
                  <w14:solidFill>
                    <w14:schemeClr w14:val="tx1"/>
                  </w14:solidFill>
                </w14:textFill>
              </w:rPr>
              <w:t>通过以上措施，</w:t>
            </w:r>
            <w:r>
              <w:rPr>
                <w:rFonts w:eastAsiaTheme="minorEastAsia"/>
                <w:color w:val="000000" w:themeColor="text1"/>
                <w:kern w:val="0"/>
                <w:sz w:val="24"/>
                <w:szCs w:val="24"/>
                <w14:textFill>
                  <w14:solidFill>
                    <w14:schemeClr w14:val="tx1"/>
                  </w14:solidFill>
                </w14:textFill>
              </w:rPr>
              <w:t>基本无直接泄漏至地下水和土壤的途径，故本次评价不对地下水和土壤进行现状监测。</w:t>
            </w:r>
          </w:p>
          <w:p w14:paraId="59977B56">
            <w:pPr>
              <w:adjustRightInd w:val="0"/>
              <w:snapToGrid w:val="0"/>
              <w:spacing w:line="360" w:lineRule="auto"/>
              <w:rPr>
                <w:b/>
                <w:bCs/>
                <w:color w:val="000000" w:themeColor="text1"/>
                <w:kern w:val="0"/>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5、生态环境</w:t>
            </w:r>
          </w:p>
          <w:p w14:paraId="0669A2B4">
            <w:pPr>
              <w:widowControl/>
              <w:adjustRightInd w:val="0"/>
              <w:snapToGrid w:val="0"/>
              <w:spacing w:line="360" w:lineRule="auto"/>
              <w:ind w:firstLine="480" w:firstLineChars="200"/>
              <w:jc w:val="left"/>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本项目</w:t>
            </w:r>
            <w:r>
              <w:rPr>
                <w:rFonts w:hint="eastAsia"/>
                <w:bCs/>
                <w:color w:val="000000" w:themeColor="text1"/>
                <w:sz w:val="24"/>
                <w:szCs w:val="24"/>
                <w14:textFill>
                  <w14:solidFill>
                    <w14:schemeClr w14:val="tx1"/>
                  </w14:solidFill>
                </w14:textFill>
              </w:rPr>
              <w:t>利用建设单位</w:t>
            </w:r>
            <w:r>
              <w:rPr>
                <w:rFonts w:hint="eastAsia"/>
                <w:bCs/>
                <w:color w:val="000000" w:themeColor="text1"/>
                <w:sz w:val="24"/>
                <w:szCs w:val="24"/>
                <w:highlight w:val="none"/>
                <w14:textFill>
                  <w14:solidFill>
                    <w14:schemeClr w14:val="tx1"/>
                  </w14:solidFill>
                </w14:textFill>
              </w:rPr>
              <w:t>购买的</w:t>
            </w:r>
            <w:r>
              <w:rPr>
                <w:rFonts w:hint="eastAsia"/>
                <w:bCs/>
                <w:color w:val="000000" w:themeColor="text1"/>
                <w:sz w:val="24"/>
                <w:szCs w:val="24"/>
                <w14:textFill>
                  <w14:solidFill>
                    <w14:schemeClr w14:val="tx1"/>
                  </w14:solidFill>
                </w14:textFill>
              </w:rPr>
              <w:t>厂房进行</w:t>
            </w:r>
            <w:r>
              <w:rPr>
                <w:bCs/>
                <w:color w:val="000000" w:themeColor="text1"/>
                <w:sz w:val="24"/>
                <w:szCs w:val="24"/>
                <w14:textFill>
                  <w14:solidFill>
                    <w14:schemeClr w14:val="tx1"/>
                  </w14:solidFill>
                </w14:textFill>
              </w:rPr>
              <w:t>建设，</w:t>
            </w:r>
            <w:r>
              <w:rPr>
                <w:rFonts w:hint="eastAsia"/>
                <w:bCs/>
                <w:color w:val="000000" w:themeColor="text1"/>
                <w:sz w:val="24"/>
                <w:szCs w:val="24"/>
                <w14:textFill>
                  <w14:solidFill>
                    <w14:schemeClr w14:val="tx1"/>
                  </w14:solidFill>
                </w14:textFill>
              </w:rPr>
              <w:t>建设</w:t>
            </w:r>
            <w:r>
              <w:rPr>
                <w:bCs/>
                <w:color w:val="000000" w:themeColor="text1"/>
                <w:sz w:val="24"/>
                <w:szCs w:val="24"/>
                <w14:textFill>
                  <w14:solidFill>
                    <w14:schemeClr w14:val="tx1"/>
                  </w14:solidFill>
                </w14:textFill>
              </w:rPr>
              <w:t>地址位于</w:t>
            </w:r>
            <w:r>
              <w:rPr>
                <w:rFonts w:hint="eastAsia"/>
                <w:bCs/>
                <w:color w:val="000000" w:themeColor="text1"/>
                <w:sz w:val="24"/>
                <w:szCs w:val="24"/>
                <w:lang w:eastAsia="zh-CN"/>
                <w14:textFill>
                  <w14:solidFill>
                    <w14:schemeClr w14:val="tx1"/>
                  </w14:solidFill>
                </w14:textFill>
              </w:rPr>
              <w:t>璧山高新技术产业开发区青杠-来凤组团</w:t>
            </w:r>
            <w:r>
              <w:rPr>
                <w:rFonts w:hint="eastAsia" w:eastAsia="方正仿宋_GBK"/>
                <w:bCs/>
                <w:color w:val="000000" w:themeColor="text1"/>
                <w:sz w:val="24"/>
                <w:szCs w:val="24"/>
                <w14:textFill>
                  <w14:solidFill>
                    <w14:schemeClr w14:val="tx1"/>
                  </w14:solidFill>
                </w14:textFill>
              </w:rPr>
              <w:t>，</w:t>
            </w:r>
            <w:r>
              <w:rPr>
                <w:rFonts w:hint="eastAsia"/>
                <w:color w:val="000000" w:themeColor="text1"/>
                <w:kern w:val="0"/>
                <w:sz w:val="24"/>
                <w:szCs w:val="24"/>
                <w14:textFill>
                  <w14:solidFill>
                    <w14:schemeClr w14:val="tx1"/>
                  </w14:solidFill>
                </w14:textFill>
              </w:rPr>
              <w:t>不新增用地且项目范围内无生态环境保护目标，无需进行生态现状调查。</w:t>
            </w:r>
          </w:p>
          <w:p w14:paraId="453E5963">
            <w:pPr>
              <w:adjustRightInd w:val="0"/>
              <w:snapToGrid w:val="0"/>
              <w:spacing w:line="360" w:lineRule="auto"/>
              <w:rPr>
                <w:b/>
                <w:bCs/>
                <w:color w:val="000000" w:themeColor="text1"/>
                <w:kern w:val="0"/>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6、电磁辐射</w:t>
            </w:r>
          </w:p>
          <w:p w14:paraId="7A12B7DA">
            <w:pPr>
              <w:adjustRightInd w:val="0"/>
              <w:snapToGrid w:val="0"/>
              <w:spacing w:line="360" w:lineRule="auto"/>
              <w:ind w:firstLine="480" w:firstLineChars="200"/>
              <w:rPr>
                <w:color w:val="000000" w:themeColor="text1"/>
                <w:kern w:val="0"/>
                <w:szCs w:val="21"/>
                <w14:textFill>
                  <w14:solidFill>
                    <w14:schemeClr w14:val="tx1"/>
                  </w14:solidFill>
                </w14:textFill>
              </w:rPr>
            </w:pPr>
            <w:r>
              <w:rPr>
                <w:rFonts w:hint="eastAsia"/>
                <w:color w:val="000000" w:themeColor="text1"/>
                <w:kern w:val="0"/>
                <w:sz w:val="24"/>
                <w:szCs w:val="24"/>
                <w14:textFill>
                  <w14:solidFill>
                    <w14:schemeClr w14:val="tx1"/>
                  </w14:solidFill>
                </w14:textFill>
              </w:rPr>
              <w:t>本项目不属于新建或改建、扩建广播电台、差转台、电视塔台、卫星地球上行站、雷达等电磁辐射类项目，无需对电磁辐射现状开展监测与评价。</w:t>
            </w:r>
          </w:p>
        </w:tc>
      </w:tr>
      <w:tr w14:paraId="730AFA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53" w:hRule="atLeast"/>
          <w:jc w:val="center"/>
        </w:trPr>
        <w:tc>
          <w:tcPr>
            <w:tcW w:w="449" w:type="dxa"/>
            <w:vAlign w:val="center"/>
          </w:tcPr>
          <w:p w14:paraId="549982D4">
            <w:pPr>
              <w:adjustRightInd w:val="0"/>
              <w:snapToGrid w:val="0"/>
              <w:jc w:val="center"/>
              <w:rPr>
                <w:rFonts w:hint="default" w:eastAsia="宋体"/>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环境保护目标</w:t>
            </w:r>
          </w:p>
        </w:tc>
        <w:tc>
          <w:tcPr>
            <w:tcW w:w="8622" w:type="dxa"/>
            <w:vAlign w:val="top"/>
          </w:tcPr>
          <w:p w14:paraId="4417900A">
            <w:pPr>
              <w:keepNext w:val="0"/>
              <w:keepLines w:val="0"/>
              <w:suppressLineNumbers w:val="0"/>
              <w:adjustRightInd w:val="0"/>
              <w:snapToGrid w:val="0"/>
              <w:spacing w:before="0" w:beforeAutospacing="0" w:after="0" w:afterAutospacing="0" w:line="360" w:lineRule="auto"/>
              <w:ind w:left="0" w:right="0"/>
              <w:jc w:val="left"/>
              <w:rPr>
                <w:rFonts w:hint="default" w:ascii="Times New Roman" w:hAnsi="Times New Roman" w:cs="Times New Roman"/>
                <w:b/>
                <w:bCs/>
                <w:color w:val="000000" w:themeColor="text1"/>
                <w:kern w:val="0"/>
                <w:sz w:val="24"/>
                <w:szCs w:val="24"/>
                <w14:textFill>
                  <w14:solidFill>
                    <w14:schemeClr w14:val="tx1"/>
                  </w14:solidFill>
                </w14:textFill>
              </w:rPr>
            </w:pPr>
            <w:r>
              <w:rPr>
                <w:rFonts w:hint="default" w:ascii="Times New Roman" w:hAnsi="Times New Roman" w:cs="Times New Roman"/>
                <w:b/>
                <w:bCs/>
                <w:color w:val="000000" w:themeColor="text1"/>
                <w:kern w:val="0"/>
                <w:sz w:val="24"/>
                <w:szCs w:val="24"/>
                <w14:textFill>
                  <w14:solidFill>
                    <w14:schemeClr w14:val="tx1"/>
                  </w14:solidFill>
                </w14:textFill>
              </w:rPr>
              <w:t>1、外环境</w:t>
            </w:r>
          </w:p>
          <w:p w14:paraId="086447FE">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本项目用地性质为工业工地，周围主要为工业厂房，附近无大型工业污染源。不涉及生态红线，本项目周边主要外环境关系见表</w:t>
            </w:r>
            <w:r>
              <w:rPr>
                <w:rFonts w:hint="default" w:ascii="Times New Roman" w:hAnsi="Times New Roman" w:eastAsia="TimesNewRomanPSMT" w:cs="Times New Roman"/>
                <w:color w:val="000000" w:themeColor="text1"/>
                <w:sz w:val="24"/>
                <w:szCs w:val="24"/>
                <w14:textFill>
                  <w14:solidFill>
                    <w14:schemeClr w14:val="tx1"/>
                  </w14:solidFill>
                </w14:textFill>
              </w:rPr>
              <w:t>3-</w:t>
            </w:r>
            <w:r>
              <w:rPr>
                <w:rFonts w:hint="default" w:ascii="Times New Roman" w:hAnsi="Times New Roman" w:cs="Times New Roman"/>
                <w:color w:val="000000" w:themeColor="text1"/>
                <w:sz w:val="24"/>
                <w:szCs w:val="24"/>
                <w14:textFill>
                  <w14:solidFill>
                    <w14:schemeClr w14:val="tx1"/>
                  </w14:solidFill>
                </w14:textFill>
              </w:rPr>
              <w:t>3。</w:t>
            </w:r>
          </w:p>
          <w:p w14:paraId="129CE926">
            <w:pPr>
              <w:keepNext w:val="0"/>
              <w:keepLines w:val="0"/>
              <w:suppressLineNumbers w:val="0"/>
              <w:adjustRightInd w:val="0"/>
              <w:snapToGrid w:val="0"/>
              <w:spacing w:before="0" w:beforeAutospacing="0" w:after="0" w:afterAutospacing="0"/>
              <w:ind w:left="0" w:right="0"/>
              <w:jc w:val="center"/>
              <w:rPr>
                <w:rFonts w:hint="default"/>
                <w:b/>
                <w:bCs/>
                <w:color w:val="000000" w:themeColor="text1"/>
                <w:kern w:val="0"/>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表3-3 外环境关系分布情况一览表</w:t>
            </w:r>
          </w:p>
          <w:tbl>
            <w:tblPr>
              <w:tblStyle w:val="2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440"/>
              <w:gridCol w:w="800"/>
              <w:gridCol w:w="1739"/>
              <w:gridCol w:w="1236"/>
            </w:tblGrid>
            <w:tr w14:paraId="59E5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22" w:type="dxa"/>
                  <w:vAlign w:val="center"/>
                </w:tcPr>
                <w:p w14:paraId="544B61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序号</w:t>
                  </w:r>
                </w:p>
              </w:tc>
              <w:tc>
                <w:tcPr>
                  <w:tcW w:w="3440" w:type="dxa"/>
                  <w:vAlign w:val="center"/>
                </w:tcPr>
                <w:p w14:paraId="29C809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名称</w:t>
                  </w:r>
                </w:p>
              </w:tc>
              <w:tc>
                <w:tcPr>
                  <w:tcW w:w="800" w:type="dxa"/>
                  <w:vAlign w:val="center"/>
                </w:tcPr>
                <w:p w14:paraId="0BE05A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方位</w:t>
                  </w:r>
                </w:p>
              </w:tc>
              <w:tc>
                <w:tcPr>
                  <w:tcW w:w="1739" w:type="dxa"/>
                  <w:vAlign w:val="center"/>
                </w:tcPr>
                <w:p w14:paraId="3C5D2D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与项目最近距离（m）</w:t>
                  </w:r>
                </w:p>
              </w:tc>
              <w:tc>
                <w:tcPr>
                  <w:tcW w:w="1236" w:type="dxa"/>
                  <w:vAlign w:val="center"/>
                </w:tcPr>
                <w:p w14:paraId="2AD22B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备注</w:t>
                  </w:r>
                </w:p>
              </w:tc>
            </w:tr>
            <w:tr w14:paraId="43B1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50D0D1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w:t>
                  </w:r>
                </w:p>
              </w:tc>
              <w:tc>
                <w:tcPr>
                  <w:tcW w:w="3440" w:type="dxa"/>
                  <w:vAlign w:val="center"/>
                </w:tcPr>
                <w:p w14:paraId="05FF57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重庆市霞艺汽车配件制造有限公司</w:t>
                  </w:r>
                </w:p>
              </w:tc>
              <w:tc>
                <w:tcPr>
                  <w:tcW w:w="800" w:type="dxa"/>
                  <w:vAlign w:val="center"/>
                </w:tcPr>
                <w:p w14:paraId="5CF0B8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东北</w:t>
                  </w:r>
                </w:p>
              </w:tc>
              <w:tc>
                <w:tcPr>
                  <w:tcW w:w="1739" w:type="dxa"/>
                  <w:vAlign w:val="center"/>
                </w:tcPr>
                <w:p w14:paraId="1EA3FA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eastAsia="zh-CN"/>
                      <w14:textFill>
                        <w14:solidFill>
                          <w14:schemeClr w14:val="tx1"/>
                        </w14:solidFill>
                      </w14:textFill>
                    </w:rPr>
                    <w:t>紧邻</w:t>
                  </w:r>
                </w:p>
              </w:tc>
              <w:tc>
                <w:tcPr>
                  <w:tcW w:w="1236" w:type="dxa"/>
                  <w:vAlign w:val="center"/>
                </w:tcPr>
                <w:p w14:paraId="41E478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工业企业</w:t>
                  </w:r>
                </w:p>
              </w:tc>
            </w:tr>
            <w:tr w14:paraId="1DF0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shd w:val="clear" w:color="auto" w:fill="auto"/>
                  <w:vAlign w:val="center"/>
                </w:tcPr>
                <w:p w14:paraId="3E0E283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w:t>
                  </w:r>
                </w:p>
              </w:tc>
              <w:tc>
                <w:tcPr>
                  <w:tcW w:w="3440" w:type="dxa"/>
                  <w:vAlign w:val="center"/>
                </w:tcPr>
                <w:p w14:paraId="27D70B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重庆方毓精密电子有限公司</w:t>
                  </w:r>
                </w:p>
              </w:tc>
              <w:tc>
                <w:tcPr>
                  <w:tcW w:w="800" w:type="dxa"/>
                  <w:vAlign w:val="center"/>
                </w:tcPr>
                <w:p w14:paraId="583D3103">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东北</w:t>
                  </w:r>
                </w:p>
              </w:tc>
              <w:tc>
                <w:tcPr>
                  <w:tcW w:w="1739" w:type="dxa"/>
                  <w:vAlign w:val="center"/>
                </w:tcPr>
                <w:p w14:paraId="7D3235FD">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50</w:t>
                  </w:r>
                </w:p>
              </w:tc>
              <w:tc>
                <w:tcPr>
                  <w:tcW w:w="1236" w:type="dxa"/>
                  <w:vAlign w:val="center"/>
                </w:tcPr>
                <w:p w14:paraId="33BD0D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工业企业</w:t>
                  </w:r>
                </w:p>
              </w:tc>
            </w:tr>
            <w:tr w14:paraId="3B57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shd w:val="clear" w:color="auto" w:fill="auto"/>
                  <w:vAlign w:val="center"/>
                </w:tcPr>
                <w:p w14:paraId="36429A6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3</w:t>
                  </w:r>
                </w:p>
              </w:tc>
              <w:tc>
                <w:tcPr>
                  <w:tcW w:w="3440" w:type="dxa"/>
                  <w:vAlign w:val="center"/>
                </w:tcPr>
                <w:p w14:paraId="2CF7E5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重庆实汇实业有限公司</w:t>
                  </w:r>
                </w:p>
              </w:tc>
              <w:tc>
                <w:tcPr>
                  <w:tcW w:w="800" w:type="dxa"/>
                  <w:vAlign w:val="center"/>
                </w:tcPr>
                <w:p w14:paraId="76E65A75">
                  <w:pPr>
                    <w:keepNext w:val="0"/>
                    <w:keepLines w:val="0"/>
                    <w:suppressLineNumbers w:val="0"/>
                    <w:adjustRightInd w:val="0"/>
                    <w:snapToGrid w:val="0"/>
                    <w:spacing w:before="0" w:beforeAutospacing="0" w:after="0" w:afterAutospacing="0"/>
                    <w:ind w:left="0" w:right="0"/>
                    <w:jc w:val="center"/>
                    <w:rPr>
                      <w:rFonts w:hint="eastAsia"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东北</w:t>
                  </w:r>
                </w:p>
              </w:tc>
              <w:tc>
                <w:tcPr>
                  <w:tcW w:w="1739" w:type="dxa"/>
                  <w:vAlign w:val="center"/>
                </w:tcPr>
                <w:p w14:paraId="7D170040">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150</w:t>
                  </w:r>
                </w:p>
              </w:tc>
              <w:tc>
                <w:tcPr>
                  <w:tcW w:w="1236" w:type="dxa"/>
                  <w:vAlign w:val="center"/>
                </w:tcPr>
                <w:p w14:paraId="2830B8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工业企业</w:t>
                  </w:r>
                </w:p>
              </w:tc>
            </w:tr>
            <w:tr w14:paraId="00A4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shd w:val="clear" w:color="auto" w:fill="auto"/>
                  <w:vAlign w:val="center"/>
                </w:tcPr>
                <w:p w14:paraId="3A7F1B2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4</w:t>
                  </w:r>
                </w:p>
              </w:tc>
              <w:tc>
                <w:tcPr>
                  <w:tcW w:w="3440" w:type="dxa"/>
                  <w:vAlign w:val="center"/>
                </w:tcPr>
                <w:p w14:paraId="1CA59B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益歌电器</w:t>
                  </w:r>
                </w:p>
              </w:tc>
              <w:tc>
                <w:tcPr>
                  <w:tcW w:w="800" w:type="dxa"/>
                  <w:vAlign w:val="center"/>
                </w:tcPr>
                <w:p w14:paraId="61B5D95C">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东</w:t>
                  </w:r>
                </w:p>
              </w:tc>
              <w:tc>
                <w:tcPr>
                  <w:tcW w:w="1739" w:type="dxa"/>
                  <w:vAlign w:val="center"/>
                </w:tcPr>
                <w:p w14:paraId="0B5C50EF">
                  <w:pPr>
                    <w:keepNext w:val="0"/>
                    <w:keepLines w:val="0"/>
                    <w:suppressLineNumbers w:val="0"/>
                    <w:adjustRightInd w:val="0"/>
                    <w:snapToGrid w:val="0"/>
                    <w:spacing w:before="0" w:beforeAutospacing="0" w:after="0" w:afterAutospacing="0"/>
                    <w:ind w:left="0" w:right="0"/>
                    <w:jc w:val="center"/>
                    <w:rPr>
                      <w:rFonts w:hint="default"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45</w:t>
                  </w:r>
                </w:p>
              </w:tc>
              <w:tc>
                <w:tcPr>
                  <w:tcW w:w="1236" w:type="dxa"/>
                  <w:vAlign w:val="center"/>
                </w:tcPr>
                <w:p w14:paraId="18683D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工业企业</w:t>
                  </w:r>
                </w:p>
              </w:tc>
            </w:tr>
            <w:tr w14:paraId="4C02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3A1AEC5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5</w:t>
                  </w:r>
                </w:p>
              </w:tc>
              <w:tc>
                <w:tcPr>
                  <w:tcW w:w="3440" w:type="dxa"/>
                  <w:vAlign w:val="center"/>
                </w:tcPr>
                <w:p w14:paraId="2F29FC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重庆维博科技</w:t>
                  </w:r>
                </w:p>
              </w:tc>
              <w:tc>
                <w:tcPr>
                  <w:tcW w:w="800" w:type="dxa"/>
                  <w:vAlign w:val="center"/>
                </w:tcPr>
                <w:p w14:paraId="0A7CB5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南</w:t>
                  </w:r>
                </w:p>
              </w:tc>
              <w:tc>
                <w:tcPr>
                  <w:tcW w:w="1739" w:type="dxa"/>
                  <w:vAlign w:val="center"/>
                </w:tcPr>
                <w:p w14:paraId="23830B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100</w:t>
                  </w:r>
                </w:p>
              </w:tc>
              <w:tc>
                <w:tcPr>
                  <w:tcW w:w="1236" w:type="dxa"/>
                  <w:vAlign w:val="center"/>
                </w:tcPr>
                <w:p w14:paraId="43C5F9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工业企业</w:t>
                  </w:r>
                </w:p>
              </w:tc>
            </w:tr>
            <w:tr w14:paraId="358E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82C705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6</w:t>
                  </w:r>
                </w:p>
              </w:tc>
              <w:tc>
                <w:tcPr>
                  <w:tcW w:w="3440" w:type="dxa"/>
                  <w:vAlign w:val="center"/>
                </w:tcPr>
                <w:p w14:paraId="19F01A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重庆世达科技有限公司</w:t>
                  </w:r>
                </w:p>
              </w:tc>
              <w:tc>
                <w:tcPr>
                  <w:tcW w:w="800" w:type="dxa"/>
                  <w:vAlign w:val="center"/>
                </w:tcPr>
                <w:p w14:paraId="3A0AB5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西南</w:t>
                  </w:r>
                </w:p>
              </w:tc>
              <w:tc>
                <w:tcPr>
                  <w:tcW w:w="1739" w:type="dxa"/>
                  <w:vAlign w:val="center"/>
                </w:tcPr>
                <w:p w14:paraId="6B7526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60</w:t>
                  </w:r>
                </w:p>
              </w:tc>
              <w:tc>
                <w:tcPr>
                  <w:tcW w:w="1236" w:type="dxa"/>
                  <w:vAlign w:val="center"/>
                </w:tcPr>
                <w:p w14:paraId="76B225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工业企业</w:t>
                  </w:r>
                </w:p>
              </w:tc>
            </w:tr>
            <w:tr w14:paraId="77476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4FE915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7</w:t>
                  </w:r>
                </w:p>
              </w:tc>
              <w:tc>
                <w:tcPr>
                  <w:tcW w:w="3440" w:type="dxa"/>
                  <w:vAlign w:val="center"/>
                </w:tcPr>
                <w:p w14:paraId="462525B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重庆集信机械有限公司</w:t>
                  </w:r>
                </w:p>
              </w:tc>
              <w:tc>
                <w:tcPr>
                  <w:tcW w:w="800" w:type="dxa"/>
                  <w:vAlign w:val="center"/>
                </w:tcPr>
                <w:p w14:paraId="685835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西北</w:t>
                  </w:r>
                </w:p>
              </w:tc>
              <w:tc>
                <w:tcPr>
                  <w:tcW w:w="1739" w:type="dxa"/>
                  <w:vAlign w:val="center"/>
                </w:tcPr>
                <w:p w14:paraId="372E61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50</w:t>
                  </w:r>
                </w:p>
              </w:tc>
              <w:tc>
                <w:tcPr>
                  <w:tcW w:w="1236" w:type="dxa"/>
                  <w:vAlign w:val="center"/>
                </w:tcPr>
                <w:p w14:paraId="2E3CD0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工业企业</w:t>
                  </w:r>
                </w:p>
              </w:tc>
            </w:tr>
          </w:tbl>
          <w:p w14:paraId="5E39F55F">
            <w:pPr>
              <w:keepNext w:val="0"/>
              <w:keepLines w:val="0"/>
              <w:suppressLineNumbers w:val="0"/>
              <w:adjustRightInd w:val="0"/>
              <w:snapToGrid w:val="0"/>
              <w:spacing w:before="0" w:beforeLines="50" w:beforeAutospacing="0" w:after="0" w:afterAutospacing="0" w:line="360" w:lineRule="auto"/>
              <w:ind w:left="0" w:right="0"/>
              <w:rPr>
                <w:rFonts w:hint="default"/>
                <w:b/>
                <w:bCs/>
                <w:color w:val="000000" w:themeColor="text1"/>
                <w:kern w:val="0"/>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2</w:t>
            </w:r>
            <w:r>
              <w:rPr>
                <w:rFonts w:hint="default"/>
                <w:b/>
                <w:bCs/>
                <w:color w:val="000000" w:themeColor="text1"/>
                <w:kern w:val="0"/>
                <w:sz w:val="24"/>
                <w:szCs w:val="24"/>
                <w14:textFill>
                  <w14:solidFill>
                    <w14:schemeClr w14:val="tx1"/>
                  </w14:solidFill>
                </w14:textFill>
              </w:rPr>
              <w:t>、</w:t>
            </w:r>
            <w:r>
              <w:rPr>
                <w:rFonts w:hint="eastAsia"/>
                <w:b/>
                <w:bCs/>
                <w:color w:val="000000" w:themeColor="text1"/>
                <w:kern w:val="0"/>
                <w:sz w:val="24"/>
                <w:szCs w:val="24"/>
                <w14:textFill>
                  <w14:solidFill>
                    <w14:schemeClr w14:val="tx1"/>
                  </w14:solidFill>
                </w14:textFill>
              </w:rPr>
              <w:t>环境保护目标</w:t>
            </w:r>
          </w:p>
          <w:p w14:paraId="3DB43368">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本项目位于璧山高新技术产业开发区青杠-来凤组团内，调查了解，本项目用地内不涉及自然保护区、风景名胜区、水土流失重点防治区、森林公园、地质公园、世界遗产地、国家重点文物保护单位、历史文化保护地等敏感区域，本项目评价段后河无饮用水取水口，评价范围目内前未发现无珍稀动植物。</w:t>
            </w:r>
          </w:p>
          <w:p w14:paraId="714E6462">
            <w:pPr>
              <w:keepNext w:val="0"/>
              <w:keepLines w:val="0"/>
              <w:suppressLineNumbers w:val="0"/>
              <w:adjustRightInd w:val="0"/>
              <w:snapToGrid w:val="0"/>
              <w:spacing w:before="0" w:beforeAutospacing="0" w:after="0" w:afterAutospacing="0" w:line="360" w:lineRule="auto"/>
              <w:ind w:left="0" w:right="0"/>
              <w:rPr>
                <w:rFonts w:hint="default"/>
                <w:b/>
                <w:bCs/>
                <w:color w:val="000000" w:themeColor="text1"/>
                <w:kern w:val="0"/>
                <w:sz w:val="24"/>
                <w:szCs w:val="24"/>
                <w14:textFill>
                  <w14:solidFill>
                    <w14:schemeClr w14:val="tx1"/>
                  </w14:solidFill>
                </w14:textFill>
              </w:rPr>
            </w:pPr>
            <w:r>
              <w:rPr>
                <w:rFonts w:hint="eastAsia"/>
                <w:b/>
                <w:bCs/>
                <w:color w:val="000000" w:themeColor="text1"/>
                <w:kern w:val="0"/>
                <w:sz w:val="24"/>
                <w:szCs w:val="24"/>
                <w14:textFill>
                  <w14:solidFill>
                    <w14:schemeClr w14:val="tx1"/>
                  </w14:solidFill>
                </w14:textFill>
              </w:rPr>
              <w:t>（1）</w:t>
            </w:r>
            <w:r>
              <w:rPr>
                <w:rFonts w:hint="default"/>
                <w:b/>
                <w:bCs/>
                <w:color w:val="000000" w:themeColor="text1"/>
                <w:kern w:val="0"/>
                <w:sz w:val="24"/>
                <w:szCs w:val="24"/>
                <w14:textFill>
                  <w14:solidFill>
                    <w14:schemeClr w14:val="tx1"/>
                  </w14:solidFill>
                </w14:textFill>
              </w:rPr>
              <w:t>大气环境</w:t>
            </w:r>
          </w:p>
          <w:p w14:paraId="69B2D2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eastAsia"/>
                <w:color w:val="000000" w:themeColor="text1"/>
                <w:kern w:val="0"/>
                <w:sz w:val="24"/>
                <w:szCs w:val="24"/>
                <w:lang w:eastAsia="zh-CN"/>
                <w14:textFill>
                  <w14:solidFill>
                    <w14:schemeClr w14:val="tx1"/>
                  </w14:solidFill>
                </w14:textFill>
              </w:rPr>
            </w:pPr>
            <w:r>
              <w:rPr>
                <w:rFonts w:hint="eastAsia"/>
                <w:color w:val="000000" w:themeColor="text1"/>
                <w:kern w:val="0"/>
                <w:sz w:val="24"/>
                <w:szCs w:val="24"/>
                <w14:textFill>
                  <w14:solidFill>
                    <w14:schemeClr w14:val="tx1"/>
                  </w14:solidFill>
                </w14:textFill>
              </w:rPr>
              <w:t>本</w:t>
            </w:r>
            <w:r>
              <w:rPr>
                <w:rFonts w:hint="default"/>
                <w:color w:val="000000" w:themeColor="text1"/>
                <w:kern w:val="0"/>
                <w:sz w:val="24"/>
                <w:szCs w:val="24"/>
                <w14:textFill>
                  <w14:solidFill>
                    <w14:schemeClr w14:val="tx1"/>
                  </w14:solidFill>
                </w14:textFill>
              </w:rPr>
              <w:t>项目厂界外500米范围</w:t>
            </w:r>
            <w:r>
              <w:rPr>
                <w:rFonts w:hint="eastAsia"/>
                <w:color w:val="000000" w:themeColor="text1"/>
                <w:kern w:val="0"/>
                <w:sz w:val="24"/>
                <w:szCs w:val="24"/>
                <w:lang w:val="en-US" w:eastAsia="zh-CN"/>
                <w14:textFill>
                  <w14:solidFill>
                    <w14:schemeClr w14:val="tx1"/>
                  </w14:solidFill>
                </w14:textFill>
              </w:rPr>
              <w:t>有散户居民和清明村安置房</w:t>
            </w:r>
            <w:r>
              <w:rPr>
                <w:rFonts w:hint="eastAsia"/>
                <w:color w:val="000000" w:themeColor="text1"/>
                <w:kern w:val="0"/>
                <w:sz w:val="24"/>
                <w:szCs w:val="24"/>
                <w:lang w:eastAsia="zh-CN"/>
                <w14:textFill>
                  <w14:solidFill>
                    <w14:schemeClr w14:val="tx1"/>
                  </w14:solidFill>
                </w14:textFill>
              </w:rPr>
              <w:t>。</w:t>
            </w:r>
          </w:p>
          <w:p w14:paraId="2DAF1010">
            <w:pPr>
              <w:keepNext w:val="0"/>
              <w:keepLines w:val="0"/>
              <w:suppressLineNumbers w:val="0"/>
              <w:snapToGrid w:val="0"/>
              <w:spacing w:before="0" w:beforeAutospacing="0" w:after="0" w:afterAutospacing="0"/>
              <w:ind w:left="0" w:right="0"/>
              <w:jc w:val="center"/>
              <w:rPr>
                <w:rFonts w:hint="default"/>
                <w:b/>
                <w:color w:val="000000" w:themeColor="text1"/>
                <w:kern w:val="0"/>
                <w:sz w:val="24"/>
                <w:szCs w:val="24"/>
                <w14:textFill>
                  <w14:solidFill>
                    <w14:schemeClr w14:val="tx1"/>
                  </w14:solidFill>
                </w14:textFill>
              </w:rPr>
            </w:pPr>
            <w:r>
              <w:rPr>
                <w:rFonts w:hint="default"/>
                <w:b/>
                <w:color w:val="000000" w:themeColor="text1"/>
                <w:kern w:val="0"/>
                <w:sz w:val="24"/>
                <w:szCs w:val="24"/>
                <w14:textFill>
                  <w14:solidFill>
                    <w14:schemeClr w14:val="tx1"/>
                  </w14:solidFill>
                </w14:textFill>
              </w:rPr>
              <w:t>表3-</w:t>
            </w:r>
            <w:r>
              <w:rPr>
                <w:rFonts w:hint="eastAsia"/>
                <w:b/>
                <w:color w:val="000000" w:themeColor="text1"/>
                <w:kern w:val="0"/>
                <w:sz w:val="24"/>
                <w:szCs w:val="24"/>
                <w:lang w:val="en-US" w:eastAsia="zh-CN"/>
                <w14:textFill>
                  <w14:solidFill>
                    <w14:schemeClr w14:val="tx1"/>
                  </w14:solidFill>
                </w14:textFill>
              </w:rPr>
              <w:t xml:space="preserve">4 </w:t>
            </w:r>
            <w:r>
              <w:rPr>
                <w:rFonts w:hint="eastAsia"/>
                <w:b/>
                <w:color w:val="000000" w:themeColor="text1"/>
                <w:kern w:val="0"/>
                <w:sz w:val="24"/>
                <w:szCs w:val="24"/>
                <w14:textFill>
                  <w14:solidFill>
                    <w14:schemeClr w14:val="tx1"/>
                  </w14:solidFill>
                </w14:textFill>
              </w:rPr>
              <w:t>大气</w:t>
            </w:r>
            <w:r>
              <w:rPr>
                <w:rFonts w:hint="default"/>
                <w:b/>
                <w:color w:val="000000" w:themeColor="text1"/>
                <w:kern w:val="0"/>
                <w:sz w:val="24"/>
                <w:szCs w:val="24"/>
                <w14:textFill>
                  <w14:solidFill>
                    <w14:schemeClr w14:val="tx1"/>
                  </w14:solidFill>
                </w14:textFill>
              </w:rPr>
              <w:t>环境保护目标一览表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140"/>
              <w:gridCol w:w="1170"/>
              <w:gridCol w:w="1030"/>
              <w:gridCol w:w="1080"/>
              <w:gridCol w:w="1050"/>
              <w:gridCol w:w="1226"/>
            </w:tblGrid>
            <w:tr w14:paraId="3F1F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5" w:type="pct"/>
                  <w:vMerge w:val="restart"/>
                  <w:noWrap w:val="0"/>
                  <w:vAlign w:val="center"/>
                </w:tcPr>
                <w:p w14:paraId="7725B13D">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编号</w:t>
                  </w:r>
                </w:p>
              </w:tc>
              <w:tc>
                <w:tcPr>
                  <w:tcW w:w="1274" w:type="pct"/>
                  <w:vMerge w:val="restart"/>
                  <w:noWrap w:val="0"/>
                  <w:vAlign w:val="center"/>
                </w:tcPr>
                <w:p w14:paraId="692A72DB">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环境保护目标名称</w:t>
                  </w:r>
                </w:p>
              </w:tc>
              <w:tc>
                <w:tcPr>
                  <w:tcW w:w="697" w:type="pct"/>
                  <w:vMerge w:val="restart"/>
                  <w:noWrap w:val="0"/>
                  <w:vAlign w:val="center"/>
                </w:tcPr>
                <w:p w14:paraId="43140F99">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保护对象</w:t>
                  </w:r>
                </w:p>
              </w:tc>
              <w:tc>
                <w:tcPr>
                  <w:tcW w:w="1256" w:type="pct"/>
                  <w:gridSpan w:val="2"/>
                  <w:noWrap w:val="0"/>
                  <w:vAlign w:val="center"/>
                </w:tcPr>
                <w:p w14:paraId="383BB89C">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坐标（m）</w:t>
                  </w:r>
                </w:p>
              </w:tc>
              <w:tc>
                <w:tcPr>
                  <w:tcW w:w="625" w:type="pct"/>
                  <w:vMerge w:val="restart"/>
                  <w:noWrap w:val="0"/>
                  <w:vAlign w:val="center"/>
                </w:tcPr>
                <w:p w14:paraId="7314CF5F">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方位</w:t>
                  </w:r>
                </w:p>
              </w:tc>
              <w:tc>
                <w:tcPr>
                  <w:tcW w:w="730" w:type="pct"/>
                  <w:vMerge w:val="restart"/>
                  <w:noWrap w:val="0"/>
                  <w:vAlign w:val="center"/>
                </w:tcPr>
                <w:p w14:paraId="4642E778">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距离m</w:t>
                  </w:r>
                </w:p>
              </w:tc>
            </w:tr>
            <w:tr w14:paraId="434A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5" w:type="pct"/>
                  <w:vMerge w:val="continue"/>
                  <w:noWrap w:val="0"/>
                  <w:vAlign w:val="center"/>
                </w:tcPr>
                <w:p w14:paraId="02D2EB38">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p>
              </w:tc>
              <w:tc>
                <w:tcPr>
                  <w:tcW w:w="1274" w:type="pct"/>
                  <w:vMerge w:val="continue"/>
                  <w:noWrap w:val="0"/>
                  <w:vAlign w:val="center"/>
                </w:tcPr>
                <w:p w14:paraId="5C306FE1">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p>
              </w:tc>
              <w:tc>
                <w:tcPr>
                  <w:tcW w:w="697" w:type="pct"/>
                  <w:vMerge w:val="continue"/>
                  <w:noWrap w:val="0"/>
                  <w:vAlign w:val="center"/>
                </w:tcPr>
                <w:p w14:paraId="7FD7B630">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p>
              </w:tc>
              <w:tc>
                <w:tcPr>
                  <w:tcW w:w="613" w:type="pct"/>
                  <w:noWrap w:val="0"/>
                  <w:vAlign w:val="center"/>
                </w:tcPr>
                <w:p w14:paraId="37CF981E">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X</w:t>
                  </w:r>
                </w:p>
              </w:tc>
              <w:tc>
                <w:tcPr>
                  <w:tcW w:w="643" w:type="pct"/>
                  <w:noWrap w:val="0"/>
                  <w:vAlign w:val="center"/>
                </w:tcPr>
                <w:p w14:paraId="15B0DED9">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Y</w:t>
                  </w:r>
                </w:p>
              </w:tc>
              <w:tc>
                <w:tcPr>
                  <w:tcW w:w="625" w:type="pct"/>
                  <w:vMerge w:val="continue"/>
                  <w:noWrap w:val="0"/>
                  <w:vAlign w:val="center"/>
                </w:tcPr>
                <w:p w14:paraId="3565C4BD">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p>
              </w:tc>
              <w:tc>
                <w:tcPr>
                  <w:tcW w:w="730" w:type="pct"/>
                  <w:vMerge w:val="continue"/>
                  <w:noWrap w:val="0"/>
                  <w:vAlign w:val="center"/>
                </w:tcPr>
                <w:p w14:paraId="2E00446F">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p>
              </w:tc>
            </w:tr>
            <w:tr w14:paraId="67ED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5" w:type="pct"/>
                  <w:noWrap w:val="0"/>
                  <w:vAlign w:val="center"/>
                </w:tcPr>
                <w:p w14:paraId="07C7F5E7">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1</w:t>
                  </w:r>
                </w:p>
              </w:tc>
              <w:tc>
                <w:tcPr>
                  <w:tcW w:w="1274" w:type="pct"/>
                  <w:noWrap w:val="0"/>
                  <w:vAlign w:val="center"/>
                </w:tcPr>
                <w:p w14:paraId="17AAEE1D">
                  <w:pPr>
                    <w:keepNext w:val="0"/>
                    <w:keepLines w:val="0"/>
                    <w:suppressLineNumbers w:val="0"/>
                    <w:shd w:val="clear" w:color="auto" w:fill="auto"/>
                    <w:adjustRightInd w:val="0"/>
                    <w:snapToGrid w:val="0"/>
                    <w:spacing w:before="0" w:beforeAutospacing="0" w:after="0" w:afterAutospacing="0"/>
                    <w:ind w:left="0" w:right="0"/>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散户</w:t>
                  </w:r>
                </w:p>
              </w:tc>
              <w:tc>
                <w:tcPr>
                  <w:tcW w:w="697" w:type="pct"/>
                  <w:noWrap w:val="0"/>
                  <w:vAlign w:val="center"/>
                </w:tcPr>
                <w:p w14:paraId="2879D744">
                  <w:pPr>
                    <w:keepNext w:val="0"/>
                    <w:keepLines w:val="0"/>
                    <w:suppressLineNumbers w:val="0"/>
                    <w:shd w:val="clear" w:color="auto" w:fill="auto"/>
                    <w:adjustRightInd w:val="0"/>
                    <w:snapToGrid w:val="0"/>
                    <w:spacing w:before="0" w:beforeAutospacing="0" w:after="0" w:afterAutospacing="0"/>
                    <w:ind w:left="0" w:right="0"/>
                    <w:jc w:val="center"/>
                    <w:rPr>
                      <w:rFonts w:hint="eastAsia"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居民</w:t>
                  </w:r>
                </w:p>
              </w:tc>
              <w:tc>
                <w:tcPr>
                  <w:tcW w:w="613" w:type="pct"/>
                  <w:noWrap w:val="0"/>
                  <w:vAlign w:val="center"/>
                </w:tcPr>
                <w:p w14:paraId="24A0C9EA">
                  <w:pPr>
                    <w:keepNext w:val="0"/>
                    <w:keepLines w:val="0"/>
                    <w:suppressLineNumbers w:val="0"/>
                    <w:shd w:val="clear" w:color="auto" w:fill="auto"/>
                    <w:adjustRightInd w:val="0"/>
                    <w:snapToGrid w:val="0"/>
                    <w:spacing w:before="0" w:beforeAutospacing="0" w:after="0" w:afterAutospacing="0"/>
                    <w:ind w:left="0" w:right="0"/>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-470</w:t>
                  </w:r>
                </w:p>
              </w:tc>
              <w:tc>
                <w:tcPr>
                  <w:tcW w:w="643" w:type="pct"/>
                  <w:noWrap w:val="0"/>
                  <w:vAlign w:val="center"/>
                </w:tcPr>
                <w:p w14:paraId="3469FE84">
                  <w:pPr>
                    <w:keepNext w:val="0"/>
                    <w:keepLines w:val="0"/>
                    <w:suppressLineNumbers w:val="0"/>
                    <w:shd w:val="clear" w:color="auto" w:fill="auto"/>
                    <w:adjustRightInd w:val="0"/>
                    <w:snapToGrid w:val="0"/>
                    <w:spacing w:before="0" w:beforeAutospacing="0" w:after="0" w:afterAutospacing="0"/>
                    <w:ind w:left="0" w:right="0"/>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0</w:t>
                  </w:r>
                </w:p>
              </w:tc>
              <w:tc>
                <w:tcPr>
                  <w:tcW w:w="625" w:type="pct"/>
                  <w:noWrap w:val="0"/>
                  <w:vAlign w:val="center"/>
                </w:tcPr>
                <w:p w14:paraId="1A30A6C3">
                  <w:pPr>
                    <w:keepNext w:val="0"/>
                    <w:keepLines w:val="0"/>
                    <w:suppressLineNumbers w:val="0"/>
                    <w:shd w:val="clear" w:color="auto" w:fill="auto"/>
                    <w:adjustRightInd w:val="0"/>
                    <w:snapToGrid w:val="0"/>
                    <w:spacing w:before="0" w:beforeAutospacing="0" w:after="0" w:afterAutospacing="0"/>
                    <w:ind w:left="0" w:right="0"/>
                    <w:jc w:val="center"/>
                    <w:rPr>
                      <w:rFonts w:hint="eastAsia"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西</w:t>
                  </w:r>
                </w:p>
              </w:tc>
              <w:tc>
                <w:tcPr>
                  <w:tcW w:w="730" w:type="pct"/>
                  <w:noWrap w:val="0"/>
                  <w:vAlign w:val="center"/>
                </w:tcPr>
                <w:p w14:paraId="34DD877C">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450</w:t>
                  </w:r>
                </w:p>
              </w:tc>
            </w:tr>
            <w:tr w14:paraId="4E13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15" w:type="pct"/>
                  <w:noWrap w:val="0"/>
                  <w:vAlign w:val="center"/>
                </w:tcPr>
                <w:p w14:paraId="3145C8C7">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14:textFill>
                        <w14:solidFill>
                          <w14:schemeClr w14:val="tx1"/>
                        </w14:solidFill>
                      </w14:textFill>
                    </w:rPr>
                  </w:pPr>
                  <w:r>
                    <w:rPr>
                      <w:rFonts w:hint="eastAsia"/>
                      <w:bCs/>
                      <w:color w:val="000000" w:themeColor="text1"/>
                      <w:szCs w:val="21"/>
                      <w:highlight w:val="none"/>
                      <w14:textFill>
                        <w14:solidFill>
                          <w14:schemeClr w14:val="tx1"/>
                        </w14:solidFill>
                      </w14:textFill>
                    </w:rPr>
                    <w:t>2</w:t>
                  </w:r>
                </w:p>
              </w:tc>
              <w:tc>
                <w:tcPr>
                  <w:tcW w:w="1274" w:type="pct"/>
                  <w:noWrap w:val="0"/>
                  <w:vAlign w:val="center"/>
                </w:tcPr>
                <w:p w14:paraId="6B1A8572">
                  <w:pPr>
                    <w:keepNext w:val="0"/>
                    <w:keepLines w:val="0"/>
                    <w:suppressLineNumbers w:val="0"/>
                    <w:shd w:val="clear" w:color="auto" w:fill="auto"/>
                    <w:adjustRightInd w:val="0"/>
                    <w:snapToGrid w:val="0"/>
                    <w:spacing w:before="0" w:beforeAutospacing="0" w:after="0" w:afterAutospacing="0"/>
                    <w:ind w:left="0" w:right="0"/>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清明村安置房</w:t>
                  </w:r>
                </w:p>
              </w:tc>
              <w:tc>
                <w:tcPr>
                  <w:tcW w:w="697" w:type="pct"/>
                  <w:noWrap w:val="0"/>
                  <w:vAlign w:val="center"/>
                </w:tcPr>
                <w:p w14:paraId="53F0FDD5">
                  <w:pPr>
                    <w:keepNext w:val="0"/>
                    <w:keepLines w:val="0"/>
                    <w:suppressLineNumbers w:val="0"/>
                    <w:shd w:val="clear" w:color="auto" w:fill="auto"/>
                    <w:adjustRightInd w:val="0"/>
                    <w:snapToGrid w:val="0"/>
                    <w:spacing w:before="0" w:beforeAutospacing="0" w:after="0" w:afterAutospacing="0"/>
                    <w:ind w:left="0" w:right="0"/>
                    <w:jc w:val="center"/>
                    <w:rPr>
                      <w:rFonts w:hint="eastAsia"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居民</w:t>
                  </w:r>
                </w:p>
              </w:tc>
              <w:tc>
                <w:tcPr>
                  <w:tcW w:w="613" w:type="pct"/>
                  <w:noWrap w:val="0"/>
                  <w:vAlign w:val="center"/>
                </w:tcPr>
                <w:p w14:paraId="4BA404E2">
                  <w:pPr>
                    <w:keepNext w:val="0"/>
                    <w:keepLines w:val="0"/>
                    <w:suppressLineNumbers w:val="0"/>
                    <w:shd w:val="clear" w:color="auto" w:fill="auto"/>
                    <w:adjustRightInd w:val="0"/>
                    <w:snapToGrid w:val="0"/>
                    <w:spacing w:before="0" w:beforeAutospacing="0" w:after="0" w:afterAutospacing="0"/>
                    <w:ind w:left="0" w:right="0"/>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360</w:t>
                  </w:r>
                </w:p>
              </w:tc>
              <w:tc>
                <w:tcPr>
                  <w:tcW w:w="643" w:type="pct"/>
                  <w:noWrap w:val="0"/>
                  <w:vAlign w:val="center"/>
                </w:tcPr>
                <w:p w14:paraId="1D056D00">
                  <w:pPr>
                    <w:keepNext w:val="0"/>
                    <w:keepLines w:val="0"/>
                    <w:suppressLineNumbers w:val="0"/>
                    <w:shd w:val="clear" w:color="auto" w:fill="auto"/>
                    <w:adjustRightInd w:val="0"/>
                    <w:snapToGrid w:val="0"/>
                    <w:spacing w:before="0" w:beforeAutospacing="0" w:after="0" w:afterAutospacing="0"/>
                    <w:ind w:left="0" w:right="0"/>
                    <w:jc w:val="center"/>
                    <w:rPr>
                      <w:rFonts w:hint="default"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-160</w:t>
                  </w:r>
                </w:p>
              </w:tc>
              <w:tc>
                <w:tcPr>
                  <w:tcW w:w="625" w:type="pct"/>
                  <w:noWrap w:val="0"/>
                  <w:vAlign w:val="center"/>
                </w:tcPr>
                <w:p w14:paraId="34E4FEF3">
                  <w:pPr>
                    <w:keepNext w:val="0"/>
                    <w:keepLines w:val="0"/>
                    <w:suppressLineNumbers w:val="0"/>
                    <w:shd w:val="clear" w:color="auto" w:fill="auto"/>
                    <w:adjustRightInd w:val="0"/>
                    <w:snapToGrid w:val="0"/>
                    <w:spacing w:before="0" w:beforeAutospacing="0" w:after="0" w:afterAutospacing="0"/>
                    <w:ind w:left="0" w:right="0"/>
                    <w:jc w:val="center"/>
                    <w:rPr>
                      <w:rFonts w:hint="eastAsia" w:eastAsia="宋体"/>
                      <w:bCs/>
                      <w:color w:val="000000" w:themeColor="text1"/>
                      <w:szCs w:val="21"/>
                      <w:highlight w:val="none"/>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东南</w:t>
                  </w:r>
                </w:p>
              </w:tc>
              <w:tc>
                <w:tcPr>
                  <w:tcW w:w="730" w:type="pct"/>
                  <w:noWrap w:val="0"/>
                  <w:vAlign w:val="center"/>
                </w:tcPr>
                <w:p w14:paraId="59E45C27">
                  <w:pPr>
                    <w:keepNext w:val="0"/>
                    <w:keepLines w:val="0"/>
                    <w:suppressLineNumbers w:val="0"/>
                    <w:shd w:val="clear" w:color="auto" w:fill="auto"/>
                    <w:adjustRightInd w:val="0"/>
                    <w:snapToGrid w:val="0"/>
                    <w:spacing w:before="0" w:beforeAutospacing="0" w:after="0" w:afterAutospacing="0"/>
                    <w:ind w:left="0" w:right="0"/>
                    <w:jc w:val="center"/>
                    <w:rPr>
                      <w:rFonts w:hint="default"/>
                      <w:bCs/>
                      <w:color w:val="000000" w:themeColor="text1"/>
                      <w:szCs w:val="21"/>
                      <w:highlight w:val="none"/>
                      <w:lang w:val="en-US"/>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350</w:t>
                  </w:r>
                </w:p>
              </w:tc>
            </w:tr>
            <w:tr w14:paraId="42BA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000" w:type="pct"/>
                  <w:gridSpan w:val="7"/>
                  <w:noWrap w:val="0"/>
                  <w:vAlign w:val="center"/>
                </w:tcPr>
                <w:p w14:paraId="71352D16">
                  <w:pPr>
                    <w:keepNext w:val="0"/>
                    <w:keepLines w:val="0"/>
                    <w:suppressLineNumbers w:val="0"/>
                    <w:shd w:val="clear" w:color="auto" w:fill="auto"/>
                    <w:adjustRightInd w:val="0"/>
                    <w:snapToGrid w:val="0"/>
                    <w:spacing w:before="0" w:beforeAutospacing="0" w:after="0" w:afterAutospacing="0"/>
                    <w:ind w:left="0" w:right="0"/>
                    <w:jc w:val="left"/>
                    <w:rPr>
                      <w:rFonts w:hint="default"/>
                      <w:bCs/>
                      <w:color w:val="000000" w:themeColor="text1"/>
                      <w:szCs w:val="21"/>
                      <w:highlight w:val="none"/>
                      <w14:textFill>
                        <w14:solidFill>
                          <w14:schemeClr w14:val="tx1"/>
                        </w14:solidFill>
                      </w14:textFill>
                    </w:rPr>
                  </w:pPr>
                  <w:r>
                    <w:rPr>
                      <w:rFonts w:hint="eastAsia"/>
                      <w:bCs/>
                      <w:color w:val="000000" w:themeColor="text1"/>
                      <w:sz w:val="20"/>
                      <w:szCs w:val="20"/>
                      <w:highlight w:val="none"/>
                      <w14:textFill>
                        <w14:solidFill>
                          <w14:schemeClr w14:val="tx1"/>
                        </w14:solidFill>
                      </w14:textFill>
                    </w:rPr>
                    <w:t>注：以项目</w:t>
                  </w:r>
                  <w:r>
                    <w:rPr>
                      <w:rFonts w:hint="eastAsia"/>
                      <w:bCs/>
                      <w:color w:val="000000" w:themeColor="text1"/>
                      <w:sz w:val="20"/>
                      <w:szCs w:val="20"/>
                      <w:highlight w:val="none"/>
                      <w:lang w:val="en-US" w:eastAsia="zh-CN"/>
                      <w14:textFill>
                        <w14:solidFill>
                          <w14:schemeClr w14:val="tx1"/>
                        </w14:solidFill>
                      </w14:textFill>
                    </w:rPr>
                    <w:t>厂房</w:t>
                  </w:r>
                  <w:r>
                    <w:rPr>
                      <w:rFonts w:hint="eastAsia"/>
                      <w:bCs/>
                      <w:color w:val="000000" w:themeColor="text1"/>
                      <w:sz w:val="20"/>
                      <w:szCs w:val="20"/>
                      <w:highlight w:val="none"/>
                      <w14:textFill>
                        <w14:solidFill>
                          <w14:schemeClr w14:val="tx1"/>
                        </w14:solidFill>
                      </w14:textFill>
                    </w:rPr>
                    <w:t>为中心（X=0，Y=0），东西方向为X轴、南北方向为Y轴。</w:t>
                  </w:r>
                </w:p>
              </w:tc>
            </w:tr>
          </w:tbl>
          <w:p w14:paraId="7CB41039">
            <w:pPr>
              <w:keepNext w:val="0"/>
              <w:keepLines w:val="0"/>
              <w:suppressLineNumbers w:val="0"/>
              <w:adjustRightInd w:val="0"/>
              <w:snapToGrid w:val="0"/>
              <w:spacing w:before="0" w:beforeLines="50" w:beforeAutospacing="0" w:after="0" w:afterAutospacing="0" w:line="360" w:lineRule="auto"/>
              <w:ind w:left="0" w:right="0"/>
              <w:rPr>
                <w:rFonts w:hint="default"/>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w:t>
            </w:r>
            <w:r>
              <w:rPr>
                <w:rFonts w:hint="default"/>
                <w:b/>
                <w:bCs/>
                <w:color w:val="000000" w:themeColor="text1"/>
                <w:sz w:val="24"/>
                <w:szCs w:val="24"/>
                <w14:textFill>
                  <w14:solidFill>
                    <w14:schemeClr w14:val="tx1"/>
                  </w14:solidFill>
                </w14:textFill>
              </w:rPr>
              <w:t>2</w:t>
            </w:r>
            <w:r>
              <w:rPr>
                <w:rFonts w:hint="eastAsia"/>
                <w:b/>
                <w:bCs/>
                <w:color w:val="000000" w:themeColor="text1"/>
                <w:sz w:val="24"/>
                <w:szCs w:val="24"/>
                <w14:textFill>
                  <w14:solidFill>
                    <w14:schemeClr w14:val="tx1"/>
                  </w14:solidFill>
                </w14:textFill>
              </w:rPr>
              <w:t>）</w:t>
            </w:r>
            <w:r>
              <w:rPr>
                <w:rFonts w:hint="default"/>
                <w:b/>
                <w:bCs/>
                <w:color w:val="000000" w:themeColor="text1"/>
                <w:sz w:val="24"/>
                <w:szCs w:val="24"/>
                <w14:textFill>
                  <w14:solidFill>
                    <w14:schemeClr w14:val="tx1"/>
                  </w14:solidFill>
                </w14:textFill>
              </w:rPr>
              <w:t>声环境</w:t>
            </w:r>
          </w:p>
          <w:p w14:paraId="35F99574">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本</w:t>
            </w:r>
            <w:r>
              <w:rPr>
                <w:rFonts w:hint="default"/>
                <w:color w:val="000000" w:themeColor="text1"/>
                <w:sz w:val="24"/>
                <w:szCs w:val="24"/>
                <w14:textFill>
                  <w14:solidFill>
                    <w14:schemeClr w14:val="tx1"/>
                  </w14:solidFill>
                </w14:textFill>
              </w:rPr>
              <w:t>项目厂界外50米范围内无声环境保护目标。</w:t>
            </w:r>
          </w:p>
          <w:p w14:paraId="77F6B1B8">
            <w:pPr>
              <w:keepNext w:val="0"/>
              <w:keepLines w:val="0"/>
              <w:suppressLineNumbers w:val="0"/>
              <w:adjustRightInd w:val="0"/>
              <w:snapToGrid w:val="0"/>
              <w:spacing w:before="0" w:beforeAutospacing="0" w:after="0" w:afterAutospacing="0" w:line="460" w:lineRule="exact"/>
              <w:ind w:left="0" w:right="0"/>
              <w:jc w:val="left"/>
              <w:rPr>
                <w:rFonts w:hint="default"/>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（3）</w:t>
            </w:r>
            <w:r>
              <w:rPr>
                <w:rFonts w:hint="default"/>
                <w:b/>
                <w:bCs/>
                <w:color w:val="000000" w:themeColor="text1"/>
                <w:sz w:val="24"/>
                <w:szCs w:val="24"/>
                <w14:textFill>
                  <w14:solidFill>
                    <w14:schemeClr w14:val="tx1"/>
                  </w14:solidFill>
                </w14:textFill>
              </w:rPr>
              <w:t>地表水环境</w:t>
            </w:r>
          </w:p>
          <w:p w14:paraId="4FDE6DF4">
            <w:pPr>
              <w:keepNext w:val="0"/>
              <w:keepLines w:val="0"/>
              <w:suppressLineNumbers w:val="0"/>
              <w:adjustRightInd w:val="0"/>
              <w:snapToGrid w:val="0"/>
              <w:spacing w:before="0" w:beforeAutospacing="0" w:after="0" w:afterAutospacing="0" w:line="460" w:lineRule="exact"/>
              <w:ind w:left="0" w:right="0" w:firstLine="480" w:firstLineChars="200"/>
              <w:jc w:val="left"/>
              <w:rPr>
                <w:rFonts w:hint="default"/>
                <w:bCs/>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本项目周边地表水体主要为</w:t>
            </w:r>
            <w:r>
              <w:rPr>
                <w:rFonts w:hint="eastAsia"/>
                <w:color w:val="000000" w:themeColor="text1"/>
                <w:sz w:val="24"/>
                <w:szCs w:val="24"/>
                <w:lang w:val="en-US" w:eastAsia="zh-CN"/>
                <w14:textFill>
                  <w14:solidFill>
                    <w14:schemeClr w14:val="tx1"/>
                  </w14:solidFill>
                </w14:textFill>
              </w:rPr>
              <w:t>璧南河</w:t>
            </w:r>
            <w:r>
              <w:rPr>
                <w:rFonts w:hint="default"/>
                <w:color w:val="000000" w:themeColor="text1"/>
                <w:sz w:val="24"/>
                <w:szCs w:val="24"/>
                <w14:textFill>
                  <w14:solidFill>
                    <w14:schemeClr w14:val="tx1"/>
                  </w14:solidFill>
                </w14:textFill>
              </w:rPr>
              <w:t>。</w:t>
            </w:r>
          </w:p>
          <w:p w14:paraId="150BFFC8">
            <w:pPr>
              <w:keepNext w:val="0"/>
              <w:keepLines w:val="0"/>
              <w:suppressLineNumbers w:val="0"/>
              <w:snapToGrid w:val="0"/>
              <w:spacing w:before="0" w:beforeAutospacing="0" w:after="0" w:afterAutospacing="0"/>
              <w:ind w:left="0" w:right="0"/>
              <w:jc w:val="center"/>
              <w:rPr>
                <w:rFonts w:hint="default"/>
                <w:b/>
                <w:color w:val="000000" w:themeColor="text1"/>
                <w:kern w:val="0"/>
                <w:sz w:val="24"/>
                <w:szCs w:val="24"/>
                <w14:textFill>
                  <w14:solidFill>
                    <w14:schemeClr w14:val="tx1"/>
                  </w14:solidFill>
                </w14:textFill>
              </w:rPr>
            </w:pPr>
            <w:r>
              <w:rPr>
                <w:rFonts w:hint="default"/>
                <w:b/>
                <w:color w:val="000000" w:themeColor="text1"/>
                <w:kern w:val="0"/>
                <w:sz w:val="24"/>
                <w:szCs w:val="24"/>
                <w14:textFill>
                  <w14:solidFill>
                    <w14:schemeClr w14:val="tx1"/>
                  </w14:solidFill>
                </w14:textFill>
              </w:rPr>
              <w:t>表3</w:t>
            </w:r>
            <w:r>
              <w:rPr>
                <w:rFonts w:hint="eastAsia"/>
                <w:b/>
                <w:color w:val="000000" w:themeColor="text1"/>
                <w:kern w:val="0"/>
                <w:sz w:val="24"/>
                <w:szCs w:val="24"/>
                <w14:textFill>
                  <w14:solidFill>
                    <w14:schemeClr w14:val="tx1"/>
                  </w14:solidFill>
                </w14:textFill>
              </w:rPr>
              <w:t>-</w:t>
            </w:r>
            <w:r>
              <w:rPr>
                <w:rFonts w:hint="eastAsia"/>
                <w:b/>
                <w:color w:val="000000" w:themeColor="text1"/>
                <w:kern w:val="0"/>
                <w:sz w:val="24"/>
                <w:szCs w:val="24"/>
                <w:lang w:val="en-US" w:eastAsia="zh-CN"/>
                <w14:textFill>
                  <w14:solidFill>
                    <w14:schemeClr w14:val="tx1"/>
                  </w14:solidFill>
                </w14:textFill>
              </w:rPr>
              <w:t xml:space="preserve">5 </w:t>
            </w:r>
            <w:r>
              <w:rPr>
                <w:rFonts w:hint="default"/>
                <w:b/>
                <w:color w:val="000000" w:themeColor="text1"/>
                <w:kern w:val="0"/>
                <w:sz w:val="24"/>
                <w:szCs w:val="24"/>
                <w14:textFill>
                  <w14:solidFill>
                    <w14:schemeClr w14:val="tx1"/>
                  </w14:solidFill>
                </w14:textFill>
              </w:rPr>
              <w:t>项目主要环境敏感目标一览表</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Layout w:type="fixed"/>
              <w:tblCellMar>
                <w:top w:w="0" w:type="dxa"/>
                <w:left w:w="108" w:type="dxa"/>
                <w:bottom w:w="0" w:type="dxa"/>
                <w:right w:w="108" w:type="dxa"/>
              </w:tblCellMar>
            </w:tblPr>
            <w:tblGrid>
              <w:gridCol w:w="704"/>
              <w:gridCol w:w="1118"/>
              <w:gridCol w:w="1516"/>
              <w:gridCol w:w="1057"/>
              <w:gridCol w:w="1469"/>
              <w:gridCol w:w="2073"/>
            </w:tblGrid>
            <w:tr w14:paraId="28095F2B">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17" w:hRule="atLeast"/>
                <w:jc w:val="center"/>
              </w:trPr>
              <w:tc>
                <w:tcPr>
                  <w:tcW w:w="687" w:type="dxa"/>
                  <w:vMerge w:val="restart"/>
                  <w:vAlign w:val="center"/>
                </w:tcPr>
                <w:p w14:paraId="7C6DDB5F">
                  <w:pPr>
                    <w:keepNext w:val="0"/>
                    <w:keepLines w:val="0"/>
                    <w:suppressLineNumbers w:val="0"/>
                    <w:adjustRightInd w:val="0"/>
                    <w:snapToGrid w:val="0"/>
                    <w:spacing w:before="0" w:beforeAutospacing="0" w:after="0" w:afterAutospacing="0"/>
                    <w:ind w:left="0" w:right="0"/>
                    <w:jc w:val="center"/>
                    <w:rPr>
                      <w:rFonts w:hint="default"/>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序号</w:t>
                  </w:r>
                </w:p>
              </w:tc>
              <w:tc>
                <w:tcPr>
                  <w:tcW w:w="1091" w:type="dxa"/>
                  <w:vMerge w:val="restart"/>
                  <w:vAlign w:val="center"/>
                </w:tcPr>
                <w:p w14:paraId="6A8BFB2E">
                  <w:pPr>
                    <w:keepNext w:val="0"/>
                    <w:keepLines w:val="0"/>
                    <w:suppressLineNumbers w:val="0"/>
                    <w:adjustRightInd w:val="0"/>
                    <w:snapToGrid w:val="0"/>
                    <w:spacing w:before="0" w:beforeAutospacing="0" w:after="0" w:afterAutospacing="0"/>
                    <w:ind w:left="0" w:right="0"/>
                    <w:jc w:val="center"/>
                    <w:rPr>
                      <w:rFonts w:hint="default"/>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保护对象</w:t>
                  </w:r>
                </w:p>
              </w:tc>
              <w:tc>
                <w:tcPr>
                  <w:tcW w:w="1479" w:type="dxa"/>
                  <w:vMerge w:val="restart"/>
                  <w:vAlign w:val="center"/>
                </w:tcPr>
                <w:p w14:paraId="608B01E9">
                  <w:pPr>
                    <w:keepNext w:val="0"/>
                    <w:keepLines w:val="0"/>
                    <w:suppressLineNumbers w:val="0"/>
                    <w:adjustRightInd w:val="0"/>
                    <w:snapToGrid w:val="0"/>
                    <w:spacing w:before="0" w:beforeAutospacing="0" w:after="0" w:afterAutospacing="0"/>
                    <w:ind w:left="0" w:right="0"/>
                    <w:jc w:val="center"/>
                    <w:rPr>
                      <w:rFonts w:hint="default"/>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保护对象特征</w:t>
                  </w:r>
                </w:p>
              </w:tc>
              <w:tc>
                <w:tcPr>
                  <w:tcW w:w="1031" w:type="dxa"/>
                  <w:vMerge w:val="restart"/>
                  <w:vAlign w:val="center"/>
                </w:tcPr>
                <w:p w14:paraId="1515A1C8">
                  <w:pPr>
                    <w:keepNext w:val="0"/>
                    <w:keepLines w:val="0"/>
                    <w:suppressLineNumbers w:val="0"/>
                    <w:adjustRightInd w:val="0"/>
                    <w:snapToGrid w:val="0"/>
                    <w:spacing w:before="0" w:beforeAutospacing="0" w:after="0" w:afterAutospacing="0"/>
                    <w:ind w:left="0" w:right="0"/>
                    <w:jc w:val="center"/>
                    <w:rPr>
                      <w:rFonts w:hint="default"/>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保护内容</w:t>
                  </w:r>
                </w:p>
              </w:tc>
              <w:tc>
                <w:tcPr>
                  <w:tcW w:w="1433" w:type="dxa"/>
                  <w:vMerge w:val="restart"/>
                  <w:vAlign w:val="center"/>
                </w:tcPr>
                <w:p w14:paraId="7267B873">
                  <w:pPr>
                    <w:keepNext w:val="0"/>
                    <w:keepLines w:val="0"/>
                    <w:suppressLineNumbers w:val="0"/>
                    <w:adjustRightInd w:val="0"/>
                    <w:snapToGrid w:val="0"/>
                    <w:spacing w:before="0" w:beforeAutospacing="0" w:after="0" w:afterAutospacing="0"/>
                    <w:ind w:left="0" w:right="0"/>
                    <w:jc w:val="center"/>
                    <w:rPr>
                      <w:rFonts w:hint="default"/>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相对厂址方向</w:t>
                  </w:r>
                </w:p>
              </w:tc>
              <w:tc>
                <w:tcPr>
                  <w:tcW w:w="2021" w:type="dxa"/>
                  <w:vMerge w:val="restart"/>
                  <w:vAlign w:val="center"/>
                </w:tcPr>
                <w:p w14:paraId="34E80509">
                  <w:pPr>
                    <w:keepNext w:val="0"/>
                    <w:keepLines w:val="0"/>
                    <w:suppressLineNumbers w:val="0"/>
                    <w:adjustRightInd w:val="0"/>
                    <w:snapToGrid w:val="0"/>
                    <w:spacing w:before="0" w:beforeAutospacing="0" w:after="0" w:afterAutospacing="0"/>
                    <w:ind w:left="0" w:right="0"/>
                    <w:jc w:val="center"/>
                    <w:rPr>
                      <w:rFonts w:hint="default"/>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相对厂界距离（m）</w:t>
                  </w:r>
                </w:p>
              </w:tc>
            </w:tr>
            <w:tr w14:paraId="6ABE58F8">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317" w:hRule="atLeast"/>
                <w:jc w:val="center"/>
              </w:trPr>
              <w:tc>
                <w:tcPr>
                  <w:tcW w:w="687" w:type="dxa"/>
                  <w:vMerge w:val="continue"/>
                  <w:vAlign w:val="center"/>
                </w:tcPr>
                <w:p w14:paraId="7A56369F">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1091" w:type="dxa"/>
                  <w:vMerge w:val="continue"/>
                  <w:vAlign w:val="center"/>
                </w:tcPr>
                <w:p w14:paraId="5D4C4A6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1479" w:type="dxa"/>
                  <w:vMerge w:val="continue"/>
                  <w:vAlign w:val="center"/>
                </w:tcPr>
                <w:p w14:paraId="35AE5CE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1031" w:type="dxa"/>
                  <w:vMerge w:val="continue"/>
                  <w:vAlign w:val="center"/>
                </w:tcPr>
                <w:p w14:paraId="230BDAC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1433" w:type="dxa"/>
                  <w:vMerge w:val="continue"/>
                  <w:vAlign w:val="center"/>
                </w:tcPr>
                <w:p w14:paraId="04B747D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2021" w:type="dxa"/>
                  <w:vMerge w:val="continue"/>
                  <w:vAlign w:val="center"/>
                </w:tcPr>
                <w:p w14:paraId="5712BD7E">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6D3328C1">
              <w:tblPrEx>
                <w:tblBorders>
                  <w:top w:val="single" w:color="auto" w:sz="4" w:space="0"/>
                  <w:left w:val="single" w:color="auto" w:sz="4" w:space="0"/>
                  <w:bottom w:val="single" w:color="auto" w:sz="4" w:space="0"/>
                  <w:right w:val="single" w:color="auto" w:sz="4" w:space="0"/>
                  <w:insideH w:val="single" w:color="auto" w:sz="4" w:space="0"/>
                  <w:insideV w:val="single" w:color="auto" w:sz="6" w:space="0"/>
                </w:tblBorders>
                <w:tblCellMar>
                  <w:top w:w="0" w:type="dxa"/>
                  <w:left w:w="108" w:type="dxa"/>
                  <w:bottom w:w="0" w:type="dxa"/>
                  <w:right w:w="108" w:type="dxa"/>
                </w:tblCellMar>
              </w:tblPrEx>
              <w:trPr>
                <w:trHeight w:val="583" w:hRule="atLeast"/>
                <w:jc w:val="center"/>
              </w:trPr>
              <w:tc>
                <w:tcPr>
                  <w:tcW w:w="687" w:type="dxa"/>
                  <w:vAlign w:val="center"/>
                </w:tcPr>
                <w:p w14:paraId="0EB3BDB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p>
              </w:tc>
              <w:tc>
                <w:tcPr>
                  <w:tcW w:w="1091" w:type="dxa"/>
                  <w:vAlign w:val="center"/>
                </w:tcPr>
                <w:p w14:paraId="7B7651A6">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璧南河</w:t>
                  </w:r>
                </w:p>
              </w:tc>
              <w:tc>
                <w:tcPr>
                  <w:tcW w:w="1479" w:type="dxa"/>
                  <w:vAlign w:val="center"/>
                </w:tcPr>
                <w:p w14:paraId="2E1D91D8">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ascii="Times New Roman" w:hAnsi="Times New Roman" w:eastAsia="微软雅黑" w:cs="Times New Roman"/>
                      <w:color w:val="000000" w:themeColor="text1"/>
                      <w:kern w:val="0"/>
                      <w:sz w:val="21"/>
                      <w:szCs w:val="21"/>
                      <w14:textFill>
                        <w14:solidFill>
                          <w14:schemeClr w14:val="tx1"/>
                        </w14:solidFill>
                      </w14:textFill>
                    </w:rPr>
                    <w:t>Ⅳ</w:t>
                  </w:r>
                  <w:r>
                    <w:rPr>
                      <w:rFonts w:hint="default" w:ascii="Times New Roman" w:hAnsi="Times New Roman" w:cs="Times New Roman"/>
                      <w:color w:val="000000" w:themeColor="text1"/>
                      <w:kern w:val="0"/>
                      <w:sz w:val="21"/>
                      <w:szCs w:val="21"/>
                      <w14:textFill>
                        <w14:solidFill>
                          <w14:schemeClr w14:val="tx1"/>
                        </w14:solidFill>
                      </w14:textFill>
                    </w:rPr>
                    <w:t>类水</w:t>
                  </w:r>
                  <w:r>
                    <w:rPr>
                      <w:rFonts w:hint="eastAsia"/>
                      <w:color w:val="000000" w:themeColor="text1"/>
                      <w:kern w:val="0"/>
                      <w:sz w:val="21"/>
                      <w:szCs w:val="21"/>
                      <w14:textFill>
                        <w14:solidFill>
                          <w14:schemeClr w14:val="tx1"/>
                        </w14:solidFill>
                      </w14:textFill>
                    </w:rPr>
                    <w:t>域功能</w:t>
                  </w:r>
                </w:p>
              </w:tc>
              <w:tc>
                <w:tcPr>
                  <w:tcW w:w="1031" w:type="dxa"/>
                  <w:vAlign w:val="center"/>
                </w:tcPr>
                <w:p w14:paraId="1CC2FAFB">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地表水</w:t>
                  </w:r>
                </w:p>
              </w:tc>
              <w:tc>
                <w:tcPr>
                  <w:tcW w:w="1433" w:type="dxa"/>
                  <w:vAlign w:val="center"/>
                </w:tcPr>
                <w:p w14:paraId="16F139ED">
                  <w:pPr>
                    <w:keepNext w:val="0"/>
                    <w:keepLines w:val="0"/>
                    <w:suppressLineNumbers w:val="0"/>
                    <w:adjustRightInd w:val="0"/>
                    <w:snapToGrid w:val="0"/>
                    <w:spacing w:before="0" w:beforeAutospacing="0" w:after="0" w:afterAutospacing="0"/>
                    <w:ind w:left="0" w:right="0"/>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西</w:t>
                  </w:r>
                </w:p>
              </w:tc>
              <w:tc>
                <w:tcPr>
                  <w:tcW w:w="2021" w:type="dxa"/>
                  <w:vAlign w:val="center"/>
                </w:tcPr>
                <w:p w14:paraId="31DC17CB">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360</w:t>
                  </w:r>
                </w:p>
              </w:tc>
            </w:tr>
          </w:tbl>
          <w:p w14:paraId="34476ECA">
            <w:pPr>
              <w:keepNext w:val="0"/>
              <w:keepLines w:val="0"/>
              <w:suppressLineNumbers w:val="0"/>
              <w:adjustRightInd w:val="0"/>
              <w:snapToGrid w:val="0"/>
              <w:spacing w:before="0" w:beforeAutospacing="0" w:after="0" w:afterAutospacing="0" w:line="360" w:lineRule="auto"/>
              <w:ind w:left="0" w:right="0"/>
              <w:rPr>
                <w:rFonts w:hint="default"/>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w:t>
            </w:r>
            <w:r>
              <w:rPr>
                <w:rFonts w:hint="default"/>
                <w:b/>
                <w:bCs/>
                <w:color w:val="000000" w:themeColor="text1"/>
                <w:sz w:val="24"/>
                <w:szCs w:val="24"/>
                <w14:textFill>
                  <w14:solidFill>
                    <w14:schemeClr w14:val="tx1"/>
                  </w14:solidFill>
                </w14:textFill>
              </w:rPr>
              <w:t>地下水环境</w:t>
            </w:r>
          </w:p>
          <w:p w14:paraId="5BF361C3">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本</w:t>
            </w:r>
            <w:r>
              <w:rPr>
                <w:rFonts w:hint="default"/>
                <w:color w:val="000000" w:themeColor="text1"/>
                <w:sz w:val="24"/>
                <w:szCs w:val="24"/>
                <w14:textFill>
                  <w14:solidFill>
                    <w14:schemeClr w14:val="tx1"/>
                  </w14:solidFill>
                </w14:textFill>
              </w:rPr>
              <w:t>项目厂界外500米范围内无地下水集中式饮用水水源和热水、矿泉水、温泉等特殊地下水资源。</w:t>
            </w:r>
          </w:p>
          <w:p w14:paraId="6C455FFE">
            <w:pPr>
              <w:keepNext w:val="0"/>
              <w:keepLines w:val="0"/>
              <w:suppressLineNumbers w:val="0"/>
              <w:adjustRightInd w:val="0"/>
              <w:snapToGrid w:val="0"/>
              <w:spacing w:before="0" w:beforeAutospacing="0" w:after="0" w:afterAutospacing="0" w:line="360" w:lineRule="auto"/>
              <w:ind w:left="0" w:right="0"/>
              <w:rPr>
                <w:rFonts w:hint="default"/>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（5）</w:t>
            </w:r>
            <w:r>
              <w:rPr>
                <w:rFonts w:hint="default"/>
                <w:b/>
                <w:bCs/>
                <w:color w:val="000000" w:themeColor="text1"/>
                <w:sz w:val="24"/>
                <w:szCs w:val="24"/>
                <w14:textFill>
                  <w14:solidFill>
                    <w14:schemeClr w14:val="tx1"/>
                  </w14:solidFill>
                </w14:textFill>
              </w:rPr>
              <w:t>生态环境</w:t>
            </w:r>
          </w:p>
          <w:p w14:paraId="4CF01979">
            <w:pPr>
              <w:pStyle w:val="4"/>
              <w:keepNext w:val="0"/>
              <w:keepLines w:val="0"/>
              <w:pageBreakBefore w:val="0"/>
              <w:widowControl w:val="0"/>
              <w:kinsoku/>
              <w:wordWrap/>
              <w:overflowPunct/>
              <w:topLinePunct w:val="0"/>
              <w:autoSpaceDE w:val="0"/>
              <w:autoSpaceDN w:val="0"/>
              <w:bidi w:val="0"/>
              <w:adjustRightInd w:val="0"/>
              <w:snapToGrid/>
              <w:ind w:left="0" w:leftChars="0" w:firstLine="480" w:firstLineChars="200"/>
              <w:textAlignment w:val="baseline"/>
              <w:rPr>
                <w:rFonts w:hint="eastAsia"/>
                <w:color w:val="000000" w:themeColor="text1"/>
                <w14:textFill>
                  <w14:solidFill>
                    <w14:schemeClr w14:val="tx1"/>
                  </w14:solidFill>
                </w14:textFill>
              </w:rPr>
            </w:pPr>
            <w:r>
              <w:rPr>
                <w:rFonts w:hint="eastAsia"/>
                <w:color w:val="000000" w:themeColor="text1"/>
                <w:kern w:val="0"/>
                <w:sz w:val="24"/>
                <w:szCs w:val="24"/>
                <w14:textFill>
                  <w14:solidFill>
                    <w14:schemeClr w14:val="tx1"/>
                  </w14:solidFill>
                </w14:textFill>
              </w:rPr>
              <w:t>本</w:t>
            </w:r>
            <w:r>
              <w:rPr>
                <w:rFonts w:hint="default"/>
                <w:color w:val="000000" w:themeColor="text1"/>
                <w:sz w:val="24"/>
                <w:szCs w:val="24"/>
                <w14:textFill>
                  <w14:solidFill>
                    <w14:schemeClr w14:val="tx1"/>
                  </w14:solidFill>
                </w14:textFill>
              </w:rPr>
              <w:t>项目位于产业园区内，且不新增用地，无生态环境保护目标。</w:t>
            </w:r>
          </w:p>
        </w:tc>
      </w:tr>
      <w:tr w14:paraId="74FB69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4" w:hRule="atLeast"/>
          <w:jc w:val="center"/>
        </w:trPr>
        <w:tc>
          <w:tcPr>
            <w:tcW w:w="449" w:type="dxa"/>
            <w:vAlign w:val="center"/>
          </w:tcPr>
          <w:p w14:paraId="4D9A535C">
            <w:pPr>
              <w:keepNext w:val="0"/>
              <w:keepLines w:val="0"/>
              <w:suppressLineNumbers w:val="0"/>
              <w:adjustRightInd w:val="0"/>
              <w:snapToGrid w:val="0"/>
              <w:spacing w:before="0" w:beforeAutospacing="0" w:after="0" w:afterAutospacing="0"/>
              <w:ind w:left="0" w:right="0"/>
              <w:jc w:val="center"/>
              <w:rPr>
                <w:rFonts w:hint="eastAsia"/>
                <w:color w:val="000000" w:themeColor="text1"/>
                <w:kern w:val="0"/>
                <w:sz w:val="24"/>
                <w:szCs w:val="24"/>
                <w:lang w:val="en-US" w:eastAsia="zh-CN"/>
                <w14:textFill>
                  <w14:solidFill>
                    <w14:schemeClr w14:val="tx1"/>
                  </w14:solidFill>
                </w14:textFill>
              </w:rPr>
            </w:pPr>
            <w:r>
              <w:rPr>
                <w:rFonts w:hint="default"/>
                <w:color w:val="000000" w:themeColor="text1"/>
                <w:kern w:val="0"/>
                <w:sz w:val="24"/>
                <w:szCs w:val="24"/>
                <w14:textFill>
                  <w14:solidFill>
                    <w14:schemeClr w14:val="tx1"/>
                  </w14:solidFill>
                </w14:textFill>
              </w:rPr>
              <w:t>污染物排放控制标准</w:t>
            </w:r>
          </w:p>
        </w:tc>
        <w:tc>
          <w:tcPr>
            <w:tcW w:w="8622" w:type="dxa"/>
            <w:vAlign w:val="top"/>
          </w:tcPr>
          <w:p w14:paraId="6CE149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right="0"/>
              <w:textAlignment w:val="auto"/>
              <w:rPr>
                <w:rFonts w:hint="default"/>
                <w:b/>
                <w:color w:val="000000" w:themeColor="text1"/>
                <w:kern w:val="0"/>
                <w:sz w:val="24"/>
                <w:szCs w:val="24"/>
                <w14:textFill>
                  <w14:solidFill>
                    <w14:schemeClr w14:val="tx1"/>
                  </w14:solidFill>
                </w14:textFill>
              </w:rPr>
            </w:pPr>
            <w:r>
              <w:rPr>
                <w:rFonts w:hint="default"/>
                <w:b/>
                <w:color w:val="000000" w:themeColor="text1"/>
                <w:kern w:val="0"/>
                <w:sz w:val="24"/>
                <w:szCs w:val="24"/>
                <w14:textFill>
                  <w14:solidFill>
                    <w14:schemeClr w14:val="tx1"/>
                  </w14:solidFill>
                </w14:textFill>
              </w:rPr>
              <w:t>1、废气排放标准</w:t>
            </w:r>
          </w:p>
          <w:p w14:paraId="7750B136">
            <w:pPr>
              <w:pStyle w:val="4"/>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default"/>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项目打磨、除尘、抛光、喷涂废气执行《摩托车及汽车配件制造表面涂装大气污染物排放标准》（DB 50/660-2016）中表2“其他区域”排放限值，详见下表。</w:t>
            </w:r>
          </w:p>
          <w:p w14:paraId="6D36FD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color w:val="000000" w:themeColor="text1"/>
                <w:sz w:val="21"/>
                <w:szCs w:val="21"/>
                <w:lang w:val="en-US" w:eastAsia="zh-CN"/>
                <w14:textFill>
                  <w14:solidFill>
                    <w14:schemeClr w14:val="tx1"/>
                  </w14:solidFill>
                </w14:textFill>
              </w:rPr>
            </w:pPr>
            <w:r>
              <w:rPr>
                <w:rFonts w:hint="default" w:ascii="Times New Roman" w:hAnsi="Times New Roman" w:cs="Times New Roman"/>
                <w:b/>
                <w:bCs w:val="0"/>
                <w:color w:val="000000" w:themeColor="text1"/>
                <w:sz w:val="24"/>
                <w:szCs w:val="24"/>
                <w14:textFill>
                  <w14:solidFill>
                    <w14:schemeClr w14:val="tx1"/>
                  </w14:solidFill>
                </w14:textFill>
              </w:rPr>
              <w:t>表3</w:t>
            </w:r>
            <w:r>
              <w:rPr>
                <w:rFonts w:hint="eastAsia" w:ascii="Times New Roman" w:hAnsi="Times New Roman" w:cs="Times New Roman"/>
                <w:b/>
                <w:bCs w:val="0"/>
                <w:color w:val="000000" w:themeColor="text1"/>
                <w:sz w:val="24"/>
                <w:szCs w:val="24"/>
                <w:lang w:val="en-US" w:eastAsia="zh-CN"/>
                <w14:textFill>
                  <w14:solidFill>
                    <w14:schemeClr w14:val="tx1"/>
                  </w14:solidFill>
                </w14:textFill>
              </w:rPr>
              <w:t xml:space="preserve">-6 </w:t>
            </w:r>
            <w:r>
              <w:rPr>
                <w:rFonts w:hint="eastAsia" w:eastAsia="宋体"/>
                <w:b/>
                <w:bCs/>
                <w:color w:val="000000" w:themeColor="text1"/>
                <w:sz w:val="24"/>
                <w:szCs w:val="24"/>
                <w14:textFill>
                  <w14:solidFill>
                    <w14:schemeClr w14:val="tx1"/>
                  </w14:solidFill>
                </w14:textFill>
              </w:rPr>
              <w:t>《摩托车及汽车配件制造表面涂装大气污染物排放标准》（DB 50/660-2016）</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2635"/>
              <w:gridCol w:w="3187"/>
            </w:tblGrid>
            <w:tr w14:paraId="7227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332" w:type="pct"/>
                  <w:noWrap w:val="0"/>
                  <w:vAlign w:val="center"/>
                </w:tcPr>
                <w:p w14:paraId="5EB7E824">
                  <w:pPr>
                    <w:pStyle w:val="2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1659" w:type="pct"/>
                  <w:noWrap w:val="0"/>
                  <w:vAlign w:val="center"/>
                </w:tcPr>
                <w:p w14:paraId="42BD6ACB">
                  <w:pPr>
                    <w:pStyle w:val="28"/>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w:t>
                  </w:r>
                  <w:r>
                    <w:rPr>
                      <w:rFonts w:hint="default" w:ascii="Times New Roman" w:hAnsi="Times New Roman" w:cs="Times New Roman"/>
                      <w:b/>
                      <w:bCs/>
                      <w:color w:val="000000" w:themeColor="text1"/>
                      <w:sz w:val="21"/>
                      <w:szCs w:val="21"/>
                      <w:lang w:val="en-US" w:eastAsia="zh-CN"/>
                      <w14:textFill>
                        <w14:solidFill>
                          <w14:schemeClr w14:val="tx1"/>
                        </w14:solidFill>
                      </w14:textFill>
                    </w:rPr>
                    <w:t>限值</w:t>
                  </w:r>
                  <w:r>
                    <w:rPr>
                      <w:rFonts w:hint="default" w:ascii="Times New Roman" w:hAnsi="Times New Roman" w:cs="Times New Roman"/>
                      <w:b/>
                      <w:bCs/>
                      <w:color w:val="000000" w:themeColor="text1"/>
                      <w:sz w:val="21"/>
                      <w:szCs w:val="21"/>
                      <w14:textFill>
                        <w14:solidFill>
                          <w14:schemeClr w14:val="tx1"/>
                        </w14:solidFill>
                      </w14:textFill>
                    </w:rPr>
                    <w:t>（mg/m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2007" w:type="pct"/>
                  <w:noWrap w:val="0"/>
                  <w:vAlign w:val="center"/>
                </w:tcPr>
                <w:p w14:paraId="2B1E28FE">
                  <w:pPr>
                    <w:pStyle w:val="28"/>
                    <w:keepNext w:val="0"/>
                    <w:keepLines w:val="0"/>
                    <w:pageBreakBefore w:val="0"/>
                    <w:widowControl/>
                    <w:tabs>
                      <w:tab w:val="left" w:pos="1880"/>
                    </w:tabs>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最高允许排放速率</w:t>
                  </w:r>
                  <w:r>
                    <w:rPr>
                      <w:rFonts w:hint="default" w:ascii="Times New Roman" w:hAnsi="Times New Roman" w:cs="Times New Roman"/>
                      <w:b/>
                      <w:bCs/>
                      <w:color w:val="000000" w:themeColor="text1"/>
                      <w:sz w:val="21"/>
                      <w:szCs w:val="21"/>
                      <w14:textFill>
                        <w14:solidFill>
                          <w14:schemeClr w14:val="tx1"/>
                        </w14:solidFill>
                      </w14:textFill>
                    </w:rPr>
                    <w:t>（kg/h）</w:t>
                  </w:r>
                </w:p>
              </w:tc>
            </w:tr>
            <w:tr w14:paraId="0208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2" w:type="pct"/>
                  <w:noWrap w:val="0"/>
                  <w:vAlign w:val="center"/>
                </w:tcPr>
                <w:p w14:paraId="7297746E">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颗粒物</w:t>
                  </w:r>
                </w:p>
              </w:tc>
              <w:tc>
                <w:tcPr>
                  <w:tcW w:w="1659" w:type="pct"/>
                  <w:noWrap w:val="0"/>
                  <w:vAlign w:val="center"/>
                </w:tcPr>
                <w:p w14:paraId="7F32B822">
                  <w:pPr>
                    <w:pStyle w:val="28"/>
                    <w:keepNext w:val="0"/>
                    <w:keepLines w:val="0"/>
                    <w:pageBreakBefore w:val="0"/>
                    <w:widowControl/>
                    <w:kinsoku/>
                    <w:wordWrap/>
                    <w:overflowPunct/>
                    <w:topLinePunct w:val="0"/>
                    <w:autoSpaceDE/>
                    <w:autoSpaceDN/>
                    <w:bidi w:val="0"/>
                    <w:adjustRightInd/>
                    <w:snapToGrid w:val="0"/>
                    <w:spacing w:before="0" w:after="0" w:line="240" w:lineRule="auto"/>
                    <w:ind w:left="-6" w:leftChars="-3"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w:t>
                  </w:r>
                </w:p>
              </w:tc>
              <w:tc>
                <w:tcPr>
                  <w:tcW w:w="2007" w:type="pct"/>
                  <w:noWrap w:val="0"/>
                  <w:vAlign w:val="center"/>
                </w:tcPr>
                <w:p w14:paraId="75EF16A7">
                  <w:pPr>
                    <w:pStyle w:val="28"/>
                    <w:keepNext w:val="0"/>
                    <w:keepLines w:val="0"/>
                    <w:pageBreakBefore w:val="0"/>
                    <w:widowControl/>
                    <w:kinsoku/>
                    <w:wordWrap/>
                    <w:overflowPunct/>
                    <w:topLinePunct w:val="0"/>
                    <w:autoSpaceDE/>
                    <w:autoSpaceDN/>
                    <w:bidi w:val="0"/>
                    <w:adjustRightInd/>
                    <w:snapToGrid w:val="0"/>
                    <w:spacing w:before="0" w:after="0" w:line="240" w:lineRule="auto"/>
                    <w:ind w:left="-6" w:leftChars="-3"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1.5</w:t>
                  </w:r>
                </w:p>
              </w:tc>
            </w:tr>
            <w:tr w14:paraId="2DD5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2" w:type="pct"/>
                  <w:noWrap w:val="0"/>
                  <w:vAlign w:val="center"/>
                </w:tcPr>
                <w:p w14:paraId="0852067D">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非甲烷总烃</w:t>
                  </w:r>
                </w:p>
              </w:tc>
              <w:tc>
                <w:tcPr>
                  <w:tcW w:w="1659" w:type="pct"/>
                  <w:noWrap w:val="0"/>
                  <w:vAlign w:val="center"/>
                </w:tcPr>
                <w:p w14:paraId="005A2B5D">
                  <w:pPr>
                    <w:pStyle w:val="28"/>
                    <w:keepNext w:val="0"/>
                    <w:keepLines w:val="0"/>
                    <w:pageBreakBefore w:val="0"/>
                    <w:widowControl/>
                    <w:kinsoku/>
                    <w:wordWrap/>
                    <w:overflowPunct/>
                    <w:topLinePunct w:val="0"/>
                    <w:autoSpaceDE/>
                    <w:autoSpaceDN/>
                    <w:bidi w:val="0"/>
                    <w:adjustRightInd/>
                    <w:snapToGrid w:val="0"/>
                    <w:spacing w:before="0" w:after="0" w:line="240" w:lineRule="auto"/>
                    <w:ind w:left="-6" w:leftChars="-3"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60</w:t>
                  </w:r>
                </w:p>
              </w:tc>
              <w:tc>
                <w:tcPr>
                  <w:tcW w:w="2007" w:type="pct"/>
                  <w:noWrap w:val="0"/>
                  <w:vAlign w:val="center"/>
                </w:tcPr>
                <w:p w14:paraId="2D996442">
                  <w:pPr>
                    <w:pStyle w:val="28"/>
                    <w:keepNext w:val="0"/>
                    <w:keepLines w:val="0"/>
                    <w:pageBreakBefore w:val="0"/>
                    <w:widowControl/>
                    <w:kinsoku/>
                    <w:wordWrap/>
                    <w:overflowPunct/>
                    <w:topLinePunct w:val="0"/>
                    <w:autoSpaceDE/>
                    <w:autoSpaceDN/>
                    <w:bidi w:val="0"/>
                    <w:adjustRightInd/>
                    <w:snapToGrid w:val="0"/>
                    <w:spacing w:before="0" w:after="0" w:line="240" w:lineRule="auto"/>
                    <w:ind w:left="-6" w:leftChars="-3"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3.7</w:t>
                  </w:r>
                </w:p>
              </w:tc>
            </w:tr>
          </w:tbl>
          <w:p w14:paraId="1944648C">
            <w:pPr>
              <w:pStyle w:val="4"/>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jc w:val="both"/>
              <w:textAlignment w:val="baseline"/>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项目热风炉燃烧天然气加热空气，天然气对烘箱进行间接加热，不直接接触工件，因此天然气燃烧废气执行《工业炉窑大气污染物排放标准》（DB 50/659-2016）中“影响区”排放限值，详见下表。</w:t>
            </w:r>
          </w:p>
          <w:p w14:paraId="5ED153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eastAsia="宋体"/>
                <w:b/>
                <w:color w:val="000000" w:themeColor="text1"/>
                <w:sz w:val="21"/>
                <w:szCs w:val="21"/>
                <w:lang w:val="en-US" w:eastAsia="zh-CN"/>
                <w14:textFill>
                  <w14:solidFill>
                    <w14:schemeClr w14:val="tx1"/>
                  </w14:solidFill>
                </w14:textFill>
              </w:rPr>
            </w:pPr>
            <w:r>
              <w:rPr>
                <w:rFonts w:hint="eastAsia" w:ascii="Times New Roman" w:hAnsi="Times New Roman" w:cs="Times New Roman"/>
                <w:b/>
                <w:bCs w:val="0"/>
                <w:color w:val="000000" w:themeColor="text1"/>
                <w:sz w:val="24"/>
                <w:szCs w:val="24"/>
                <w:lang w:val="en-US" w:eastAsia="zh-CN"/>
                <w14:textFill>
                  <w14:solidFill>
                    <w14:schemeClr w14:val="tx1"/>
                  </w14:solidFill>
                </w14:textFill>
              </w:rPr>
              <w:t>表</w:t>
            </w:r>
            <w:r>
              <w:rPr>
                <w:rFonts w:hint="default" w:ascii="Times New Roman" w:hAnsi="Times New Roman" w:cs="Times New Roman"/>
                <w:b/>
                <w:bCs w:val="0"/>
                <w:color w:val="000000" w:themeColor="text1"/>
                <w:sz w:val="24"/>
                <w:szCs w:val="24"/>
                <w14:textFill>
                  <w14:solidFill>
                    <w14:schemeClr w14:val="tx1"/>
                  </w14:solidFill>
                </w14:textFill>
              </w:rPr>
              <w:t>3</w:t>
            </w:r>
            <w:r>
              <w:rPr>
                <w:rFonts w:hint="eastAsia" w:ascii="Times New Roman" w:hAnsi="Times New Roman" w:cs="Times New Roman"/>
                <w:b/>
                <w:bCs w:val="0"/>
                <w:color w:val="000000" w:themeColor="text1"/>
                <w:sz w:val="24"/>
                <w:szCs w:val="24"/>
                <w:lang w:val="en-US" w:eastAsia="zh-CN"/>
                <w14:textFill>
                  <w14:solidFill>
                    <w14:schemeClr w14:val="tx1"/>
                  </w14:solidFill>
                </w14:textFill>
              </w:rPr>
              <w:t>-</w:t>
            </w:r>
            <w:r>
              <w:rPr>
                <w:rFonts w:hint="eastAsia" w:cs="Times New Roman"/>
                <w:b/>
                <w:bCs w:val="0"/>
                <w:color w:val="000000" w:themeColor="text1"/>
                <w:sz w:val="24"/>
                <w:szCs w:val="24"/>
                <w:lang w:val="en-US" w:eastAsia="zh-CN"/>
                <w14:textFill>
                  <w14:solidFill>
                    <w14:schemeClr w14:val="tx1"/>
                  </w14:solidFill>
                </w14:textFill>
              </w:rPr>
              <w:t xml:space="preserve">7 </w:t>
            </w:r>
            <w:r>
              <w:rPr>
                <w:rFonts w:hint="eastAsia" w:ascii="Times New Roman" w:hAnsi="Times New Roman" w:cs="Times New Roman"/>
                <w:b/>
                <w:bCs w:val="0"/>
                <w:color w:val="000000" w:themeColor="text1"/>
                <w:sz w:val="24"/>
                <w:szCs w:val="24"/>
                <w:lang w:val="en-US" w:eastAsia="zh-CN"/>
                <w14:textFill>
                  <w14:solidFill>
                    <w14:schemeClr w14:val="tx1"/>
                  </w14:solidFill>
                </w14:textFill>
              </w:rPr>
              <w:t>《工业炉窑大气污染物排放标准》（DB 50/659-2016）</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4"/>
              <w:gridCol w:w="4403"/>
            </w:tblGrid>
            <w:tr w14:paraId="3C68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2226" w:type="pct"/>
                  <w:noWrap w:val="0"/>
                  <w:vAlign w:val="center"/>
                </w:tcPr>
                <w:p w14:paraId="44A555FD">
                  <w:pPr>
                    <w:pStyle w:val="2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2773" w:type="pct"/>
                  <w:noWrap w:val="0"/>
                  <w:vAlign w:val="center"/>
                </w:tcPr>
                <w:p w14:paraId="109424EB">
                  <w:pPr>
                    <w:pStyle w:val="28"/>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w:t>
                  </w:r>
                  <w:r>
                    <w:rPr>
                      <w:rFonts w:hint="default" w:ascii="Times New Roman" w:hAnsi="Times New Roman" w:cs="Times New Roman"/>
                      <w:b/>
                      <w:bCs/>
                      <w:color w:val="000000" w:themeColor="text1"/>
                      <w:sz w:val="21"/>
                      <w:szCs w:val="21"/>
                      <w:lang w:val="en-US" w:eastAsia="zh-CN"/>
                      <w14:textFill>
                        <w14:solidFill>
                          <w14:schemeClr w14:val="tx1"/>
                        </w14:solidFill>
                      </w14:textFill>
                    </w:rPr>
                    <w:t>限值</w:t>
                  </w:r>
                  <w:r>
                    <w:rPr>
                      <w:rFonts w:hint="default" w:ascii="Times New Roman" w:hAnsi="Times New Roman" w:cs="Times New Roman"/>
                      <w:b/>
                      <w:bCs/>
                      <w:color w:val="000000" w:themeColor="text1"/>
                      <w:sz w:val="21"/>
                      <w:szCs w:val="21"/>
                      <w14:textFill>
                        <w14:solidFill>
                          <w14:schemeClr w14:val="tx1"/>
                        </w14:solidFill>
                      </w14:textFill>
                    </w:rPr>
                    <w:t>（mg/m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r>
            <w:tr w14:paraId="0898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226" w:type="pct"/>
                  <w:noWrap w:val="0"/>
                  <w:vAlign w:val="center"/>
                </w:tcPr>
                <w:p w14:paraId="46D0272E">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二氧化硫</w:t>
                  </w:r>
                </w:p>
              </w:tc>
              <w:tc>
                <w:tcPr>
                  <w:tcW w:w="2773" w:type="pct"/>
                  <w:noWrap w:val="0"/>
                  <w:vAlign w:val="center"/>
                </w:tcPr>
                <w:p w14:paraId="25BB793E">
                  <w:pPr>
                    <w:pStyle w:val="28"/>
                    <w:keepNext w:val="0"/>
                    <w:keepLines w:val="0"/>
                    <w:pageBreakBefore w:val="0"/>
                    <w:widowControl/>
                    <w:kinsoku/>
                    <w:wordWrap/>
                    <w:overflowPunct/>
                    <w:topLinePunct w:val="0"/>
                    <w:autoSpaceDE/>
                    <w:autoSpaceDN/>
                    <w:bidi w:val="0"/>
                    <w:adjustRightInd/>
                    <w:snapToGrid w:val="0"/>
                    <w:spacing w:before="0" w:after="0" w:line="240" w:lineRule="auto"/>
                    <w:ind w:left="-6" w:leftChars="-3"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400</w:t>
                  </w:r>
                </w:p>
              </w:tc>
            </w:tr>
            <w:tr w14:paraId="1E64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226" w:type="pct"/>
                  <w:noWrap w:val="0"/>
                  <w:vAlign w:val="center"/>
                </w:tcPr>
                <w:p w14:paraId="15611134">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氮氧化物</w:t>
                  </w:r>
                </w:p>
              </w:tc>
              <w:tc>
                <w:tcPr>
                  <w:tcW w:w="2773" w:type="pct"/>
                  <w:noWrap w:val="0"/>
                  <w:vAlign w:val="center"/>
                </w:tcPr>
                <w:p w14:paraId="16466219">
                  <w:pPr>
                    <w:pStyle w:val="28"/>
                    <w:keepNext w:val="0"/>
                    <w:keepLines w:val="0"/>
                    <w:pageBreakBefore w:val="0"/>
                    <w:widowControl/>
                    <w:kinsoku/>
                    <w:wordWrap/>
                    <w:overflowPunct/>
                    <w:topLinePunct w:val="0"/>
                    <w:autoSpaceDE/>
                    <w:autoSpaceDN/>
                    <w:bidi w:val="0"/>
                    <w:adjustRightInd/>
                    <w:snapToGrid w:val="0"/>
                    <w:spacing w:before="0" w:after="0" w:line="240" w:lineRule="auto"/>
                    <w:ind w:left="-6" w:leftChars="-3"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700</w:t>
                  </w:r>
                </w:p>
              </w:tc>
            </w:tr>
            <w:tr w14:paraId="59AB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226" w:type="pct"/>
                  <w:noWrap w:val="0"/>
                  <w:vAlign w:val="center"/>
                </w:tcPr>
                <w:p w14:paraId="1B94921E">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颗粒物</w:t>
                  </w:r>
                </w:p>
              </w:tc>
              <w:tc>
                <w:tcPr>
                  <w:tcW w:w="2773" w:type="pct"/>
                  <w:noWrap w:val="0"/>
                  <w:vAlign w:val="center"/>
                </w:tcPr>
                <w:p w14:paraId="321E1F7D">
                  <w:pPr>
                    <w:pStyle w:val="28"/>
                    <w:keepNext w:val="0"/>
                    <w:keepLines w:val="0"/>
                    <w:pageBreakBefore w:val="0"/>
                    <w:widowControl/>
                    <w:kinsoku/>
                    <w:wordWrap/>
                    <w:overflowPunct/>
                    <w:topLinePunct w:val="0"/>
                    <w:autoSpaceDE/>
                    <w:autoSpaceDN/>
                    <w:bidi w:val="0"/>
                    <w:adjustRightInd/>
                    <w:snapToGrid w:val="0"/>
                    <w:spacing w:before="0" w:after="0" w:line="240" w:lineRule="auto"/>
                    <w:ind w:left="-6" w:leftChars="-3"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100</w:t>
                  </w:r>
                </w:p>
              </w:tc>
            </w:tr>
            <w:tr w14:paraId="7624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226" w:type="pct"/>
                  <w:noWrap w:val="0"/>
                  <w:vAlign w:val="center"/>
                </w:tcPr>
                <w:p w14:paraId="72500764">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烟气黑度</w:t>
                  </w:r>
                </w:p>
              </w:tc>
              <w:tc>
                <w:tcPr>
                  <w:tcW w:w="2773" w:type="pct"/>
                  <w:noWrap w:val="0"/>
                  <w:vAlign w:val="center"/>
                </w:tcPr>
                <w:p w14:paraId="1482DB3A">
                  <w:pPr>
                    <w:pStyle w:val="28"/>
                    <w:keepNext w:val="0"/>
                    <w:keepLines w:val="0"/>
                    <w:pageBreakBefore w:val="0"/>
                    <w:widowControl/>
                    <w:kinsoku/>
                    <w:wordWrap/>
                    <w:overflowPunct/>
                    <w:topLinePunct w:val="0"/>
                    <w:autoSpaceDE/>
                    <w:autoSpaceDN/>
                    <w:bidi w:val="0"/>
                    <w:adjustRightInd/>
                    <w:snapToGrid w:val="0"/>
                    <w:spacing w:before="0" w:after="0" w:line="240" w:lineRule="auto"/>
                    <w:ind w:left="-6" w:leftChars="-3"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w:t>
                  </w:r>
                </w:p>
              </w:tc>
            </w:tr>
          </w:tbl>
          <w:p w14:paraId="3FEA3311">
            <w:pPr>
              <w:pStyle w:val="4"/>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jc w:val="both"/>
              <w:textAlignment w:val="baseline"/>
              <w:rPr>
                <w:rFonts w:hint="default"/>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厂界非甲烷总烃执行《摩托车及汽车配件制造表面涂装大气污染物排放标准》（DB 50/660-2016）中表3排放限值。《摩托车及汽车配件制造表面涂装大气污染物排放标准》（DB 50/660-2016）中对颗粒物无组织排放无要求，</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《大气污染物综合排放标准》（DB50/418-2016）</w:t>
            </w:r>
            <w:r>
              <w:rPr>
                <w:rFonts w:hint="eastAsia"/>
                <w:color w:val="000000" w:themeColor="text1"/>
                <w:kern w:val="0"/>
                <w:sz w:val="24"/>
                <w:szCs w:val="24"/>
                <w:lang w:val="en-US" w:eastAsia="zh-CN"/>
                <w14:textFill>
                  <w14:solidFill>
                    <w14:schemeClr w14:val="tx1"/>
                  </w14:solidFill>
                </w14:textFill>
              </w:rPr>
              <w:t>中颗粒物无组织排放限值为</w:t>
            </w:r>
            <w:r>
              <w:rPr>
                <w:rFonts w:hint="eastAsia"/>
                <w:b w:val="0"/>
                <w:bCs w:val="0"/>
                <w:color w:val="000000" w:themeColor="text1"/>
                <w:kern w:val="0"/>
                <w:sz w:val="24"/>
                <w:szCs w:val="24"/>
                <w:lang w:val="en-US" w:eastAsia="zh-CN"/>
                <w14:textFill>
                  <w14:solidFill>
                    <w14:schemeClr w14:val="tx1"/>
                  </w14:solidFill>
                </w14:textFill>
              </w:rPr>
              <w:t>1</w:t>
            </w:r>
            <w:r>
              <w:rPr>
                <w:rFonts w:hint="default" w:ascii="Times New Roman" w:hAnsi="Times New Roman" w:cs="Times New Roman"/>
                <w:b w:val="0"/>
                <w:bCs w:val="0"/>
                <w:color w:val="000000" w:themeColor="text1"/>
                <w:sz w:val="24"/>
                <w:szCs w:val="24"/>
                <w14:textFill>
                  <w14:solidFill>
                    <w14:schemeClr w14:val="tx1"/>
                  </w14:solidFill>
                </w14:textFill>
              </w:rPr>
              <w:t>mg/m</w:t>
            </w:r>
            <w:r>
              <w:rPr>
                <w:rFonts w:hint="default" w:ascii="Times New Roman" w:hAnsi="Times New Roman" w:cs="Times New Roman"/>
                <w:b w:val="0"/>
                <w:bCs w:val="0"/>
                <w:color w:val="000000" w:themeColor="text1"/>
                <w:sz w:val="24"/>
                <w:szCs w:val="24"/>
                <w:vertAlign w:val="superscript"/>
                <w14:textFill>
                  <w14:solidFill>
                    <w14:schemeClr w14:val="tx1"/>
                  </w14:solidFill>
                </w14:textFill>
              </w:rPr>
              <w:t>3</w:t>
            </w:r>
            <w:r>
              <w:rPr>
                <w:rFonts w:hint="eastAsia" w:ascii="Times New Roman" w:hAnsi="Times New Roman" w:cs="Times New Roman"/>
                <w:b w:val="0"/>
                <w:bCs w:val="0"/>
                <w:color w:val="000000" w:themeColor="text1"/>
                <w:sz w:val="24"/>
                <w:szCs w:val="24"/>
                <w:vertAlign w:val="baseline"/>
                <w:lang w:eastAsia="zh-CN"/>
                <w14:textFill>
                  <w14:solidFill>
                    <w14:schemeClr w14:val="tx1"/>
                  </w14:solidFill>
                </w14:textFill>
              </w:rPr>
              <w:t>，</w:t>
            </w:r>
            <w:r>
              <w:rPr>
                <w:rFonts w:hint="eastAsia" w:ascii="Times New Roman" w:hAnsi="Times New Roman" w:cs="Times New Roman"/>
                <w:b w:val="0"/>
                <w:bCs w:val="0"/>
                <w:color w:val="000000" w:themeColor="text1"/>
                <w:sz w:val="24"/>
                <w:szCs w:val="24"/>
                <w:vertAlign w:val="baseline"/>
                <w:lang w:val="en-US" w:eastAsia="zh-CN"/>
                <w14:textFill>
                  <w14:solidFill>
                    <w14:schemeClr w14:val="tx1"/>
                  </w14:solidFill>
                </w14:textFill>
              </w:rPr>
              <w:t>结合</w:t>
            </w:r>
            <w:r>
              <w:rPr>
                <w:rFonts w:hint="eastAsia" w:cs="Times New Roman"/>
                <w:b w:val="0"/>
                <w:bCs w:val="0"/>
                <w:color w:val="000000" w:themeColor="text1"/>
                <w:sz w:val="24"/>
                <w:szCs w:val="24"/>
                <w:vertAlign w:val="baseline"/>
                <w:lang w:val="en-US" w:eastAsia="zh-CN"/>
                <w14:textFill>
                  <w14:solidFill>
                    <w14:schemeClr w14:val="tx1"/>
                  </w14:solidFill>
                </w14:textFill>
              </w:rPr>
              <w:t>各</w:t>
            </w:r>
            <w:r>
              <w:rPr>
                <w:rFonts w:hint="eastAsia" w:ascii="Times New Roman" w:hAnsi="Times New Roman" w:cs="Times New Roman"/>
                <w:b w:val="0"/>
                <w:bCs w:val="0"/>
                <w:color w:val="000000" w:themeColor="text1"/>
                <w:sz w:val="24"/>
                <w:szCs w:val="24"/>
                <w:vertAlign w:val="baseline"/>
                <w:lang w:val="en-US" w:eastAsia="zh-CN"/>
                <w14:textFill>
                  <w14:solidFill>
                    <w14:schemeClr w14:val="tx1"/>
                  </w14:solidFill>
                </w14:textFill>
              </w:rPr>
              <w:t>标准，</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项目颗粒物无组织从严执行《大气污染物综合排放标准》（DB50/418-2016）</w:t>
            </w:r>
            <w:r>
              <w:rPr>
                <w:rFonts w:hint="eastAsia"/>
                <w:color w:val="000000" w:themeColor="text1"/>
                <w:kern w:val="0"/>
                <w:sz w:val="24"/>
                <w:szCs w:val="24"/>
                <w:lang w:val="en-US" w:eastAsia="zh-CN"/>
                <w14:textFill>
                  <w14:solidFill>
                    <w14:schemeClr w14:val="tx1"/>
                  </w14:solidFill>
                </w14:textFill>
              </w:rPr>
              <w:t>中表1标准限值，</w:t>
            </w:r>
            <w:r>
              <w:rPr>
                <w:rFonts w:hint="eastAsia"/>
                <w:color w:val="000000" w:themeColor="text1"/>
                <w:sz w:val="24"/>
                <w:szCs w:val="24"/>
                <w:lang w:val="en-US" w:eastAsia="zh-CN"/>
                <w14:textFill>
                  <w14:solidFill>
                    <w14:schemeClr w14:val="tx1"/>
                  </w14:solidFill>
                </w14:textFill>
              </w:rPr>
              <w:t>喷涂</w:t>
            </w:r>
            <w:r>
              <w:rPr>
                <w:rFonts w:hint="eastAsia"/>
                <w:color w:val="000000" w:themeColor="text1"/>
                <w:sz w:val="24"/>
                <w:szCs w:val="24"/>
                <w14:textFill>
                  <w14:solidFill>
                    <w14:schemeClr w14:val="tx1"/>
                  </w14:solidFill>
                </w14:textFill>
              </w:rPr>
              <w:t>过程臭气浓度执行《恶臭污染物排放标准》（GB14554-93）二级标准</w:t>
            </w:r>
            <w:r>
              <w:rPr>
                <w:rFonts w:hint="eastAsia"/>
                <w:color w:val="000000" w:themeColor="text1"/>
                <w:sz w:val="24"/>
                <w:szCs w:val="24"/>
                <w:lang w:eastAsia="zh-CN"/>
                <w14:textFill>
                  <w14:solidFill>
                    <w14:schemeClr w14:val="tx1"/>
                  </w14:solidFill>
                </w14:textFill>
              </w:rPr>
              <w:t>，</w:t>
            </w:r>
            <w:r>
              <w:rPr>
                <w:rFonts w:hint="eastAsia"/>
                <w:color w:val="000000" w:themeColor="text1"/>
                <w:kern w:val="0"/>
                <w:sz w:val="24"/>
                <w:szCs w:val="24"/>
                <w:lang w:val="en-US" w:eastAsia="zh-CN"/>
                <w14:textFill>
                  <w14:solidFill>
                    <w14:schemeClr w14:val="tx1"/>
                  </w14:solidFill>
                </w14:textFill>
              </w:rPr>
              <w:t>详见下表。</w:t>
            </w:r>
          </w:p>
          <w:p w14:paraId="681F7470">
            <w:pPr>
              <w:pStyle w:val="4"/>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0" w:firstLineChars="0"/>
              <w:jc w:val="center"/>
              <w:textAlignment w:val="baseline"/>
              <w:rPr>
                <w:rFonts w:hint="eastAsia"/>
                <w:b/>
                <w:bCs/>
                <w:color w:val="000000" w:themeColor="text1"/>
                <w:kern w:val="0"/>
                <w:sz w:val="24"/>
                <w:szCs w:val="24"/>
                <w:lang w:val="en-US" w:eastAsia="zh-CN"/>
                <w14:textFill>
                  <w14:solidFill>
                    <w14:schemeClr w14:val="tx1"/>
                  </w14:solidFill>
                </w14:textFill>
              </w:rPr>
            </w:pPr>
            <w:r>
              <w:rPr>
                <w:rFonts w:hint="eastAsia"/>
                <w:b/>
                <w:bCs/>
                <w:color w:val="000000" w:themeColor="text1"/>
                <w:kern w:val="0"/>
                <w:sz w:val="24"/>
                <w:szCs w:val="24"/>
                <w:lang w:val="en-US" w:eastAsia="zh-CN"/>
                <w14:textFill>
                  <w14:solidFill>
                    <w14:schemeClr w14:val="tx1"/>
                  </w14:solidFill>
                </w14:textFill>
              </w:rPr>
              <w:t>表3-8 厂界无组织废气执行标准</w:t>
            </w:r>
          </w:p>
          <w:tbl>
            <w:tblPr>
              <w:tblStyle w:val="21"/>
              <w:tblW w:w="47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2370"/>
              <w:gridCol w:w="3942"/>
            </w:tblGrid>
            <w:tr w14:paraId="201C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023" w:type="pct"/>
                  <w:noWrap w:val="0"/>
                  <w:vAlign w:val="center"/>
                </w:tcPr>
                <w:p w14:paraId="6AD91E4E">
                  <w:pPr>
                    <w:pStyle w:val="2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1493" w:type="pct"/>
                  <w:noWrap w:val="0"/>
                  <w:vAlign w:val="center"/>
                </w:tcPr>
                <w:p w14:paraId="6FF4C9FD">
                  <w:pPr>
                    <w:pStyle w:val="28"/>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排放浓度</w:t>
                  </w:r>
                  <w:r>
                    <w:rPr>
                      <w:rFonts w:hint="default" w:ascii="Times New Roman" w:hAnsi="Times New Roman" w:cs="Times New Roman"/>
                      <w:b/>
                      <w:bCs/>
                      <w:color w:val="000000" w:themeColor="text1"/>
                      <w:sz w:val="21"/>
                      <w:szCs w:val="21"/>
                      <w:lang w:val="en-US" w:eastAsia="zh-CN"/>
                      <w14:textFill>
                        <w14:solidFill>
                          <w14:schemeClr w14:val="tx1"/>
                        </w14:solidFill>
                      </w14:textFill>
                    </w:rPr>
                    <w:t>限值</w:t>
                  </w:r>
                  <w:r>
                    <w:rPr>
                      <w:rFonts w:hint="default" w:ascii="Times New Roman" w:hAnsi="Times New Roman" w:cs="Times New Roman"/>
                      <w:b/>
                      <w:bCs/>
                      <w:color w:val="000000" w:themeColor="text1"/>
                      <w:sz w:val="21"/>
                      <w:szCs w:val="21"/>
                      <w14:textFill>
                        <w14:solidFill>
                          <w14:schemeClr w14:val="tx1"/>
                        </w14:solidFill>
                      </w14:textFill>
                    </w:rPr>
                    <w:t>（mg/m</w:t>
                  </w:r>
                  <w:r>
                    <w:rPr>
                      <w:rFonts w:hint="default" w:ascii="Times New Roman" w:hAnsi="Times New Roman" w:cs="Times New Roman"/>
                      <w:b/>
                      <w:bCs/>
                      <w:color w:val="000000" w:themeColor="text1"/>
                      <w:sz w:val="21"/>
                      <w:szCs w:val="21"/>
                      <w:vertAlign w:val="superscript"/>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w:t>
                  </w:r>
                </w:p>
              </w:tc>
              <w:tc>
                <w:tcPr>
                  <w:tcW w:w="2483" w:type="pct"/>
                  <w:noWrap w:val="0"/>
                  <w:vAlign w:val="center"/>
                </w:tcPr>
                <w:p w14:paraId="422CC876">
                  <w:pPr>
                    <w:pStyle w:val="28"/>
                    <w:keepNext w:val="0"/>
                    <w:keepLines w:val="0"/>
                    <w:pageBreakBefore w:val="0"/>
                    <w:widowControl/>
                    <w:kinsoku/>
                    <w:wordWrap/>
                    <w:overflowPunct/>
                    <w:topLinePunct w:val="0"/>
                    <w:autoSpaceDE/>
                    <w:autoSpaceDN/>
                    <w:bidi w:val="0"/>
                    <w:adjustRightInd/>
                    <w:snapToGrid w:val="0"/>
                    <w:spacing w:before="0" w:after="0" w:line="240" w:lineRule="auto"/>
                    <w:ind w:right="0" w:rightChars="0"/>
                    <w:jc w:val="center"/>
                    <w:textAlignment w:val="auto"/>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标准</w:t>
                  </w:r>
                </w:p>
              </w:tc>
            </w:tr>
            <w:tr w14:paraId="45118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23" w:type="pct"/>
                  <w:noWrap w:val="0"/>
                  <w:vAlign w:val="center"/>
                </w:tcPr>
                <w:p w14:paraId="18A6931C">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非甲烷总烃</w:t>
                  </w:r>
                </w:p>
              </w:tc>
              <w:tc>
                <w:tcPr>
                  <w:tcW w:w="1493" w:type="pct"/>
                  <w:noWrap w:val="0"/>
                  <w:vAlign w:val="center"/>
                </w:tcPr>
                <w:p w14:paraId="3AFF0E1D">
                  <w:pPr>
                    <w:pStyle w:val="28"/>
                    <w:keepNext w:val="0"/>
                    <w:keepLines w:val="0"/>
                    <w:pageBreakBefore w:val="0"/>
                    <w:widowControl/>
                    <w:kinsoku/>
                    <w:wordWrap/>
                    <w:overflowPunct/>
                    <w:topLinePunct w:val="0"/>
                    <w:autoSpaceDE/>
                    <w:autoSpaceDN/>
                    <w:bidi w:val="0"/>
                    <w:adjustRightInd/>
                    <w:snapToGrid w:val="0"/>
                    <w:spacing w:before="0" w:after="0" w:line="240" w:lineRule="auto"/>
                    <w:ind w:left="-6" w:leftChars="-3"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w:t>
                  </w:r>
                </w:p>
              </w:tc>
              <w:tc>
                <w:tcPr>
                  <w:tcW w:w="2483" w:type="pct"/>
                  <w:noWrap w:val="0"/>
                  <w:vAlign w:val="center"/>
                </w:tcPr>
                <w:p w14:paraId="2E1C51A1">
                  <w:pPr>
                    <w:pStyle w:val="28"/>
                    <w:keepNext w:val="0"/>
                    <w:keepLines w:val="0"/>
                    <w:pageBreakBefore w:val="0"/>
                    <w:widowControl/>
                    <w:kinsoku/>
                    <w:wordWrap/>
                    <w:overflowPunct/>
                    <w:topLinePunct w:val="0"/>
                    <w:autoSpaceDE/>
                    <w:autoSpaceDN/>
                    <w:bidi w:val="0"/>
                    <w:adjustRightInd/>
                    <w:snapToGrid w:val="0"/>
                    <w:spacing w:before="0" w:after="0" w:line="240" w:lineRule="auto"/>
                    <w:ind w:left="-6" w:leftChars="-3" w:right="0" w:rightChars="0"/>
                    <w:jc w:val="both"/>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《摩托车及汽车配件制造表面涂装大气污染物排放标准》（DB 50/660-2016）</w:t>
                  </w:r>
                </w:p>
              </w:tc>
            </w:tr>
            <w:tr w14:paraId="58C7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023" w:type="pct"/>
                  <w:noWrap w:val="0"/>
                  <w:vAlign w:val="center"/>
                </w:tcPr>
                <w:p w14:paraId="02B9E926">
                  <w:pPr>
                    <w:pStyle w:val="28"/>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颗粒物</w:t>
                  </w:r>
                </w:p>
              </w:tc>
              <w:tc>
                <w:tcPr>
                  <w:tcW w:w="1493" w:type="pct"/>
                  <w:noWrap w:val="0"/>
                  <w:vAlign w:val="center"/>
                </w:tcPr>
                <w:p w14:paraId="27117470">
                  <w:pPr>
                    <w:pStyle w:val="28"/>
                    <w:keepNext w:val="0"/>
                    <w:keepLines w:val="0"/>
                    <w:pageBreakBefore w:val="0"/>
                    <w:widowControl/>
                    <w:kinsoku/>
                    <w:wordWrap/>
                    <w:overflowPunct/>
                    <w:topLinePunct w:val="0"/>
                    <w:autoSpaceDE/>
                    <w:autoSpaceDN/>
                    <w:bidi w:val="0"/>
                    <w:adjustRightInd/>
                    <w:snapToGrid w:val="0"/>
                    <w:spacing w:before="0" w:after="0" w:line="240" w:lineRule="auto"/>
                    <w:ind w:left="-6" w:leftChars="-3" w:right="0" w:rightChars="0"/>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w:t>
                  </w:r>
                </w:p>
              </w:tc>
              <w:tc>
                <w:tcPr>
                  <w:tcW w:w="2483" w:type="pct"/>
                  <w:noWrap w:val="0"/>
                  <w:vAlign w:val="center"/>
                </w:tcPr>
                <w:p w14:paraId="4EB6A304">
                  <w:pPr>
                    <w:pStyle w:val="28"/>
                    <w:keepNext w:val="0"/>
                    <w:keepLines w:val="0"/>
                    <w:pageBreakBefore w:val="0"/>
                    <w:widowControl/>
                    <w:kinsoku/>
                    <w:wordWrap/>
                    <w:overflowPunct/>
                    <w:topLinePunct w:val="0"/>
                    <w:autoSpaceDE/>
                    <w:autoSpaceDN/>
                    <w:bidi w:val="0"/>
                    <w:adjustRightInd/>
                    <w:snapToGrid w:val="0"/>
                    <w:spacing w:before="0" w:after="0" w:line="240" w:lineRule="auto"/>
                    <w:ind w:left="-6" w:leftChars="-3" w:right="0" w:rightChars="0"/>
                    <w:jc w:val="both"/>
                    <w:textAlignment w:val="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《大气污染物综合排放标准》（DB50/418-2016）</w:t>
                  </w:r>
                </w:p>
              </w:tc>
            </w:tr>
          </w:tbl>
          <w:p w14:paraId="014D2202">
            <w:pPr>
              <w:pStyle w:val="4"/>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厂房外执行《挥发性有机物无组织排放控制标准》（GB37822-2019）表A.1特别排放限值，详见下表。</w:t>
            </w:r>
          </w:p>
          <w:p w14:paraId="2B7AF8BA">
            <w:pPr>
              <w:jc w:val="center"/>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 xml:space="preserve">表3-9 </w:t>
            </w:r>
            <w:r>
              <w:rPr>
                <w:rFonts w:hint="eastAsia"/>
                <w:b/>
                <w:bCs/>
                <w:color w:val="000000" w:themeColor="text1"/>
                <w:kern w:val="0"/>
                <w:sz w:val="24"/>
                <w:szCs w:val="24"/>
                <w:lang w:val="en-US" w:eastAsia="zh-CN"/>
                <w14:textFill>
                  <w14:solidFill>
                    <w14:schemeClr w14:val="tx1"/>
                  </w14:solidFill>
                </w14:textFill>
              </w:rPr>
              <w:t>《挥发性有机物无组织排放控制标准》（GB37822-2019）</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27"/>
              <w:gridCol w:w="2575"/>
              <w:gridCol w:w="1934"/>
            </w:tblGrid>
            <w:tr w14:paraId="7075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43" w:type="dxa"/>
                  <w:noWrap w:val="0"/>
                  <w:vAlign w:val="center"/>
                </w:tcPr>
                <w:p w14:paraId="75C2CCC4">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污染物</w:t>
                  </w:r>
                </w:p>
              </w:tc>
              <w:tc>
                <w:tcPr>
                  <w:tcW w:w="1770" w:type="dxa"/>
                  <w:noWrap w:val="0"/>
                  <w:vAlign w:val="center"/>
                </w:tcPr>
                <w:p w14:paraId="162DEC7C">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特别排放限值（mg/m</w:t>
                  </w:r>
                  <w:r>
                    <w:rPr>
                      <w:rFonts w:hint="default" w:ascii="Times New Roman" w:hAnsi="Times New Roman" w:eastAsia="宋体" w:cs="Times New Roman"/>
                      <w:color w:val="000000" w:themeColor="text1"/>
                      <w:kern w:val="2"/>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w:t>
                  </w:r>
                </w:p>
              </w:tc>
              <w:tc>
                <w:tcPr>
                  <w:tcW w:w="2642" w:type="dxa"/>
                  <w:noWrap w:val="0"/>
                  <w:vAlign w:val="center"/>
                </w:tcPr>
                <w:p w14:paraId="3BE15C8C">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限值含义</w:t>
                  </w:r>
                </w:p>
              </w:tc>
              <w:tc>
                <w:tcPr>
                  <w:tcW w:w="1983" w:type="dxa"/>
                  <w:noWrap w:val="0"/>
                  <w:vAlign w:val="center"/>
                </w:tcPr>
                <w:p w14:paraId="312873AC">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无组织排放监控位置</w:t>
                  </w:r>
                </w:p>
              </w:tc>
            </w:tr>
            <w:tr w14:paraId="42AE4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43" w:type="dxa"/>
                  <w:vMerge w:val="restart"/>
                  <w:noWrap w:val="0"/>
                  <w:vAlign w:val="center"/>
                </w:tcPr>
                <w:p w14:paraId="65FBCDDC">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NMHC</w:t>
                  </w:r>
                </w:p>
                <w:p w14:paraId="7424295A">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（非甲烷总烃）</w:t>
                  </w:r>
                </w:p>
              </w:tc>
              <w:tc>
                <w:tcPr>
                  <w:tcW w:w="1770" w:type="dxa"/>
                  <w:noWrap w:val="0"/>
                  <w:vAlign w:val="center"/>
                </w:tcPr>
                <w:p w14:paraId="1EB4E2BE">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6</w:t>
                  </w:r>
                </w:p>
              </w:tc>
              <w:tc>
                <w:tcPr>
                  <w:tcW w:w="2642" w:type="dxa"/>
                  <w:noWrap w:val="0"/>
                  <w:vAlign w:val="center"/>
                </w:tcPr>
                <w:p w14:paraId="2B99B682">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监控点处1h平均浓度值</w:t>
                  </w:r>
                </w:p>
              </w:tc>
              <w:tc>
                <w:tcPr>
                  <w:tcW w:w="1983" w:type="dxa"/>
                  <w:vMerge w:val="restart"/>
                  <w:noWrap w:val="0"/>
                  <w:vAlign w:val="center"/>
                </w:tcPr>
                <w:p w14:paraId="0946C7C6">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在厂房外设置监控点</w:t>
                  </w:r>
                </w:p>
              </w:tc>
            </w:tr>
            <w:tr w14:paraId="3C8D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743" w:type="dxa"/>
                  <w:vMerge w:val="continue"/>
                  <w:noWrap w:val="0"/>
                  <w:vAlign w:val="center"/>
                </w:tcPr>
                <w:p w14:paraId="18D15A7E">
                  <w:pPr>
                    <w:pStyle w:val="2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c>
                <w:tcPr>
                  <w:tcW w:w="1770" w:type="dxa"/>
                  <w:noWrap w:val="0"/>
                  <w:vAlign w:val="center"/>
                </w:tcPr>
                <w:p w14:paraId="77F100AC">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20</w:t>
                  </w:r>
                </w:p>
              </w:tc>
              <w:tc>
                <w:tcPr>
                  <w:tcW w:w="2642" w:type="dxa"/>
                  <w:noWrap w:val="0"/>
                  <w:vAlign w:val="center"/>
                </w:tcPr>
                <w:p w14:paraId="5AA46197">
                  <w:pPr>
                    <w:keepNext w:val="0"/>
                    <w:keepLines w:val="0"/>
                    <w:pageBreakBefore w:val="0"/>
                    <w:kinsoku/>
                    <w:wordWrap/>
                    <w:overflowPunct/>
                    <w:topLinePunct w:val="0"/>
                    <w:autoSpaceDE/>
                    <w:autoSpaceDN/>
                    <w:bidi w:val="0"/>
                    <w:adjustRightInd/>
                    <w:spacing w:line="240" w:lineRule="auto"/>
                    <w:ind w:right="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监控点处任意一次浓度值</w:t>
                  </w:r>
                </w:p>
              </w:tc>
              <w:tc>
                <w:tcPr>
                  <w:tcW w:w="1983" w:type="dxa"/>
                  <w:vMerge w:val="continue"/>
                  <w:noWrap w:val="0"/>
                  <w:vAlign w:val="center"/>
                </w:tcPr>
                <w:p w14:paraId="49924CD0">
                  <w:pPr>
                    <w:pStyle w:val="28"/>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bl>
          <w:p w14:paraId="5B0D71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eastAsiaTheme="minorEastAsia"/>
                <w:b/>
                <w:color w:val="000000" w:themeColor="text1"/>
                <w:kern w:val="0"/>
                <w:sz w:val="24"/>
                <w:szCs w:val="24"/>
                <w:lang w:val="en-US" w:eastAsia="zh-CN"/>
                <w14:textFill>
                  <w14:solidFill>
                    <w14:schemeClr w14:val="tx1"/>
                  </w14:solidFill>
                </w14:textFill>
              </w:rPr>
            </w:pPr>
            <w:r>
              <w:rPr>
                <w:rFonts w:hint="default" w:eastAsiaTheme="minorEastAsia"/>
                <w:b/>
                <w:color w:val="000000" w:themeColor="text1"/>
                <w:kern w:val="0"/>
                <w:sz w:val="24"/>
                <w:szCs w:val="24"/>
                <w:lang w:val="en-US" w:eastAsia="zh-CN"/>
                <w14:textFill>
                  <w14:solidFill>
                    <w14:schemeClr w14:val="tx1"/>
                  </w14:solidFill>
                </w14:textFill>
              </w:rPr>
              <w:t>表3-</w:t>
            </w:r>
            <w:r>
              <w:rPr>
                <w:rFonts w:hint="eastAsia" w:eastAsiaTheme="minorEastAsia"/>
                <w:b/>
                <w:color w:val="000000" w:themeColor="text1"/>
                <w:kern w:val="0"/>
                <w:sz w:val="24"/>
                <w:szCs w:val="24"/>
                <w:lang w:val="en-US" w:eastAsia="zh-CN"/>
                <w14:textFill>
                  <w14:solidFill>
                    <w14:schemeClr w14:val="tx1"/>
                  </w14:solidFill>
                </w14:textFill>
              </w:rPr>
              <w:t>10</w:t>
            </w:r>
            <w:r>
              <w:rPr>
                <w:rFonts w:hint="default" w:eastAsiaTheme="minorEastAsia"/>
                <w:b/>
                <w:color w:val="000000" w:themeColor="text1"/>
                <w:kern w:val="0"/>
                <w:sz w:val="24"/>
                <w:szCs w:val="24"/>
                <w:lang w:val="en-US" w:eastAsia="zh-CN"/>
                <w14:textFill>
                  <w14:solidFill>
                    <w14:schemeClr w14:val="tx1"/>
                  </w14:solidFill>
                </w14:textFill>
              </w:rPr>
              <w:t xml:space="preserve"> 《恶臭污染物排放标准》（GB14554-93）</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698"/>
              <w:gridCol w:w="1856"/>
              <w:gridCol w:w="3203"/>
            </w:tblGrid>
            <w:tr w14:paraId="20DB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pct"/>
                  <w:noWrap w:val="0"/>
                  <w:vAlign w:val="center"/>
                </w:tcPr>
                <w:p w14:paraId="030193C1">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控制项目</w:t>
                  </w:r>
                </w:p>
              </w:tc>
              <w:tc>
                <w:tcPr>
                  <w:tcW w:w="1069" w:type="pct"/>
                  <w:noWrap w:val="0"/>
                  <w:vAlign w:val="center"/>
                </w:tcPr>
                <w:p w14:paraId="69D04A5C">
                  <w:pPr>
                    <w:keepNext w:val="0"/>
                    <w:keepLines w:val="0"/>
                    <w:suppressLineNumbers w:val="0"/>
                    <w:shd w:val="clear" w:color="auto" w:fill="auto"/>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排气筒高度（m）</w:t>
                  </w:r>
                </w:p>
              </w:tc>
              <w:tc>
                <w:tcPr>
                  <w:tcW w:w="1169" w:type="pct"/>
                  <w:noWrap w:val="0"/>
                  <w:vAlign w:val="center"/>
                </w:tcPr>
                <w:p w14:paraId="656E8F5E">
                  <w:pPr>
                    <w:keepNext w:val="0"/>
                    <w:keepLines w:val="0"/>
                    <w:suppressLineNumbers w:val="0"/>
                    <w:shd w:val="clear" w:color="auto" w:fill="auto"/>
                    <w:spacing w:before="0" w:beforeAutospacing="0" w:after="0" w:afterAutospacing="0"/>
                    <w:ind w:left="0" w:right="0"/>
                    <w:jc w:val="center"/>
                    <w:rPr>
                      <w:rFonts w:hint="eastAsia" w:eastAsia="宋体"/>
                      <w:b/>
                      <w:bCs/>
                      <w:color w:val="000000" w:themeColor="text1"/>
                      <w:szCs w:val="21"/>
                      <w:highlight w:val="none"/>
                      <w:lang w:eastAsia="zh-CN"/>
                      <w14:textFill>
                        <w14:solidFill>
                          <w14:schemeClr w14:val="tx1"/>
                        </w14:solidFill>
                      </w14:textFill>
                    </w:rPr>
                  </w:pPr>
                  <w:r>
                    <w:rPr>
                      <w:rFonts w:hint="eastAsia"/>
                      <w:b/>
                      <w:bCs/>
                      <w:color w:val="000000" w:themeColor="text1"/>
                      <w:highlight w:val="none"/>
                      <w:lang w:eastAsia="zh-CN"/>
                      <w14:textFill>
                        <w14:solidFill>
                          <w14:schemeClr w14:val="tx1"/>
                        </w14:solidFill>
                      </w14:textFill>
                    </w:rPr>
                    <w:t>标准限值</w:t>
                  </w:r>
                </w:p>
              </w:tc>
              <w:tc>
                <w:tcPr>
                  <w:tcW w:w="2017" w:type="pct"/>
                  <w:noWrap w:val="0"/>
                  <w:vAlign w:val="center"/>
                </w:tcPr>
                <w:p w14:paraId="525F2E8A">
                  <w:pPr>
                    <w:keepNext w:val="0"/>
                    <w:keepLines w:val="0"/>
                    <w:suppressLineNumbers w:val="0"/>
                    <w:shd w:val="clear" w:color="auto" w:fill="auto"/>
                    <w:spacing w:before="0" w:beforeAutospacing="0" w:after="0" w:afterAutospacing="0"/>
                    <w:ind w:left="0" w:right="0"/>
                    <w:jc w:val="center"/>
                    <w:rPr>
                      <w:rFonts w:hint="eastAsia" w:eastAsia="宋体"/>
                      <w:b/>
                      <w:bCs/>
                      <w:color w:val="000000" w:themeColor="text1"/>
                      <w:szCs w:val="21"/>
                      <w:highlight w:val="none"/>
                      <w:lang w:eastAsia="zh-CN"/>
                      <w14:textFill>
                        <w14:solidFill>
                          <w14:schemeClr w14:val="tx1"/>
                        </w14:solidFill>
                      </w14:textFill>
                    </w:rPr>
                  </w:pPr>
                  <w:r>
                    <w:rPr>
                      <w:rFonts w:hint="eastAsia"/>
                      <w:b/>
                      <w:bCs/>
                      <w:color w:val="000000" w:themeColor="text1"/>
                      <w:szCs w:val="21"/>
                      <w:highlight w:val="none"/>
                      <w14:textFill>
                        <w14:solidFill>
                          <w14:schemeClr w14:val="tx1"/>
                        </w14:solidFill>
                      </w14:textFill>
                    </w:rPr>
                    <w:t>恶臭污染物厂界标准</w:t>
                  </w:r>
                </w:p>
              </w:tc>
            </w:tr>
            <w:tr w14:paraId="13632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3" w:type="pct"/>
                  <w:noWrap w:val="0"/>
                  <w:vAlign w:val="center"/>
                </w:tcPr>
                <w:p w14:paraId="074407B0">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臭气浓度</w:t>
                  </w:r>
                </w:p>
              </w:tc>
              <w:tc>
                <w:tcPr>
                  <w:tcW w:w="1069" w:type="pct"/>
                  <w:noWrap w:val="0"/>
                  <w:vAlign w:val="center"/>
                </w:tcPr>
                <w:p w14:paraId="3A1030F9">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15</w:t>
                  </w:r>
                </w:p>
              </w:tc>
              <w:tc>
                <w:tcPr>
                  <w:tcW w:w="1169" w:type="pct"/>
                  <w:noWrap w:val="0"/>
                  <w:vAlign w:val="center"/>
                </w:tcPr>
                <w:p w14:paraId="46BA3A6C">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2000</w:t>
                  </w:r>
                  <w:r>
                    <w:rPr>
                      <w:rFonts w:hint="eastAsia"/>
                      <w:b w:val="0"/>
                      <w:bCs w:val="0"/>
                      <w:color w:val="000000" w:themeColor="text1"/>
                      <w:szCs w:val="21"/>
                      <w:highlight w:val="none"/>
                      <w:lang w:eastAsia="zh-CN"/>
                      <w14:textFill>
                        <w14:solidFill>
                          <w14:schemeClr w14:val="tx1"/>
                        </w14:solidFill>
                      </w14:textFill>
                    </w:rPr>
                    <w:t>（无量纲）</w:t>
                  </w:r>
                </w:p>
              </w:tc>
              <w:tc>
                <w:tcPr>
                  <w:tcW w:w="2017" w:type="pct"/>
                  <w:noWrap w:val="0"/>
                  <w:vAlign w:val="center"/>
                </w:tcPr>
                <w:p w14:paraId="43A321C4">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20</w:t>
                  </w:r>
                  <w:r>
                    <w:rPr>
                      <w:rFonts w:hint="eastAsia"/>
                      <w:b w:val="0"/>
                      <w:bCs w:val="0"/>
                      <w:color w:val="000000" w:themeColor="text1"/>
                      <w:szCs w:val="21"/>
                      <w:highlight w:val="none"/>
                      <w:lang w:eastAsia="zh-CN"/>
                      <w14:textFill>
                        <w14:solidFill>
                          <w14:schemeClr w14:val="tx1"/>
                        </w14:solidFill>
                      </w14:textFill>
                    </w:rPr>
                    <w:t>（无量纲）</w:t>
                  </w:r>
                </w:p>
              </w:tc>
            </w:tr>
          </w:tbl>
          <w:p w14:paraId="1CE0EB45">
            <w:pPr>
              <w:keepNext w:val="0"/>
              <w:keepLines w:val="0"/>
              <w:suppressLineNumbers w:val="0"/>
              <w:adjustRightInd w:val="0"/>
              <w:snapToGrid w:val="0"/>
              <w:spacing w:before="0" w:beforeLines="50" w:beforeAutospacing="0" w:after="0" w:afterAutospacing="0" w:line="360" w:lineRule="auto"/>
              <w:ind w:left="0" w:right="0"/>
              <w:rPr>
                <w:rFonts w:hint="default"/>
                <w:b/>
                <w:color w:val="000000" w:themeColor="text1"/>
                <w:kern w:val="0"/>
                <w:sz w:val="24"/>
                <w:szCs w:val="24"/>
                <w14:textFill>
                  <w14:solidFill>
                    <w14:schemeClr w14:val="tx1"/>
                  </w14:solidFill>
                </w14:textFill>
              </w:rPr>
            </w:pPr>
            <w:r>
              <w:rPr>
                <w:rFonts w:hint="default"/>
                <w:b/>
                <w:color w:val="000000" w:themeColor="text1"/>
                <w:kern w:val="0"/>
                <w:sz w:val="24"/>
                <w:szCs w:val="24"/>
                <w14:textFill>
                  <w14:solidFill>
                    <w14:schemeClr w14:val="tx1"/>
                  </w14:solidFill>
                </w14:textFill>
              </w:rPr>
              <w:t>2、废水排放标准</w:t>
            </w:r>
          </w:p>
          <w:p w14:paraId="2A0F036E">
            <w:pPr>
              <w:pStyle w:val="12"/>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eastAsia"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本项目</w:t>
            </w:r>
            <w:r>
              <w:rPr>
                <w:rFonts w:hint="default" w:ascii="Times New Roman" w:hAnsi="Times New Roman" w:cs="Times New Roman"/>
                <w:color w:val="000000" w:themeColor="text1"/>
                <w:sz w:val="24"/>
                <w:szCs w:val="24"/>
                <w:lang w:val="en-US" w:eastAsia="zh-CN"/>
                <w14:textFill>
                  <w14:solidFill>
                    <w14:schemeClr w14:val="tx1"/>
                  </w14:solidFill>
                </w14:textFill>
              </w:rPr>
              <w:t>洗枪废水回用于调漆；洗手废水经油水分离器预处理；水帘湿式漆雾净化废水经</w:t>
            </w:r>
            <w:r>
              <w:rPr>
                <w:rFonts w:hint="eastAsia" w:ascii="Times New Roman" w:hAnsi="Times New Roman" w:cs="Times New Roman"/>
                <w:color w:val="000000" w:themeColor="text1"/>
                <w:sz w:val="24"/>
                <w:szCs w:val="24"/>
                <w:lang w:val="en-US" w:eastAsia="zh-CN"/>
                <w14:textFill>
                  <w14:solidFill>
                    <w14:schemeClr w14:val="tx1"/>
                  </w14:solidFill>
                </w14:textFill>
              </w:rPr>
              <w:t>一体化生产废水处理站</w:t>
            </w:r>
            <w:r>
              <w:rPr>
                <w:rFonts w:hint="default" w:ascii="Times New Roman" w:hAnsi="Times New Roman" w:cs="Times New Roman"/>
                <w:color w:val="000000" w:themeColor="text1"/>
                <w:sz w:val="24"/>
                <w:szCs w:val="24"/>
                <w:lang w:val="en-US" w:eastAsia="zh-CN"/>
                <w14:textFill>
                  <w14:solidFill>
                    <w14:schemeClr w14:val="tx1"/>
                  </w14:solidFill>
                </w14:textFill>
              </w:rPr>
              <w:t>预处理；生活污水、</w:t>
            </w:r>
            <w:r>
              <w:rPr>
                <w:rFonts w:hint="eastAsia" w:ascii="Times New Roman" w:hAnsi="Times New Roman" w:cs="Times New Roman"/>
                <w:color w:val="000000" w:themeColor="text1"/>
                <w:sz w:val="24"/>
                <w:szCs w:val="24"/>
                <w:lang w:val="en-US" w:eastAsia="zh-CN"/>
                <w14:textFill>
                  <w14:solidFill>
                    <w14:schemeClr w14:val="tx1"/>
                  </w14:solidFill>
                </w14:textFill>
              </w:rPr>
              <w:t>洗手废水</w:t>
            </w:r>
            <w:r>
              <w:rPr>
                <w:rFonts w:hint="default" w:ascii="Times New Roman" w:hAnsi="Times New Roman" w:cs="Times New Roman"/>
                <w:color w:val="000000" w:themeColor="text1"/>
                <w:sz w:val="24"/>
                <w:szCs w:val="24"/>
                <w:lang w:val="en-US" w:eastAsia="zh-CN"/>
                <w14:textFill>
                  <w14:solidFill>
                    <w14:schemeClr w14:val="tx1"/>
                  </w14:solidFill>
                </w14:textFill>
              </w:rPr>
              <w:t>与</w:t>
            </w:r>
            <w:r>
              <w:rPr>
                <w:rFonts w:hint="eastAsia" w:ascii="Times New Roman" w:hAnsi="Times New Roman" w:cs="Times New Roman"/>
                <w:color w:val="000000" w:themeColor="text1"/>
                <w:sz w:val="24"/>
                <w:szCs w:val="24"/>
                <w:lang w:val="en-US" w:eastAsia="zh-CN"/>
                <w14:textFill>
                  <w14:solidFill>
                    <w14:schemeClr w14:val="tx1"/>
                  </w14:solidFill>
                </w14:textFill>
              </w:rPr>
              <w:t>一体化生产废水处理站</w:t>
            </w:r>
            <w:r>
              <w:rPr>
                <w:rFonts w:hint="default" w:ascii="Times New Roman" w:hAnsi="Times New Roman" w:cs="Times New Roman"/>
                <w:color w:val="000000" w:themeColor="text1"/>
                <w:sz w:val="24"/>
                <w:szCs w:val="24"/>
                <w:lang w:val="en-US" w:eastAsia="zh-CN"/>
                <w14:textFill>
                  <w14:solidFill>
                    <w14:schemeClr w14:val="tx1"/>
                  </w14:solidFill>
                </w14:textFill>
              </w:rPr>
              <w:t>废水一并经生化池处理达《污水综合排放标准》（GB8978-1996）三级标准后进入园区污水管网，再由青杠污水处理厂深度处理，COD、BOD</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color w:val="000000" w:themeColor="text1"/>
                <w:sz w:val="24"/>
                <w:szCs w:val="24"/>
                <w:lang w:val="en-US" w:eastAsia="zh-CN"/>
                <w14:textFill>
                  <w14:solidFill>
                    <w14:schemeClr w14:val="tx1"/>
                  </w14:solidFill>
                </w14:textFill>
              </w:rPr>
              <w:t>、NH</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-N、TP达《地表水环境质量标准》（GB3838-2002）IV类标准，其余污染物达《城镇污水处理厂污染物排放标准》（GB18918-2002）一级A标准排入璧南河。</w:t>
            </w:r>
            <w:r>
              <w:rPr>
                <w:rFonts w:hint="eastAsia"/>
                <w:color w:val="000000" w:themeColor="text1"/>
                <w:sz w:val="24"/>
                <w:szCs w:val="24"/>
                <w14:textFill>
                  <w14:solidFill>
                    <w14:schemeClr w14:val="tx1"/>
                  </w14:solidFill>
                </w14:textFill>
              </w:rPr>
              <w:t>与项目相关的标准限值详见</w:t>
            </w:r>
            <w:r>
              <w:rPr>
                <w:rFonts w:hint="eastAsia"/>
                <w:color w:val="000000" w:themeColor="text1"/>
                <w:sz w:val="24"/>
                <w:szCs w:val="24"/>
                <w:lang w:val="en-US" w:eastAsia="zh-CN"/>
                <w14:textFill>
                  <w14:solidFill>
                    <w14:schemeClr w14:val="tx1"/>
                  </w14:solidFill>
                </w14:textFill>
              </w:rPr>
              <w:t>下</w:t>
            </w:r>
            <w:r>
              <w:rPr>
                <w:rFonts w:hint="eastAsia"/>
                <w:color w:val="000000" w:themeColor="text1"/>
                <w:sz w:val="24"/>
                <w:szCs w:val="24"/>
                <w14:textFill>
                  <w14:solidFill>
                    <w14:schemeClr w14:val="tx1"/>
                  </w14:solidFill>
                </w14:textFill>
              </w:rPr>
              <w:t>表</w:t>
            </w:r>
            <w:r>
              <w:rPr>
                <w:rFonts w:hint="eastAsia"/>
                <w:color w:val="000000" w:themeColor="text1"/>
                <w:sz w:val="24"/>
                <w:szCs w:val="24"/>
                <w:lang w:eastAsia="zh-CN"/>
                <w14:textFill>
                  <w14:solidFill>
                    <w14:schemeClr w14:val="tx1"/>
                  </w14:solidFill>
                </w14:textFill>
              </w:rPr>
              <w:t>。</w:t>
            </w:r>
          </w:p>
          <w:p w14:paraId="56EE03A0">
            <w:pPr>
              <w:jc w:val="cente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表3-</w:t>
            </w:r>
            <w:r>
              <w:rPr>
                <w:rFonts w:hint="eastAsia" w:cs="Times New Roman"/>
                <w:b/>
                <w:bCs/>
                <w:color w:val="000000" w:themeColor="text1"/>
                <w:sz w:val="24"/>
                <w:szCs w:val="24"/>
                <w:lang w:val="en-US" w:eastAsia="zh-CN"/>
                <w14:textFill>
                  <w14:solidFill>
                    <w14:schemeClr w14:val="tx1"/>
                  </w14:solidFill>
                </w14:textFill>
              </w:rPr>
              <w:t>11</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污水排放标准</w:t>
            </w:r>
            <w:r>
              <w:rPr>
                <w:rFonts w:hint="eastAsia" w:cs="Times New Roman"/>
                <w:b/>
                <w:bCs/>
                <w:color w:val="000000" w:themeColor="text1"/>
                <w:sz w:val="24"/>
                <w:szCs w:val="24"/>
                <w:lang w:val="en-US" w:eastAsia="zh-CN"/>
                <w14:textFill>
                  <w14:solidFill>
                    <w14:schemeClr w14:val="tx1"/>
                  </w14:solidFill>
                </w14:textFill>
              </w:rPr>
              <w:t xml:space="preserve">  单位：</w:t>
            </w:r>
            <w:r>
              <w:rPr>
                <w:rFonts w:hint="eastAsia"/>
                <w:b/>
                <w:bCs/>
                <w:color w:val="000000" w:themeColor="text1"/>
                <w:sz w:val="24"/>
                <w14:textFill>
                  <w14:solidFill>
                    <w14:schemeClr w14:val="tx1"/>
                  </w14:solidFill>
                </w14:textFill>
              </w:rPr>
              <w:t>mg/L</w:t>
            </w:r>
          </w:p>
          <w:tbl>
            <w:tblPr>
              <w:tblStyle w:val="22"/>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2"/>
              <w:gridCol w:w="653"/>
              <w:gridCol w:w="697"/>
              <w:gridCol w:w="782"/>
              <w:gridCol w:w="825"/>
              <w:gridCol w:w="578"/>
              <w:gridCol w:w="697"/>
              <w:gridCol w:w="853"/>
            </w:tblGrid>
            <w:tr w14:paraId="3CC0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2" w:type="dxa"/>
                  <w:vAlign w:val="center"/>
                </w:tcPr>
                <w:p w14:paraId="58FF9A2E">
                  <w:pPr>
                    <w:jc w:val="center"/>
                    <w:rPr>
                      <w:rFonts w:hint="eastAsia" w:eastAsia="宋体"/>
                      <w:b/>
                      <w:bCs/>
                      <w:color w:val="000000" w:themeColor="text1"/>
                      <w:vertAlign w:val="baseline"/>
                      <w:lang w:val="en-US" w:eastAsia="zh-CN"/>
                      <w14:textFill>
                        <w14:solidFill>
                          <w14:schemeClr w14:val="tx1"/>
                        </w14:solidFill>
                      </w14:textFill>
                    </w:rPr>
                  </w:pPr>
                  <w:r>
                    <w:rPr>
                      <w:rFonts w:hint="eastAsia"/>
                      <w:b/>
                      <w:bCs/>
                      <w:color w:val="000000" w:themeColor="text1"/>
                      <w:vertAlign w:val="baseline"/>
                      <w:lang w:val="en-US" w:eastAsia="zh-CN"/>
                      <w14:textFill>
                        <w14:solidFill>
                          <w14:schemeClr w14:val="tx1"/>
                        </w14:solidFill>
                      </w14:textFill>
                    </w:rPr>
                    <w:t>标准</w:t>
                  </w:r>
                </w:p>
              </w:tc>
              <w:tc>
                <w:tcPr>
                  <w:tcW w:w="653" w:type="dxa"/>
                  <w:shd w:val="clear" w:color="auto" w:fill="auto"/>
                  <w:vAlign w:val="center"/>
                </w:tcPr>
                <w:p w14:paraId="05E61E32">
                  <w:pPr>
                    <w:pStyle w:val="50"/>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pH</w:t>
                  </w:r>
                </w:p>
              </w:tc>
              <w:tc>
                <w:tcPr>
                  <w:tcW w:w="697" w:type="dxa"/>
                  <w:shd w:val="clear" w:color="auto" w:fill="auto"/>
                  <w:vAlign w:val="center"/>
                </w:tcPr>
                <w:p w14:paraId="02F5B044">
                  <w:pPr>
                    <w:pStyle w:val="50"/>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COD</w:t>
                  </w:r>
                </w:p>
              </w:tc>
              <w:tc>
                <w:tcPr>
                  <w:tcW w:w="782" w:type="dxa"/>
                  <w:shd w:val="clear" w:color="auto" w:fill="auto"/>
                  <w:vAlign w:val="center"/>
                </w:tcPr>
                <w:p w14:paraId="27BE38B5">
                  <w:pPr>
                    <w:pStyle w:val="50"/>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1"/>
                      <w:sz w:val="21"/>
                      <w:szCs w:val="21"/>
                      <w14:textFill>
                        <w14:solidFill>
                          <w14:schemeClr w14:val="tx1"/>
                        </w14:solidFill>
                      </w14:textFill>
                    </w:rPr>
                    <w:t>BOD</w:t>
                  </w:r>
                  <w:r>
                    <w:rPr>
                      <w:rFonts w:hint="default" w:ascii="Times New Roman" w:hAnsi="Times New Roman" w:eastAsia="宋体" w:cs="Times New Roman"/>
                      <w:b/>
                      <w:bCs/>
                      <w:color w:val="000000" w:themeColor="text1"/>
                      <w:spacing w:val="-1"/>
                      <w:position w:val="-2"/>
                      <w:sz w:val="21"/>
                      <w:szCs w:val="21"/>
                      <w:vertAlign w:val="subscript"/>
                      <w14:textFill>
                        <w14:solidFill>
                          <w14:schemeClr w14:val="tx1"/>
                        </w14:solidFill>
                      </w14:textFill>
                    </w:rPr>
                    <w:t>5</w:t>
                  </w:r>
                </w:p>
              </w:tc>
              <w:tc>
                <w:tcPr>
                  <w:tcW w:w="825" w:type="dxa"/>
                  <w:shd w:val="clear" w:color="auto" w:fill="auto"/>
                  <w:vAlign w:val="center"/>
                </w:tcPr>
                <w:p w14:paraId="2C732EB1">
                  <w:pPr>
                    <w:pStyle w:val="50"/>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NH</w:t>
                  </w:r>
                  <w:r>
                    <w:rPr>
                      <w:rFonts w:hint="default" w:ascii="Times New Roman" w:hAnsi="Times New Roman" w:eastAsia="宋体" w:cs="Times New Roman"/>
                      <w:b/>
                      <w:bCs/>
                      <w:color w:val="000000" w:themeColor="text1"/>
                      <w:position w:val="-2"/>
                      <w:sz w:val="21"/>
                      <w:szCs w:val="21"/>
                      <w:vertAlign w:val="sub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-N</w:t>
                  </w:r>
                </w:p>
              </w:tc>
              <w:tc>
                <w:tcPr>
                  <w:tcW w:w="578" w:type="dxa"/>
                  <w:shd w:val="clear" w:color="auto" w:fill="auto"/>
                  <w:vAlign w:val="center"/>
                </w:tcPr>
                <w:p w14:paraId="267FFE1E">
                  <w:pPr>
                    <w:pStyle w:val="50"/>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SS</w:t>
                  </w:r>
                </w:p>
              </w:tc>
              <w:tc>
                <w:tcPr>
                  <w:tcW w:w="697" w:type="dxa"/>
                  <w:shd w:val="clear" w:color="auto" w:fill="auto"/>
                  <w:vAlign w:val="center"/>
                </w:tcPr>
                <w:p w14:paraId="67362004">
                  <w:pPr>
                    <w:pStyle w:val="50"/>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bCs/>
                      <w:color w:val="000000" w:themeColor="text1"/>
                      <w:sz w:val="21"/>
                      <w:szCs w:val="21"/>
                      <w:lang w:val="en-US" w:eastAsia="zh-CN"/>
                      <w14:textFill>
                        <w14:solidFill>
                          <w14:schemeClr w14:val="tx1"/>
                        </w14:solidFill>
                      </w14:textFill>
                    </w:rPr>
                    <w:t>总磷</w:t>
                  </w:r>
                </w:p>
              </w:tc>
              <w:tc>
                <w:tcPr>
                  <w:tcW w:w="853" w:type="dxa"/>
                  <w:shd w:val="clear" w:color="auto" w:fill="auto"/>
                  <w:vAlign w:val="center"/>
                </w:tcPr>
                <w:p w14:paraId="4E8079A0">
                  <w:pPr>
                    <w:pStyle w:val="50"/>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eastAsia" w:cs="Times New Roman"/>
                      <w:b/>
                      <w:bCs/>
                      <w:color w:val="000000" w:themeColor="text1"/>
                      <w:sz w:val="21"/>
                      <w:szCs w:val="21"/>
                      <w:lang w:val="en-US" w:eastAsia="zh-CN"/>
                      <w14:textFill>
                        <w14:solidFill>
                          <w14:schemeClr w14:val="tx1"/>
                        </w14:solidFill>
                      </w14:textFill>
                    </w:rPr>
                    <w:t>石油类</w:t>
                  </w:r>
                </w:p>
              </w:tc>
            </w:tr>
            <w:tr w14:paraId="12D6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2" w:type="dxa"/>
                  <w:vAlign w:val="center"/>
                </w:tcPr>
                <w:p w14:paraId="0A38A53A">
                  <w:pPr>
                    <w:jc w:val="center"/>
                    <w:rPr>
                      <w:rFonts w:hint="eastAsia" w:eastAsia="宋体"/>
                      <w:color w:val="000000" w:themeColor="text1"/>
                      <w:vertAlign w:val="baseline"/>
                      <w:lang w:val="en-US" w:eastAsia="zh-CN"/>
                      <w14:textFill>
                        <w14:solidFill>
                          <w14:schemeClr w14:val="tx1"/>
                        </w14:solidFill>
                      </w14:textFill>
                    </w:rPr>
                  </w:pPr>
                  <w:r>
                    <w:rPr>
                      <w:rFonts w:hint="eastAsia"/>
                      <w:color w:val="000000" w:themeColor="text1"/>
                      <w14:textFill>
                        <w14:solidFill>
                          <w14:schemeClr w14:val="tx1"/>
                        </w14:solidFill>
                      </w14:textFill>
                    </w:rPr>
                    <w:t>《污水综合排放标准》（GB8978-1996）三级标准</w:t>
                  </w:r>
                </w:p>
              </w:tc>
              <w:tc>
                <w:tcPr>
                  <w:tcW w:w="653" w:type="dxa"/>
                  <w:shd w:val="clear" w:color="auto" w:fill="auto"/>
                  <w:vAlign w:val="center"/>
                </w:tcPr>
                <w:p w14:paraId="223C5A2C">
                  <w:pPr>
                    <w:pStyle w:val="50"/>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6-9</w:t>
                  </w:r>
                </w:p>
              </w:tc>
              <w:tc>
                <w:tcPr>
                  <w:tcW w:w="697" w:type="dxa"/>
                  <w:shd w:val="clear" w:color="auto" w:fill="auto"/>
                  <w:vAlign w:val="center"/>
                </w:tcPr>
                <w:p w14:paraId="3EA640EC">
                  <w:pPr>
                    <w:pStyle w:val="50"/>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500</w:t>
                  </w:r>
                </w:p>
              </w:tc>
              <w:tc>
                <w:tcPr>
                  <w:tcW w:w="782" w:type="dxa"/>
                  <w:shd w:val="clear" w:color="auto" w:fill="auto"/>
                  <w:vAlign w:val="center"/>
                </w:tcPr>
                <w:p w14:paraId="766926BD">
                  <w:pPr>
                    <w:pStyle w:val="50"/>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300</w:t>
                  </w:r>
                </w:p>
              </w:tc>
              <w:tc>
                <w:tcPr>
                  <w:tcW w:w="825" w:type="dxa"/>
                  <w:shd w:val="clear" w:color="auto" w:fill="auto"/>
                  <w:vAlign w:val="center"/>
                </w:tcPr>
                <w:p w14:paraId="37520088">
                  <w:pPr>
                    <w:pStyle w:val="50"/>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45</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①</w:t>
                  </w:r>
                </w:p>
              </w:tc>
              <w:tc>
                <w:tcPr>
                  <w:tcW w:w="578" w:type="dxa"/>
                  <w:shd w:val="clear" w:color="auto" w:fill="auto"/>
                  <w:vAlign w:val="center"/>
                </w:tcPr>
                <w:p w14:paraId="0F1C576A">
                  <w:pPr>
                    <w:pStyle w:val="50"/>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400</w:t>
                  </w:r>
                </w:p>
              </w:tc>
              <w:tc>
                <w:tcPr>
                  <w:tcW w:w="697" w:type="dxa"/>
                  <w:shd w:val="clear" w:color="auto" w:fill="auto"/>
                  <w:vAlign w:val="center"/>
                </w:tcPr>
                <w:p w14:paraId="64A97563">
                  <w:pPr>
                    <w:pStyle w:val="50"/>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①</w:t>
                  </w:r>
                </w:p>
              </w:tc>
              <w:tc>
                <w:tcPr>
                  <w:tcW w:w="853" w:type="dxa"/>
                  <w:shd w:val="clear" w:color="auto" w:fill="auto"/>
                  <w:vAlign w:val="center"/>
                </w:tcPr>
                <w:p w14:paraId="4BAF2794">
                  <w:pPr>
                    <w:pStyle w:val="50"/>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20</w:t>
                  </w:r>
                </w:p>
              </w:tc>
            </w:tr>
            <w:tr w14:paraId="3AE6A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2" w:type="dxa"/>
                  <w:vAlign w:val="center"/>
                </w:tcPr>
                <w:p w14:paraId="3CC87F51">
                  <w:pPr>
                    <w:jc w:val="center"/>
                    <w:rPr>
                      <w:color w:val="000000" w:themeColor="text1"/>
                      <w:vertAlign w:val="baseline"/>
                      <w14:textFill>
                        <w14:solidFill>
                          <w14:schemeClr w14:val="tx1"/>
                        </w14:solidFill>
                      </w14:textFill>
                    </w:rPr>
                  </w:pPr>
                  <w:r>
                    <w:rPr>
                      <w:rFonts w:hint="eastAsia"/>
                      <w:color w:val="000000" w:themeColor="text1"/>
                      <w14:textFill>
                        <w14:solidFill>
                          <w14:schemeClr w14:val="tx1"/>
                        </w14:solidFill>
                      </w14:textFill>
                    </w:rPr>
                    <w:t>《城镇污水处理厂污染物排放标准》（GB18918-2002）一级A标准</w:t>
                  </w:r>
                </w:p>
              </w:tc>
              <w:tc>
                <w:tcPr>
                  <w:tcW w:w="653" w:type="dxa"/>
                  <w:vAlign w:val="center"/>
                </w:tcPr>
                <w:p w14:paraId="765DAFF9">
                  <w:pPr>
                    <w:jc w:val="center"/>
                    <w:rPr>
                      <w:color w:val="000000" w:themeColor="text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6-9</w:t>
                  </w:r>
                </w:p>
              </w:tc>
              <w:tc>
                <w:tcPr>
                  <w:tcW w:w="697" w:type="dxa"/>
                  <w:vAlign w:val="center"/>
                </w:tcPr>
                <w:p w14:paraId="1397BE66">
                  <w:pPr>
                    <w:jc w:val="center"/>
                    <w:rPr>
                      <w:rFonts w:hint="eastAsia" w:eastAsia="宋体"/>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782" w:type="dxa"/>
                  <w:vAlign w:val="center"/>
                </w:tcPr>
                <w:p w14:paraId="0B2121AC">
                  <w:pPr>
                    <w:jc w:val="center"/>
                    <w:rPr>
                      <w:rFonts w:hint="eastAsia" w:eastAsia="宋体"/>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825" w:type="dxa"/>
                  <w:vAlign w:val="center"/>
                </w:tcPr>
                <w:p w14:paraId="14A5820B">
                  <w:pPr>
                    <w:jc w:val="center"/>
                    <w:rPr>
                      <w:rFonts w:hint="eastAsia" w:eastAsia="宋体"/>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578" w:type="dxa"/>
                  <w:vAlign w:val="center"/>
                </w:tcPr>
                <w:p w14:paraId="76A2ADD8">
                  <w:pPr>
                    <w:jc w:val="center"/>
                    <w:rPr>
                      <w:color w:val="000000" w:themeColor="text1"/>
                      <w:vertAlign w:val="baseline"/>
                      <w14:textFill>
                        <w14:solidFill>
                          <w14:schemeClr w14:val="tx1"/>
                        </w14:solidFill>
                      </w14:textFill>
                    </w:rPr>
                  </w:pPr>
                  <w:r>
                    <w:rPr>
                      <w:rFonts w:hint="default" w:ascii="Times New Roman" w:hAnsi="Times New Roman" w:eastAsia="宋体" w:cs="Times New Roman"/>
                      <w:b w:val="0"/>
                      <w:bCs w:val="0"/>
                      <w:color w:val="000000" w:themeColor="text1"/>
                      <w:spacing w:val="-9"/>
                      <w:sz w:val="21"/>
                      <w:szCs w:val="21"/>
                      <w14:textFill>
                        <w14:solidFill>
                          <w14:schemeClr w14:val="tx1"/>
                        </w14:solidFill>
                      </w14:textFill>
                    </w:rPr>
                    <w:t>10</w:t>
                  </w:r>
                </w:p>
              </w:tc>
              <w:tc>
                <w:tcPr>
                  <w:tcW w:w="697" w:type="dxa"/>
                  <w:vAlign w:val="center"/>
                </w:tcPr>
                <w:p w14:paraId="30CF2724">
                  <w:pPr>
                    <w:jc w:val="center"/>
                    <w:rPr>
                      <w:rFonts w:hint="eastAsia" w:eastAsia="宋体"/>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853" w:type="dxa"/>
                  <w:vAlign w:val="center"/>
                </w:tcPr>
                <w:p w14:paraId="504FA01D">
                  <w:pPr>
                    <w:jc w:val="center"/>
                    <w:rPr>
                      <w:color w:val="000000" w:themeColor="text1"/>
                      <w:vertAlign w:val="baseline"/>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1</w:t>
                  </w:r>
                </w:p>
              </w:tc>
            </w:tr>
            <w:tr w14:paraId="0A51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2" w:type="dxa"/>
                  <w:vAlign w:val="center"/>
                </w:tcPr>
                <w:p w14:paraId="70693AD3">
                  <w:pPr>
                    <w:jc w:val="center"/>
                    <w:rPr>
                      <w:color w:val="000000" w:themeColor="text1"/>
                      <w:vertAlign w:val="baseline"/>
                      <w14:textFill>
                        <w14:solidFill>
                          <w14:schemeClr w14:val="tx1"/>
                        </w14:solidFill>
                      </w14:textFill>
                    </w:rPr>
                  </w:pPr>
                  <w:r>
                    <w:rPr>
                      <w:rFonts w:hint="eastAsia"/>
                      <w:color w:val="000000" w:themeColor="text1"/>
                      <w14:textFill>
                        <w14:solidFill>
                          <w14:schemeClr w14:val="tx1"/>
                        </w14:solidFill>
                      </w14:textFill>
                    </w:rPr>
                    <w:t>《地表水环境质量标准》（GB3838-2002）IV类标准</w:t>
                  </w:r>
                </w:p>
              </w:tc>
              <w:tc>
                <w:tcPr>
                  <w:tcW w:w="653" w:type="dxa"/>
                  <w:vAlign w:val="center"/>
                </w:tcPr>
                <w:p w14:paraId="405C5FA1">
                  <w:pPr>
                    <w:jc w:val="center"/>
                    <w:rPr>
                      <w:color w:val="000000" w:themeColor="text1"/>
                      <w:vertAlign w:val="baseline"/>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697" w:type="dxa"/>
                  <w:vAlign w:val="center"/>
                </w:tcPr>
                <w:p w14:paraId="39F8686D">
                  <w:pPr>
                    <w:jc w:val="center"/>
                    <w:rPr>
                      <w:color w:val="000000" w:themeColor="text1"/>
                      <w:vertAlign w:val="baseline"/>
                      <w14:textFill>
                        <w14:solidFill>
                          <w14:schemeClr w14:val="tx1"/>
                        </w14:solidFill>
                      </w14:textFill>
                    </w:rPr>
                  </w:pPr>
                  <w:r>
                    <w:rPr>
                      <w:rFonts w:hint="eastAsia" w:cs="Times New Roman"/>
                      <w:b w:val="0"/>
                      <w:bCs w:val="0"/>
                      <w:color w:val="000000" w:themeColor="text1"/>
                      <w:kern w:val="0"/>
                      <w:sz w:val="21"/>
                      <w:szCs w:val="21"/>
                      <w:lang w:val="en-US" w:eastAsia="zh-CN" w:bidi="ar-SA"/>
                      <w14:textFill>
                        <w14:solidFill>
                          <w14:schemeClr w14:val="tx1"/>
                        </w14:solidFill>
                      </w14:textFill>
                    </w:rPr>
                    <w:t>30</w:t>
                  </w:r>
                </w:p>
              </w:tc>
              <w:tc>
                <w:tcPr>
                  <w:tcW w:w="782" w:type="dxa"/>
                  <w:vAlign w:val="center"/>
                </w:tcPr>
                <w:p w14:paraId="060028E5">
                  <w:pPr>
                    <w:jc w:val="center"/>
                    <w:rPr>
                      <w:color w:val="000000" w:themeColor="text1"/>
                      <w:vertAlign w:val="baseline"/>
                      <w14:textFill>
                        <w14:solidFill>
                          <w14:schemeClr w14:val="tx1"/>
                        </w14:solidFill>
                      </w14:textFill>
                    </w:rPr>
                  </w:pPr>
                  <w:r>
                    <w:rPr>
                      <w:rFonts w:hint="eastAsia" w:cs="Times New Roman"/>
                      <w:b w:val="0"/>
                      <w:bCs w:val="0"/>
                      <w:color w:val="000000" w:themeColor="text1"/>
                      <w:kern w:val="0"/>
                      <w:sz w:val="21"/>
                      <w:szCs w:val="21"/>
                      <w:lang w:val="en-US" w:eastAsia="zh-CN" w:bidi="ar-SA"/>
                      <w14:textFill>
                        <w14:solidFill>
                          <w14:schemeClr w14:val="tx1"/>
                        </w14:solidFill>
                      </w14:textFill>
                    </w:rPr>
                    <w:t>6</w:t>
                  </w:r>
                </w:p>
              </w:tc>
              <w:tc>
                <w:tcPr>
                  <w:tcW w:w="825" w:type="dxa"/>
                  <w:vAlign w:val="center"/>
                </w:tcPr>
                <w:p w14:paraId="73EA36CE">
                  <w:pPr>
                    <w:jc w:val="center"/>
                    <w:rPr>
                      <w:color w:val="000000" w:themeColor="text1"/>
                      <w:vertAlign w:val="baseline"/>
                      <w14:textFill>
                        <w14:solidFill>
                          <w14:schemeClr w14:val="tx1"/>
                        </w14:solidFill>
                      </w14:textFill>
                    </w:rPr>
                  </w:pPr>
                  <w:r>
                    <w:rPr>
                      <w:rFonts w:hint="eastAsia" w:cs="Times New Roman"/>
                      <w:b w:val="0"/>
                      <w:bCs w:val="0"/>
                      <w:color w:val="000000" w:themeColor="text1"/>
                      <w:spacing w:val="-9"/>
                      <w:kern w:val="0"/>
                      <w:sz w:val="21"/>
                      <w:szCs w:val="21"/>
                      <w:lang w:val="en-US" w:eastAsia="zh-CN" w:bidi="ar-SA"/>
                      <w14:textFill>
                        <w14:solidFill>
                          <w14:schemeClr w14:val="tx1"/>
                        </w14:solidFill>
                      </w14:textFill>
                    </w:rPr>
                    <w:t>1.5</w:t>
                  </w:r>
                </w:p>
              </w:tc>
              <w:tc>
                <w:tcPr>
                  <w:tcW w:w="578" w:type="dxa"/>
                  <w:vAlign w:val="center"/>
                </w:tcPr>
                <w:p w14:paraId="7951D0B1">
                  <w:pPr>
                    <w:jc w:val="center"/>
                    <w:rPr>
                      <w:color w:val="000000" w:themeColor="text1"/>
                      <w:vertAlign w:val="baseline"/>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c>
                <w:tcPr>
                  <w:tcW w:w="697" w:type="dxa"/>
                  <w:vAlign w:val="center"/>
                </w:tcPr>
                <w:p w14:paraId="2D1B9014">
                  <w:pPr>
                    <w:jc w:val="center"/>
                    <w:rPr>
                      <w:color w:val="000000" w:themeColor="text1"/>
                      <w:vertAlign w:val="baseline"/>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0.3</w:t>
                  </w:r>
                </w:p>
              </w:tc>
              <w:tc>
                <w:tcPr>
                  <w:tcW w:w="853" w:type="dxa"/>
                  <w:vAlign w:val="center"/>
                </w:tcPr>
                <w:p w14:paraId="6C0F1925">
                  <w:pPr>
                    <w:jc w:val="center"/>
                    <w:rPr>
                      <w:color w:val="000000" w:themeColor="text1"/>
                      <w:vertAlign w:val="baseline"/>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r>
            <w:tr w14:paraId="599D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7" w:type="dxa"/>
                  <w:gridSpan w:val="8"/>
                  <w:vAlign w:val="center"/>
                </w:tcPr>
                <w:p w14:paraId="292D9ED2">
                  <w:pPr>
                    <w:jc w:val="left"/>
                    <w:rPr>
                      <w:color w:val="000000" w:themeColor="text1"/>
                      <w:vertAlign w:val="baseline"/>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注：①参照执行《污水排入城镇下水道水质标准》（GB/T31962-2015）表1中的B级标准。</w:t>
                  </w:r>
                </w:p>
              </w:tc>
            </w:tr>
          </w:tbl>
          <w:p w14:paraId="4D078E19">
            <w:pPr>
              <w:jc w:val="left"/>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14:paraId="169E7A8B">
            <w:pPr>
              <w:keepNext w:val="0"/>
              <w:keepLines w:val="0"/>
              <w:suppressLineNumbers w:val="0"/>
              <w:adjustRightInd w:val="0"/>
              <w:snapToGrid w:val="0"/>
              <w:spacing w:before="0" w:beforeLines="50" w:beforeAutospacing="0" w:after="0" w:afterAutospacing="0" w:line="360" w:lineRule="auto"/>
              <w:ind w:left="0" w:right="0"/>
              <w:rPr>
                <w:rFonts w:hint="default"/>
                <w:b/>
                <w:color w:val="000000" w:themeColor="text1"/>
                <w:kern w:val="0"/>
                <w:sz w:val="24"/>
                <w:szCs w:val="24"/>
                <w14:textFill>
                  <w14:solidFill>
                    <w14:schemeClr w14:val="tx1"/>
                  </w14:solidFill>
                </w14:textFill>
              </w:rPr>
            </w:pPr>
            <w:r>
              <w:rPr>
                <w:rFonts w:hint="default"/>
                <w:b/>
                <w:color w:val="000000" w:themeColor="text1"/>
                <w:kern w:val="0"/>
                <w:sz w:val="24"/>
                <w:szCs w:val="24"/>
                <w14:textFill>
                  <w14:solidFill>
                    <w14:schemeClr w14:val="tx1"/>
                  </w14:solidFill>
                </w14:textFill>
              </w:rPr>
              <w:t>3、噪声排放标准</w:t>
            </w:r>
          </w:p>
          <w:p w14:paraId="429D2FE1">
            <w:pPr>
              <w:keepNext w:val="0"/>
              <w:keepLines w:val="0"/>
              <w:suppressLineNumbers w:val="0"/>
              <w:snapToGrid w:val="0"/>
              <w:spacing w:before="0" w:beforeAutospacing="0" w:after="0" w:afterAutospacing="0" w:line="360" w:lineRule="auto"/>
              <w:ind w:left="0" w:right="0" w:firstLine="480" w:firstLineChars="200"/>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营运期噪声执行《</w:t>
            </w:r>
            <w:r>
              <w:rPr>
                <w:rFonts w:hint="default"/>
                <w:color w:val="000000" w:themeColor="text1"/>
                <w:kern w:val="0"/>
                <w:sz w:val="24"/>
                <w:szCs w:val="24"/>
                <w14:textFill>
                  <w14:solidFill>
                    <w14:schemeClr w14:val="tx1"/>
                  </w14:solidFill>
                </w14:textFill>
              </w:rPr>
              <w:t>工业企业厂界环境噪声排放标准</w:t>
            </w:r>
            <w:r>
              <w:rPr>
                <w:rFonts w:hint="default"/>
                <w:color w:val="000000" w:themeColor="text1"/>
                <w:sz w:val="24"/>
                <w:szCs w:val="24"/>
                <w14:textFill>
                  <w14:solidFill>
                    <w14:schemeClr w14:val="tx1"/>
                  </w14:solidFill>
                </w14:textFill>
              </w:rPr>
              <w:t>》（GB12348-2008）</w:t>
            </w:r>
            <w:r>
              <w:rPr>
                <w:rFonts w:hint="eastAsia"/>
                <w:color w:val="000000" w:themeColor="text1"/>
                <w:sz w:val="24"/>
                <w:szCs w:val="24"/>
                <w14:textFill>
                  <w14:solidFill>
                    <w14:schemeClr w14:val="tx1"/>
                  </w14:solidFill>
                </w14:textFill>
              </w:rPr>
              <w:t>3</w:t>
            </w:r>
            <w:r>
              <w:rPr>
                <w:rFonts w:hint="default"/>
                <w:color w:val="000000" w:themeColor="text1"/>
                <w:sz w:val="24"/>
                <w:szCs w:val="24"/>
                <w14:textFill>
                  <w14:solidFill>
                    <w14:schemeClr w14:val="tx1"/>
                  </w14:solidFill>
                </w14:textFill>
              </w:rPr>
              <w:t>类标准，排放标准具体值见</w:t>
            </w:r>
            <w:r>
              <w:rPr>
                <w:rFonts w:hint="eastAsia"/>
                <w:color w:val="000000" w:themeColor="text1"/>
                <w:sz w:val="24"/>
                <w:szCs w:val="24"/>
                <w:lang w:eastAsia="zh-CN"/>
                <w14:textFill>
                  <w14:solidFill>
                    <w14:schemeClr w14:val="tx1"/>
                  </w14:solidFill>
                </w14:textFill>
              </w:rPr>
              <w:t>下</w:t>
            </w:r>
            <w:r>
              <w:rPr>
                <w:rFonts w:hint="default"/>
                <w:color w:val="000000" w:themeColor="text1"/>
                <w:sz w:val="24"/>
                <w:szCs w:val="24"/>
                <w14:textFill>
                  <w14:solidFill>
                    <w14:schemeClr w14:val="tx1"/>
                  </w14:solidFill>
                </w14:textFill>
              </w:rPr>
              <w:t>表。</w:t>
            </w:r>
          </w:p>
          <w:p w14:paraId="7C7C1CE0">
            <w:pPr>
              <w:keepNext w:val="0"/>
              <w:keepLines w:val="0"/>
              <w:suppressLineNumbers w:val="0"/>
              <w:spacing w:before="0" w:beforeAutospacing="0" w:after="0" w:afterAutospacing="0"/>
              <w:ind w:left="0" w:right="0"/>
              <w:jc w:val="center"/>
              <w:rPr>
                <w:rFonts w:hint="default"/>
                <w:b/>
                <w:color w:val="000000" w:themeColor="text1"/>
                <w:sz w:val="24"/>
                <w:szCs w:val="24"/>
                <w14:textFill>
                  <w14:solidFill>
                    <w14:schemeClr w14:val="tx1"/>
                  </w14:solidFill>
                </w14:textFill>
              </w:rPr>
            </w:pPr>
            <w:r>
              <w:rPr>
                <w:rFonts w:hint="default"/>
                <w:b/>
                <w:color w:val="000000" w:themeColor="text1"/>
                <w:sz w:val="24"/>
                <w:szCs w:val="24"/>
                <w14:textFill>
                  <w14:solidFill>
                    <w14:schemeClr w14:val="tx1"/>
                  </w14:solidFill>
                </w14:textFill>
              </w:rPr>
              <w:t>表3-</w:t>
            </w:r>
            <w:r>
              <w:rPr>
                <w:rFonts w:hint="eastAsia"/>
                <w:b/>
                <w:color w:val="000000" w:themeColor="text1"/>
                <w:sz w:val="24"/>
                <w:szCs w:val="24"/>
                <w:lang w:val="en-US" w:eastAsia="zh-CN"/>
                <w14:textFill>
                  <w14:solidFill>
                    <w14:schemeClr w14:val="tx1"/>
                  </w14:solidFill>
                </w14:textFill>
              </w:rPr>
              <w:t>12</w:t>
            </w:r>
            <w:r>
              <w:rPr>
                <w:rFonts w:hint="default"/>
                <w:b/>
                <w:color w:val="000000" w:themeColor="text1"/>
                <w:sz w:val="24"/>
                <w:szCs w:val="24"/>
                <w14:textFill>
                  <w14:solidFill>
                    <w14:schemeClr w14:val="tx1"/>
                  </w14:solidFill>
                </w14:textFill>
              </w:rPr>
              <w:t xml:space="preserve"> 噪声排放限值  单位：dB（A）</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108" w:type="dxa"/>
              </w:tblCellMar>
            </w:tblPr>
            <w:tblGrid>
              <w:gridCol w:w="988"/>
              <w:gridCol w:w="890"/>
              <w:gridCol w:w="6059"/>
            </w:tblGrid>
            <w:tr w14:paraId="26D8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108" w:type="dxa"/>
                </w:tblCellMar>
              </w:tblPrEx>
              <w:trPr>
                <w:trHeight w:val="446" w:hRule="exact"/>
                <w:jc w:val="center"/>
              </w:trPr>
              <w:tc>
                <w:tcPr>
                  <w:tcW w:w="988" w:type="dxa"/>
                  <w:vAlign w:val="center"/>
                </w:tcPr>
                <w:p w14:paraId="02DB96D7">
                  <w:pPr>
                    <w:keepNext w:val="0"/>
                    <w:keepLines w:val="0"/>
                    <w:suppressLineNumbers w:val="0"/>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昼间</w:t>
                  </w:r>
                </w:p>
              </w:tc>
              <w:tc>
                <w:tcPr>
                  <w:tcW w:w="890" w:type="dxa"/>
                  <w:vAlign w:val="center"/>
                </w:tcPr>
                <w:p w14:paraId="6D0A74D3">
                  <w:pPr>
                    <w:keepNext w:val="0"/>
                    <w:keepLines w:val="0"/>
                    <w:suppressLineNumbers w:val="0"/>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夜间</w:t>
                  </w:r>
                </w:p>
              </w:tc>
              <w:tc>
                <w:tcPr>
                  <w:tcW w:w="6059" w:type="dxa"/>
                  <w:vAlign w:val="center"/>
                </w:tcPr>
                <w:p w14:paraId="19766243">
                  <w:pPr>
                    <w:keepNext w:val="0"/>
                    <w:keepLines w:val="0"/>
                    <w:suppressLineNumbers w:val="0"/>
                    <w:adjustRightInd w:val="0"/>
                    <w:snapToGrid w:val="0"/>
                    <w:spacing w:before="0" w:beforeAutospacing="0" w:after="0" w:afterAutospacing="0"/>
                    <w:ind w:left="0" w:right="0"/>
                    <w:jc w:val="center"/>
                    <w:rPr>
                      <w:rFonts w:hint="default"/>
                      <w:b/>
                      <w:color w:val="000000" w:themeColor="text1"/>
                      <w:sz w:val="21"/>
                      <w:szCs w:val="21"/>
                      <w14:textFill>
                        <w14:solidFill>
                          <w14:schemeClr w14:val="tx1"/>
                        </w14:solidFill>
                      </w14:textFill>
                    </w:rPr>
                  </w:pPr>
                  <w:r>
                    <w:rPr>
                      <w:rFonts w:hint="default"/>
                      <w:b/>
                      <w:color w:val="000000" w:themeColor="text1"/>
                      <w:sz w:val="21"/>
                      <w:szCs w:val="21"/>
                      <w14:textFill>
                        <w14:solidFill>
                          <w14:schemeClr w14:val="tx1"/>
                        </w14:solidFill>
                      </w14:textFill>
                    </w:rPr>
                    <w:t>执行标准</w:t>
                  </w:r>
                </w:p>
              </w:tc>
            </w:tr>
            <w:tr w14:paraId="68EA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108" w:type="dxa"/>
                </w:tblCellMar>
              </w:tblPrEx>
              <w:trPr>
                <w:trHeight w:val="557" w:hRule="exact"/>
                <w:jc w:val="center"/>
              </w:trPr>
              <w:tc>
                <w:tcPr>
                  <w:tcW w:w="988" w:type="dxa"/>
                  <w:vAlign w:val="center"/>
                </w:tcPr>
                <w:p w14:paraId="3970FDF3">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65</w:t>
                  </w:r>
                </w:p>
              </w:tc>
              <w:tc>
                <w:tcPr>
                  <w:tcW w:w="890" w:type="dxa"/>
                  <w:vAlign w:val="center"/>
                </w:tcPr>
                <w:p w14:paraId="72E98D0C">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6059" w:type="dxa"/>
                  <w:vAlign w:val="center"/>
                </w:tcPr>
                <w:p w14:paraId="6D8DB5FF">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《工业企业厂界环境噪声排放标准》（GB12348-2008）</w:t>
                  </w:r>
                  <w:r>
                    <w:rPr>
                      <w:rFonts w:hint="eastAsia"/>
                      <w:color w:val="000000" w:themeColor="text1"/>
                      <w:sz w:val="21"/>
                      <w:szCs w:val="21"/>
                      <w14:textFill>
                        <w14:solidFill>
                          <w14:schemeClr w14:val="tx1"/>
                        </w14:solidFill>
                      </w14:textFill>
                    </w:rPr>
                    <w:t>3</w:t>
                  </w:r>
                  <w:r>
                    <w:rPr>
                      <w:rFonts w:hint="default"/>
                      <w:color w:val="000000" w:themeColor="text1"/>
                      <w:sz w:val="21"/>
                      <w:szCs w:val="21"/>
                      <w14:textFill>
                        <w14:solidFill>
                          <w14:schemeClr w14:val="tx1"/>
                        </w14:solidFill>
                      </w14:textFill>
                    </w:rPr>
                    <w:t>类</w:t>
                  </w:r>
                </w:p>
              </w:tc>
            </w:tr>
          </w:tbl>
          <w:p w14:paraId="76BBDC98">
            <w:pPr>
              <w:keepNext w:val="0"/>
              <w:keepLines w:val="0"/>
              <w:suppressLineNumbers w:val="0"/>
              <w:adjustRightInd w:val="0"/>
              <w:snapToGrid w:val="0"/>
              <w:spacing w:before="0" w:beforeLines="50" w:beforeAutospacing="0" w:after="0" w:afterAutospacing="0" w:line="360" w:lineRule="auto"/>
              <w:ind w:left="0" w:right="0"/>
              <w:rPr>
                <w:rFonts w:hint="default"/>
                <w:b/>
                <w:color w:val="000000" w:themeColor="text1"/>
                <w:kern w:val="0"/>
                <w:sz w:val="24"/>
                <w:szCs w:val="24"/>
                <w14:textFill>
                  <w14:solidFill>
                    <w14:schemeClr w14:val="tx1"/>
                  </w14:solidFill>
                </w14:textFill>
              </w:rPr>
            </w:pPr>
            <w:r>
              <w:rPr>
                <w:rFonts w:hint="default"/>
                <w:b/>
                <w:color w:val="000000" w:themeColor="text1"/>
                <w:kern w:val="0"/>
                <w:sz w:val="24"/>
                <w:szCs w:val="24"/>
                <w14:textFill>
                  <w14:solidFill>
                    <w14:schemeClr w14:val="tx1"/>
                  </w14:solidFill>
                </w14:textFill>
              </w:rPr>
              <w:t>4、固体废弃物</w:t>
            </w:r>
          </w:p>
          <w:p w14:paraId="1580C79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生活垃圾实行分类收集，由环卫部门统一收集处置；</w:t>
            </w:r>
          </w:p>
          <w:p w14:paraId="21F695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14:textFill>
                  <w14:solidFill>
                    <w14:schemeClr w14:val="tx1"/>
                  </w14:solidFill>
                </w14:textFill>
              </w:rPr>
            </w:pPr>
            <w:r>
              <w:rPr>
                <w:rFonts w:hint="default"/>
                <w:color w:val="000000" w:themeColor="text1"/>
                <w:sz w:val="24"/>
                <w:szCs w:val="24"/>
                <w14:textFill>
                  <w14:solidFill>
                    <w14:schemeClr w14:val="tx1"/>
                  </w14:solidFill>
                </w14:textFill>
              </w:rPr>
              <w:t>一般工业</w:t>
            </w:r>
            <w:r>
              <w:rPr>
                <w:rFonts w:hint="eastAsia"/>
                <w:color w:val="000000" w:themeColor="text1"/>
                <w:sz w:val="24"/>
                <w:szCs w:val="24"/>
                <w:lang w:val="en-US" w:eastAsia="zh-CN"/>
                <w14:textFill>
                  <w14:solidFill>
                    <w14:schemeClr w14:val="tx1"/>
                  </w14:solidFill>
                </w14:textFill>
              </w:rPr>
              <w:t>固体</w:t>
            </w:r>
            <w:r>
              <w:rPr>
                <w:rFonts w:hint="default"/>
                <w:color w:val="000000" w:themeColor="text1"/>
                <w:sz w:val="24"/>
                <w:szCs w:val="24"/>
                <w14:textFill>
                  <w14:solidFill>
                    <w14:schemeClr w14:val="tx1"/>
                  </w14:solidFill>
                </w14:textFill>
              </w:rPr>
              <w:t>废物</w:t>
            </w:r>
            <w:r>
              <w:rPr>
                <w:rFonts w:hint="eastAsia"/>
                <w:color w:val="000000" w:themeColor="text1"/>
                <w:sz w:val="24"/>
                <w:szCs w:val="24"/>
                <w:lang w:eastAsia="zh-CN"/>
                <w14:textFill>
                  <w14:solidFill>
                    <w14:schemeClr w14:val="tx1"/>
                  </w14:solidFill>
                </w14:textFill>
              </w:rPr>
              <w:t>：</w:t>
            </w:r>
            <w:r>
              <w:rPr>
                <w:rFonts w:hint="eastAsia"/>
                <w:color w:val="000000" w:themeColor="text1"/>
                <w:sz w:val="24"/>
                <w14:textFill>
                  <w14:solidFill>
                    <w14:schemeClr w14:val="tx1"/>
                  </w14:solidFill>
                </w14:textFill>
              </w:rPr>
              <w:t>参照《一般工业固体废物贮存和填埋污染控制标准》（GB18599-2020），一般工业固废贮存应满足相应防渗漏、防雨淋、防扬尘等环境保护要求。《固体废物分类与代码目录》（公告2024年第4号）、《一般工业固体废物管理台账制定指南（试行）》（公告2021年第82号）</w:t>
            </w:r>
            <w:r>
              <w:rPr>
                <w:rFonts w:hint="eastAsia"/>
                <w:color w:val="000000" w:themeColor="text1"/>
                <w:sz w:val="24"/>
                <w:lang w:eastAsia="zh-CN"/>
                <w14:textFill>
                  <w14:solidFill>
                    <w14:schemeClr w14:val="tx1"/>
                  </w14:solidFill>
                </w14:textFill>
              </w:rPr>
              <w:t>；</w:t>
            </w:r>
          </w:p>
          <w:p w14:paraId="771152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sz w:val="24"/>
                <w:szCs w:val="24"/>
                <w14:textFill>
                  <w14:solidFill>
                    <w14:schemeClr w14:val="tx1"/>
                  </w14:solidFill>
                </w14:textFill>
              </w:rPr>
              <w:t>危险废物</w:t>
            </w:r>
            <w:r>
              <w:rPr>
                <w:rFonts w:hint="eastAsia"/>
                <w:color w:val="000000" w:themeColor="text1"/>
                <w:sz w:val="24"/>
                <w:szCs w:val="24"/>
                <w:lang w:eastAsia="zh-CN"/>
                <w14:textFill>
                  <w14:solidFill>
                    <w14:schemeClr w14:val="tx1"/>
                  </w14:solidFill>
                </w14:textFill>
              </w:rPr>
              <w:t>：</w:t>
            </w:r>
            <w:r>
              <w:rPr>
                <w:rFonts w:hint="default"/>
                <w:color w:val="000000" w:themeColor="text1"/>
                <w:sz w:val="24"/>
                <w14:textFill>
                  <w14:solidFill>
                    <w14:schemeClr w14:val="tx1"/>
                  </w14:solidFill>
                </w14:textFill>
              </w:rPr>
              <w:t>执行《国家危险废物名录》（2025年版）、《危险废物贮存污染控制标准》（GB18597-2023）、《危险废物转移管理办法》（生态环境部、公安部、交通运输部 部令第23号）中相关要求以及《危险废物识别标志设置技术规范》（HJ1276-2022）。</w:t>
            </w:r>
          </w:p>
        </w:tc>
      </w:tr>
      <w:tr w14:paraId="13745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0" w:hRule="atLeast"/>
          <w:jc w:val="center"/>
        </w:trPr>
        <w:tc>
          <w:tcPr>
            <w:tcW w:w="449" w:type="dxa"/>
            <w:shd w:val="clear" w:color="auto" w:fill="auto"/>
            <w:vAlign w:val="center"/>
          </w:tcPr>
          <w:p w14:paraId="7FADCD9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总量</w:t>
            </w:r>
          </w:p>
          <w:p w14:paraId="6545BEC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控制</w:t>
            </w:r>
          </w:p>
          <w:p w14:paraId="7F06DA9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color w:val="000000" w:themeColor="text1"/>
                <w:kern w:val="0"/>
                <w:sz w:val="24"/>
                <w:szCs w:val="24"/>
                <w14:textFill>
                  <w14:solidFill>
                    <w14:schemeClr w14:val="tx1"/>
                  </w14:solidFill>
                </w14:textFill>
              </w:rPr>
              <w:t>指标</w:t>
            </w:r>
          </w:p>
        </w:tc>
        <w:tc>
          <w:tcPr>
            <w:tcW w:w="8622" w:type="dxa"/>
            <w:shd w:val="clear" w:color="auto" w:fill="auto"/>
            <w:vAlign w:val="top"/>
          </w:tcPr>
          <w:p w14:paraId="5C915789">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szCs w:val="24"/>
                <w14:textFill>
                  <w14:solidFill>
                    <w14:schemeClr w14:val="tx1"/>
                  </w14:solidFill>
                </w14:textFill>
              </w:rPr>
            </w:pPr>
            <w:r>
              <w:rPr>
                <w:rFonts w:hint="default"/>
                <w:color w:val="000000" w:themeColor="text1"/>
                <w:sz w:val="24"/>
                <w:szCs w:val="24"/>
                <w14:textFill>
                  <w14:solidFill>
                    <w14:schemeClr w14:val="tx1"/>
                  </w14:solidFill>
                </w14:textFill>
              </w:rPr>
              <w:t>根据国家相关污染物排放执行总量控制的有关规定，结合</w:t>
            </w:r>
            <w:r>
              <w:rPr>
                <w:rFonts w:hint="eastAsia"/>
                <w:color w:val="000000" w:themeColor="text1"/>
                <w:sz w:val="24"/>
                <w:szCs w:val="24"/>
                <w14:textFill>
                  <w14:solidFill>
                    <w14:schemeClr w14:val="tx1"/>
                  </w14:solidFill>
                </w14:textFill>
              </w:rPr>
              <w:t>本</w:t>
            </w:r>
            <w:r>
              <w:rPr>
                <w:rFonts w:hint="default"/>
                <w:color w:val="000000" w:themeColor="text1"/>
                <w:sz w:val="24"/>
                <w:szCs w:val="24"/>
                <w14:textFill>
                  <w14:solidFill>
                    <w14:schemeClr w14:val="tx1"/>
                  </w14:solidFill>
                </w14:textFill>
              </w:rPr>
              <w:t>项目的排污特点，经计算，</w:t>
            </w:r>
            <w:r>
              <w:rPr>
                <w:rFonts w:hint="eastAsia"/>
                <w:color w:val="000000" w:themeColor="text1"/>
                <w:sz w:val="24"/>
                <w:szCs w:val="24"/>
                <w14:textFill>
                  <w14:solidFill>
                    <w14:schemeClr w14:val="tx1"/>
                  </w14:solidFill>
                </w14:textFill>
              </w:rPr>
              <w:t>本</w:t>
            </w:r>
            <w:r>
              <w:rPr>
                <w:rFonts w:hint="default"/>
                <w:color w:val="000000" w:themeColor="text1"/>
                <w:sz w:val="24"/>
                <w:szCs w:val="24"/>
                <w14:textFill>
                  <w14:solidFill>
                    <w14:schemeClr w14:val="tx1"/>
                  </w14:solidFill>
                </w14:textFill>
              </w:rPr>
              <w:t>项目污染物</w:t>
            </w:r>
            <w:r>
              <w:rPr>
                <w:rFonts w:hint="eastAsia"/>
                <w:color w:val="000000" w:themeColor="text1"/>
                <w:sz w:val="24"/>
                <w:szCs w:val="24"/>
                <w14:textFill>
                  <w14:solidFill>
                    <w14:schemeClr w14:val="tx1"/>
                  </w14:solidFill>
                </w14:textFill>
              </w:rPr>
              <w:t>有组织</w:t>
            </w:r>
            <w:r>
              <w:rPr>
                <w:rFonts w:hint="default"/>
                <w:color w:val="000000" w:themeColor="text1"/>
                <w:sz w:val="24"/>
                <w:szCs w:val="24"/>
                <w14:textFill>
                  <w14:solidFill>
                    <w14:schemeClr w14:val="tx1"/>
                  </w14:solidFill>
                </w14:textFill>
              </w:rPr>
              <w:t>总量控制建议指标如表3-</w:t>
            </w:r>
            <w:r>
              <w:rPr>
                <w:rFonts w:hint="eastAsia"/>
                <w:color w:val="000000" w:themeColor="text1"/>
                <w:sz w:val="24"/>
                <w:szCs w:val="24"/>
                <w:lang w:val="en-US" w:eastAsia="zh-CN"/>
                <w14:textFill>
                  <w14:solidFill>
                    <w14:schemeClr w14:val="tx1"/>
                  </w14:solidFill>
                </w14:textFill>
              </w:rPr>
              <w:t>13</w:t>
            </w:r>
            <w:r>
              <w:rPr>
                <w:rFonts w:hint="eastAsia"/>
                <w:color w:val="000000" w:themeColor="text1"/>
                <w:sz w:val="24"/>
                <w:szCs w:val="24"/>
                <w14:textFill>
                  <w14:solidFill>
                    <w14:schemeClr w14:val="tx1"/>
                  </w14:solidFill>
                </w14:textFill>
              </w:rPr>
              <w:t>。</w:t>
            </w:r>
          </w:p>
          <w:p w14:paraId="06FFC3BC">
            <w:pPr>
              <w:keepNext w:val="0"/>
              <w:keepLines w:val="0"/>
              <w:suppressLineNumbers w:val="0"/>
              <w:adjustRightInd w:val="0"/>
              <w:snapToGrid w:val="0"/>
              <w:spacing w:before="0" w:beforeAutospacing="0" w:after="0" w:afterAutospacing="0"/>
              <w:ind w:left="0" w:right="0"/>
              <w:jc w:val="center"/>
              <w:rPr>
                <w:rFonts w:hint="default"/>
                <w:b/>
                <w:bCs/>
                <w:color w:val="000000" w:themeColor="text1"/>
                <w:kern w:val="0"/>
                <w:sz w:val="24"/>
                <w:szCs w:val="24"/>
                <w:highlight w:val="none"/>
                <w14:textFill>
                  <w14:solidFill>
                    <w14:schemeClr w14:val="tx1"/>
                  </w14:solidFill>
                </w14:textFill>
              </w:rPr>
            </w:pPr>
            <w:r>
              <w:rPr>
                <w:rFonts w:hint="default"/>
                <w:b/>
                <w:bCs/>
                <w:color w:val="000000" w:themeColor="text1"/>
                <w:kern w:val="0"/>
                <w:sz w:val="24"/>
                <w:szCs w:val="24"/>
                <w:highlight w:val="none"/>
                <w14:textFill>
                  <w14:solidFill>
                    <w14:schemeClr w14:val="tx1"/>
                  </w14:solidFill>
                </w14:textFill>
              </w:rPr>
              <w:t>表3</w:t>
            </w:r>
            <w:r>
              <w:rPr>
                <w:rFonts w:hint="eastAsia"/>
                <w:b/>
                <w:bCs/>
                <w:color w:val="000000" w:themeColor="text1"/>
                <w:kern w:val="0"/>
                <w:sz w:val="24"/>
                <w:szCs w:val="24"/>
                <w:highlight w:val="none"/>
                <w:lang w:val="en-US" w:eastAsia="zh-CN"/>
                <w14:textFill>
                  <w14:solidFill>
                    <w14:schemeClr w14:val="tx1"/>
                  </w14:solidFill>
                </w14:textFill>
              </w:rPr>
              <w:t>-13</w:t>
            </w:r>
            <w:r>
              <w:rPr>
                <w:rFonts w:hint="eastAsia"/>
                <w:b/>
                <w:bCs/>
                <w:color w:val="000000" w:themeColor="text1"/>
                <w:kern w:val="0"/>
                <w:sz w:val="24"/>
                <w:szCs w:val="24"/>
                <w:highlight w:val="none"/>
                <w14:textFill>
                  <w14:solidFill>
                    <w14:schemeClr w14:val="tx1"/>
                  </w14:solidFill>
                </w14:textFill>
              </w:rPr>
              <w:t xml:space="preserve"> </w:t>
            </w:r>
            <w:r>
              <w:rPr>
                <w:rFonts w:hint="default"/>
                <w:b/>
                <w:bCs/>
                <w:color w:val="000000" w:themeColor="text1"/>
                <w:kern w:val="0"/>
                <w:sz w:val="24"/>
                <w:szCs w:val="24"/>
                <w:highlight w:val="none"/>
                <w14:textFill>
                  <w14:solidFill>
                    <w14:schemeClr w14:val="tx1"/>
                  </w14:solidFill>
                </w14:textFill>
              </w:rPr>
              <w:t>项目总量控制一览表</w:t>
            </w:r>
          </w:p>
          <w:tbl>
            <w:tblPr>
              <w:tblStyle w:val="22"/>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2043"/>
              <w:gridCol w:w="2920"/>
              <w:gridCol w:w="1732"/>
            </w:tblGrid>
            <w:tr w14:paraId="02D7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1279" w:type="dxa"/>
                  <w:vMerge w:val="restart"/>
                  <w:vAlign w:val="center"/>
                </w:tcPr>
                <w:p w14:paraId="19B89EB3">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类别</w:t>
                  </w:r>
                </w:p>
              </w:tc>
              <w:tc>
                <w:tcPr>
                  <w:tcW w:w="2043" w:type="dxa"/>
                  <w:vMerge w:val="restart"/>
                  <w:vAlign w:val="center"/>
                </w:tcPr>
                <w:p w14:paraId="64A97464">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控制指标</w:t>
                  </w:r>
                </w:p>
              </w:tc>
              <w:tc>
                <w:tcPr>
                  <w:tcW w:w="4652" w:type="dxa"/>
                  <w:gridSpan w:val="2"/>
                  <w:vAlign w:val="center"/>
                </w:tcPr>
                <w:p w14:paraId="7F24EEEC">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本项目总量指标</w:t>
                  </w:r>
                </w:p>
              </w:tc>
            </w:tr>
            <w:tr w14:paraId="1958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279" w:type="dxa"/>
                  <w:vMerge w:val="continue"/>
                  <w:vAlign w:val="center"/>
                </w:tcPr>
                <w:p w14:paraId="5B9435B0">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
                      <w:bCs/>
                      <w:color w:val="000000" w:themeColor="text1"/>
                      <w:sz w:val="21"/>
                      <w:szCs w:val="21"/>
                      <w:highlight w:val="none"/>
                      <w14:textFill>
                        <w14:solidFill>
                          <w14:schemeClr w14:val="tx1"/>
                        </w14:solidFill>
                      </w14:textFill>
                    </w:rPr>
                  </w:pPr>
                </w:p>
              </w:tc>
              <w:tc>
                <w:tcPr>
                  <w:tcW w:w="2043" w:type="dxa"/>
                  <w:vMerge w:val="continue"/>
                  <w:vAlign w:val="center"/>
                </w:tcPr>
                <w:p w14:paraId="3FC50A21">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
                      <w:bCs/>
                      <w:color w:val="000000" w:themeColor="text1"/>
                      <w:sz w:val="21"/>
                      <w:szCs w:val="21"/>
                      <w:highlight w:val="none"/>
                      <w14:textFill>
                        <w14:solidFill>
                          <w14:schemeClr w14:val="tx1"/>
                        </w14:solidFill>
                      </w14:textFill>
                    </w:rPr>
                  </w:pPr>
                </w:p>
              </w:tc>
              <w:tc>
                <w:tcPr>
                  <w:tcW w:w="2920" w:type="dxa"/>
                  <w:vAlign w:val="center"/>
                </w:tcPr>
                <w:p w14:paraId="4C71E152">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排入</w:t>
                  </w:r>
                  <w:r>
                    <w:rPr>
                      <w:rFonts w:hint="eastAsia"/>
                      <w:b/>
                      <w:bCs/>
                      <w:color w:val="000000" w:themeColor="text1"/>
                      <w:sz w:val="21"/>
                      <w:szCs w:val="21"/>
                      <w:highlight w:val="none"/>
                      <w:lang w:val="en-US" w:eastAsia="zh-CN"/>
                      <w14:textFill>
                        <w14:solidFill>
                          <w14:schemeClr w14:val="tx1"/>
                        </w14:solidFill>
                      </w14:textFill>
                    </w:rPr>
                    <w:t>青杠</w:t>
                  </w:r>
                  <w:r>
                    <w:rPr>
                      <w:rFonts w:hint="eastAsia"/>
                      <w:b/>
                      <w:bCs/>
                      <w:color w:val="000000" w:themeColor="text1"/>
                      <w:sz w:val="21"/>
                      <w:szCs w:val="21"/>
                      <w:highlight w:val="none"/>
                      <w14:textFill>
                        <w14:solidFill>
                          <w14:schemeClr w14:val="tx1"/>
                        </w14:solidFill>
                      </w14:textFill>
                    </w:rPr>
                    <w:t>污水处理厂</w:t>
                  </w:r>
                </w:p>
              </w:tc>
              <w:tc>
                <w:tcPr>
                  <w:tcW w:w="1732" w:type="dxa"/>
                  <w:vAlign w:val="center"/>
                </w:tcPr>
                <w:p w14:paraId="7E8AF468">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eastAsia="宋体"/>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排入</w:t>
                  </w:r>
                  <w:r>
                    <w:rPr>
                      <w:rFonts w:hint="eastAsia"/>
                      <w:b/>
                      <w:bCs/>
                      <w:color w:val="000000" w:themeColor="text1"/>
                      <w:sz w:val="21"/>
                      <w:szCs w:val="21"/>
                      <w:highlight w:val="none"/>
                      <w:lang w:val="en-US" w:eastAsia="zh-CN"/>
                      <w14:textFill>
                        <w14:solidFill>
                          <w14:schemeClr w14:val="tx1"/>
                        </w14:solidFill>
                      </w14:textFill>
                    </w:rPr>
                    <w:t>璧南河</w:t>
                  </w:r>
                </w:p>
              </w:tc>
            </w:tr>
            <w:tr w14:paraId="488C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279" w:type="dxa"/>
                  <w:vMerge w:val="restart"/>
                  <w:vAlign w:val="center"/>
                </w:tcPr>
                <w:p w14:paraId="1BAAAB10">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废水</w:t>
                  </w:r>
                </w:p>
              </w:tc>
              <w:tc>
                <w:tcPr>
                  <w:tcW w:w="2043" w:type="dxa"/>
                  <w:vAlign w:val="center"/>
                </w:tcPr>
                <w:p w14:paraId="759446A5">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COD</w:t>
                  </w:r>
                </w:p>
              </w:tc>
              <w:tc>
                <w:tcPr>
                  <w:tcW w:w="2920" w:type="dxa"/>
                  <w:vAlign w:val="center"/>
                </w:tcPr>
                <w:p w14:paraId="40BD0ED2">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0.1585</w:t>
                  </w:r>
                  <w:r>
                    <w:rPr>
                      <w:rFonts w:hint="eastAsia"/>
                      <w:color w:val="000000" w:themeColor="text1"/>
                      <w:sz w:val="21"/>
                      <w:szCs w:val="21"/>
                      <w:highlight w:val="none"/>
                      <w14:textFill>
                        <w14:solidFill>
                          <w14:schemeClr w14:val="tx1"/>
                        </w14:solidFill>
                      </w14:textFill>
                    </w:rPr>
                    <w:t>t/a</w:t>
                  </w:r>
                </w:p>
              </w:tc>
              <w:tc>
                <w:tcPr>
                  <w:tcW w:w="1732" w:type="dxa"/>
                  <w:vAlign w:val="center"/>
                </w:tcPr>
                <w:p w14:paraId="53CE4E50">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kern w:val="0"/>
                      <w:szCs w:val="21"/>
                      <w:highlight w:val="none"/>
                      <w:u w:val="none"/>
                      <w:lang w:val="en-US" w:eastAsia="zh-CN" w:bidi="ar"/>
                      <w14:textFill>
                        <w14:solidFill>
                          <w14:schemeClr w14:val="tx1"/>
                        </w14:solidFill>
                      </w14:textFill>
                    </w:rPr>
                    <w:t>0.0095</w:t>
                  </w:r>
                  <w:r>
                    <w:rPr>
                      <w:rFonts w:hint="eastAsia"/>
                      <w:color w:val="000000" w:themeColor="text1"/>
                      <w:sz w:val="21"/>
                      <w:szCs w:val="21"/>
                      <w:highlight w:val="none"/>
                      <w14:textFill>
                        <w14:solidFill>
                          <w14:schemeClr w14:val="tx1"/>
                        </w14:solidFill>
                      </w14:textFill>
                    </w:rPr>
                    <w:t>t/a</w:t>
                  </w:r>
                </w:p>
              </w:tc>
            </w:tr>
            <w:tr w14:paraId="31CF9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279" w:type="dxa"/>
                  <w:vMerge w:val="continue"/>
                  <w:vAlign w:val="center"/>
                </w:tcPr>
                <w:p w14:paraId="30D01F7D">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p>
              </w:tc>
              <w:tc>
                <w:tcPr>
                  <w:tcW w:w="2043" w:type="dxa"/>
                  <w:vAlign w:val="center"/>
                </w:tcPr>
                <w:p w14:paraId="37FAB246">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NH</w:t>
                  </w:r>
                  <w:r>
                    <w:rPr>
                      <w:rFonts w:hint="eastAsia"/>
                      <w:color w:val="000000" w:themeColor="text1"/>
                      <w:sz w:val="21"/>
                      <w:szCs w:val="21"/>
                      <w:highlight w:val="none"/>
                      <w:vertAlign w:val="sub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-N</w:t>
                  </w:r>
                </w:p>
              </w:tc>
              <w:tc>
                <w:tcPr>
                  <w:tcW w:w="2920" w:type="dxa"/>
                  <w:vAlign w:val="center"/>
                </w:tcPr>
                <w:p w14:paraId="76B66899">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0.0131</w:t>
                  </w:r>
                  <w:r>
                    <w:rPr>
                      <w:rFonts w:hint="eastAsia"/>
                      <w:color w:val="000000" w:themeColor="text1"/>
                      <w:sz w:val="21"/>
                      <w:szCs w:val="21"/>
                      <w:highlight w:val="none"/>
                      <w14:textFill>
                        <w14:solidFill>
                          <w14:schemeClr w14:val="tx1"/>
                        </w14:solidFill>
                      </w14:textFill>
                    </w:rPr>
                    <w:t>t/a</w:t>
                  </w:r>
                </w:p>
              </w:tc>
              <w:tc>
                <w:tcPr>
                  <w:tcW w:w="1732" w:type="dxa"/>
                  <w:vAlign w:val="center"/>
                </w:tcPr>
                <w:p w14:paraId="6D2E2E56">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default"/>
                      <w:color w:val="000000" w:themeColor="text1"/>
                      <w:kern w:val="0"/>
                      <w:szCs w:val="21"/>
                      <w:highlight w:val="none"/>
                      <w:u w:val="none"/>
                      <w:lang w:bidi="ar"/>
                      <w14:textFill>
                        <w14:solidFill>
                          <w14:schemeClr w14:val="tx1"/>
                        </w14:solidFill>
                      </w14:textFill>
                    </w:rPr>
                    <w:t>0.000</w:t>
                  </w:r>
                  <w:r>
                    <w:rPr>
                      <w:rFonts w:hint="eastAsia"/>
                      <w:color w:val="000000" w:themeColor="text1"/>
                      <w:kern w:val="0"/>
                      <w:szCs w:val="21"/>
                      <w:highlight w:val="none"/>
                      <w:u w:val="none"/>
                      <w:lang w:val="en-US" w:eastAsia="zh-CN" w:bidi="ar"/>
                      <w14:textFill>
                        <w14:solidFill>
                          <w14:schemeClr w14:val="tx1"/>
                        </w14:solidFill>
                      </w14:textFill>
                    </w:rPr>
                    <w:t>4</w:t>
                  </w:r>
                  <w:r>
                    <w:rPr>
                      <w:rFonts w:hint="eastAsia"/>
                      <w:color w:val="000000" w:themeColor="text1"/>
                      <w:sz w:val="21"/>
                      <w:szCs w:val="21"/>
                      <w:highlight w:val="none"/>
                      <w14:textFill>
                        <w14:solidFill>
                          <w14:schemeClr w14:val="tx1"/>
                        </w14:solidFill>
                      </w14:textFill>
                    </w:rPr>
                    <w:t>t/a</w:t>
                  </w:r>
                </w:p>
              </w:tc>
            </w:tr>
            <w:tr w14:paraId="321AF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79" w:type="dxa"/>
                  <w:vMerge w:val="restart"/>
                  <w:vAlign w:val="center"/>
                </w:tcPr>
                <w:p w14:paraId="29740F23">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废气</w:t>
                  </w:r>
                </w:p>
              </w:tc>
              <w:tc>
                <w:tcPr>
                  <w:tcW w:w="2043" w:type="dxa"/>
                  <w:vAlign w:val="center"/>
                </w:tcPr>
                <w:p w14:paraId="7F0F2C46">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非甲烷总烃</w:t>
                  </w:r>
                </w:p>
              </w:tc>
              <w:tc>
                <w:tcPr>
                  <w:tcW w:w="4652" w:type="dxa"/>
                  <w:gridSpan w:val="2"/>
                  <w:vAlign w:val="center"/>
                </w:tcPr>
                <w:p w14:paraId="16827BD7">
                  <w:pPr>
                    <w:pStyle w:val="49"/>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0.554</w:t>
                  </w:r>
                  <w:r>
                    <w:rPr>
                      <w:rFonts w:hint="eastAsia"/>
                      <w:color w:val="000000" w:themeColor="text1"/>
                      <w:sz w:val="21"/>
                      <w:szCs w:val="21"/>
                      <w:highlight w:val="none"/>
                      <w14:textFill>
                        <w14:solidFill>
                          <w14:schemeClr w14:val="tx1"/>
                        </w14:solidFill>
                      </w14:textFill>
                    </w:rPr>
                    <w:t>t/a（有组织）</w:t>
                  </w:r>
                </w:p>
              </w:tc>
            </w:tr>
            <w:tr w14:paraId="66DA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9" w:type="dxa"/>
                  <w:vMerge w:val="continue"/>
                  <w:vAlign w:val="center"/>
                </w:tcPr>
                <w:p w14:paraId="63431513">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000000" w:themeColor="text1"/>
                      <w:sz w:val="21"/>
                      <w:szCs w:val="21"/>
                      <w:highlight w:val="none"/>
                      <w14:textFill>
                        <w14:solidFill>
                          <w14:schemeClr w14:val="tx1"/>
                        </w14:solidFill>
                      </w14:textFill>
                    </w:rPr>
                  </w:pPr>
                </w:p>
              </w:tc>
              <w:tc>
                <w:tcPr>
                  <w:tcW w:w="2043" w:type="dxa"/>
                  <w:vAlign w:val="center"/>
                </w:tcPr>
                <w:p w14:paraId="4E0E0E01">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颗粒物</w:t>
                  </w:r>
                </w:p>
              </w:tc>
              <w:tc>
                <w:tcPr>
                  <w:tcW w:w="4652" w:type="dxa"/>
                  <w:gridSpan w:val="2"/>
                  <w:vAlign w:val="center"/>
                </w:tcPr>
                <w:p w14:paraId="416C2EC5">
                  <w:pPr>
                    <w:pStyle w:val="49"/>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0.338</w:t>
                  </w:r>
                  <w:r>
                    <w:rPr>
                      <w:rFonts w:hint="eastAsia"/>
                      <w:color w:val="000000" w:themeColor="text1"/>
                      <w:sz w:val="21"/>
                      <w:szCs w:val="21"/>
                      <w:highlight w:val="none"/>
                      <w14:textFill>
                        <w14:solidFill>
                          <w14:schemeClr w14:val="tx1"/>
                        </w14:solidFill>
                      </w14:textFill>
                    </w:rPr>
                    <w:t>t/a（有组织）</w:t>
                  </w:r>
                </w:p>
              </w:tc>
            </w:tr>
            <w:tr w14:paraId="792F1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9" w:type="dxa"/>
                  <w:vMerge w:val="continue"/>
                  <w:vAlign w:val="center"/>
                </w:tcPr>
                <w:p w14:paraId="7740FE3E">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000000" w:themeColor="text1"/>
                      <w:sz w:val="21"/>
                      <w:szCs w:val="21"/>
                      <w:highlight w:val="none"/>
                      <w14:textFill>
                        <w14:solidFill>
                          <w14:schemeClr w14:val="tx1"/>
                        </w14:solidFill>
                      </w14:textFill>
                    </w:rPr>
                  </w:pPr>
                </w:p>
              </w:tc>
              <w:tc>
                <w:tcPr>
                  <w:tcW w:w="2043" w:type="dxa"/>
                  <w:vAlign w:val="center"/>
                </w:tcPr>
                <w:p w14:paraId="2E1146A4">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vertAlign w:val="subscript"/>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SO</w:t>
                  </w:r>
                  <w:r>
                    <w:rPr>
                      <w:rFonts w:hint="eastAsia"/>
                      <w:color w:val="000000" w:themeColor="text1"/>
                      <w:sz w:val="21"/>
                      <w:szCs w:val="21"/>
                      <w:highlight w:val="none"/>
                      <w:vertAlign w:val="subscript"/>
                      <w:lang w:val="en-US" w:eastAsia="zh-CN"/>
                      <w14:textFill>
                        <w14:solidFill>
                          <w14:schemeClr w14:val="tx1"/>
                        </w14:solidFill>
                      </w14:textFill>
                    </w:rPr>
                    <w:t>2</w:t>
                  </w:r>
                </w:p>
              </w:tc>
              <w:tc>
                <w:tcPr>
                  <w:tcW w:w="4652" w:type="dxa"/>
                  <w:gridSpan w:val="2"/>
                  <w:vAlign w:val="center"/>
                </w:tcPr>
                <w:p w14:paraId="69E4C25F">
                  <w:pPr>
                    <w:pStyle w:val="49"/>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0.030</w:t>
                  </w:r>
                  <w:r>
                    <w:rPr>
                      <w:rFonts w:hint="eastAsia"/>
                      <w:color w:val="000000" w:themeColor="text1"/>
                      <w:sz w:val="21"/>
                      <w:szCs w:val="21"/>
                      <w:highlight w:val="none"/>
                      <w14:textFill>
                        <w14:solidFill>
                          <w14:schemeClr w14:val="tx1"/>
                        </w14:solidFill>
                      </w14:textFill>
                    </w:rPr>
                    <w:t>t/a（有组织）</w:t>
                  </w:r>
                </w:p>
              </w:tc>
            </w:tr>
            <w:tr w14:paraId="77FC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9" w:type="dxa"/>
                  <w:vMerge w:val="continue"/>
                  <w:vAlign w:val="center"/>
                </w:tcPr>
                <w:p w14:paraId="4712C119">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color w:val="000000" w:themeColor="text1"/>
                      <w:sz w:val="21"/>
                      <w:szCs w:val="21"/>
                      <w:highlight w:val="none"/>
                      <w14:textFill>
                        <w14:solidFill>
                          <w14:schemeClr w14:val="tx1"/>
                        </w14:solidFill>
                      </w14:textFill>
                    </w:rPr>
                  </w:pPr>
                </w:p>
              </w:tc>
              <w:tc>
                <w:tcPr>
                  <w:tcW w:w="2043" w:type="dxa"/>
                  <w:vAlign w:val="center"/>
                </w:tcPr>
                <w:p w14:paraId="7C8F5DE3">
                  <w:pPr>
                    <w:pStyle w:val="49"/>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color w:val="000000" w:themeColor="text1"/>
                      <w:sz w:val="21"/>
                      <w:szCs w:val="21"/>
                      <w:highlight w:val="none"/>
                      <w:vertAlign w:val="subscript"/>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NO</w:t>
                  </w:r>
                  <w:r>
                    <w:rPr>
                      <w:rFonts w:hint="eastAsia"/>
                      <w:color w:val="000000" w:themeColor="text1"/>
                      <w:sz w:val="21"/>
                      <w:szCs w:val="21"/>
                      <w:highlight w:val="none"/>
                      <w:vertAlign w:val="subscript"/>
                      <w:lang w:val="en-US" w:eastAsia="zh-CN"/>
                      <w14:textFill>
                        <w14:solidFill>
                          <w14:schemeClr w14:val="tx1"/>
                        </w14:solidFill>
                      </w14:textFill>
                    </w:rPr>
                    <w:t>X</w:t>
                  </w:r>
                </w:p>
              </w:tc>
              <w:tc>
                <w:tcPr>
                  <w:tcW w:w="4652" w:type="dxa"/>
                  <w:gridSpan w:val="2"/>
                  <w:vAlign w:val="center"/>
                </w:tcPr>
                <w:p w14:paraId="228C0C68">
                  <w:pPr>
                    <w:pStyle w:val="49"/>
                    <w:keepNext w:val="0"/>
                    <w:keepLines w:val="0"/>
                    <w:suppressLineNumbers w:val="0"/>
                    <w:adjustRightInd w:val="0"/>
                    <w:snapToGrid w:val="0"/>
                    <w:spacing w:before="0" w:beforeAutospacing="0" w:after="0" w:afterAutospacing="0" w:line="240" w:lineRule="auto"/>
                    <w:ind w:left="0" w:leftChars="0" w:right="0" w:rightChars="0"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0.140</w:t>
                  </w:r>
                  <w:r>
                    <w:rPr>
                      <w:rFonts w:hint="eastAsia"/>
                      <w:color w:val="000000" w:themeColor="text1"/>
                      <w:sz w:val="21"/>
                      <w:szCs w:val="21"/>
                      <w:highlight w:val="none"/>
                      <w14:textFill>
                        <w14:solidFill>
                          <w14:schemeClr w14:val="tx1"/>
                        </w14:solidFill>
                      </w14:textFill>
                    </w:rPr>
                    <w:t>t/a（有组织）</w:t>
                  </w:r>
                </w:p>
              </w:tc>
            </w:tr>
          </w:tbl>
          <w:p w14:paraId="48997618">
            <w:pPr>
              <w:keepNext w:val="0"/>
              <w:keepLines w:val="0"/>
              <w:suppressLineNumbers w:val="0"/>
              <w:adjustRightInd w:val="0"/>
              <w:snapToGrid w:val="0"/>
              <w:spacing w:before="0" w:beforeAutospacing="0" w:after="0" w:afterAutospacing="0"/>
              <w:ind w:left="0" w:leftChars="0" w:right="0" w:rightChars="0"/>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r>
    </w:tbl>
    <w:p w14:paraId="67220490">
      <w:pPr>
        <w:rPr>
          <w:color w:val="000000" w:themeColor="text1"/>
          <w14:textFill>
            <w14:solidFill>
              <w14:schemeClr w14:val="tx1"/>
            </w14:solidFill>
          </w14:textFill>
        </w:rPr>
      </w:pPr>
      <w:r>
        <w:rPr>
          <w:color w:val="000000" w:themeColor="text1"/>
          <w14:textFill>
            <w14:solidFill>
              <w14:schemeClr w14:val="tx1"/>
            </w14:solidFill>
          </w14:textFill>
        </w:rPr>
        <w:br w:type="page"/>
      </w:r>
    </w:p>
    <w:p w14:paraId="66F060B6">
      <w:pPr>
        <w:pStyle w:val="19"/>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四、主要环境影响和保护措施</w:t>
      </w:r>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15"/>
      </w:tblGrid>
      <w:tr w14:paraId="0BC3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2" w:type="pct"/>
            <w:vAlign w:val="center"/>
          </w:tcPr>
          <w:p w14:paraId="0B11BEC1">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snapToGrid w:val="0"/>
                <w:color w:val="000000" w:themeColor="text1"/>
                <w:sz w:val="21"/>
                <w:szCs w:val="21"/>
                <w14:textFill>
                  <w14:solidFill>
                    <w14:schemeClr w14:val="tx1"/>
                  </w14:solidFill>
                </w14:textFill>
              </w:rPr>
            </w:pPr>
            <w:r>
              <w:rPr>
                <w:rFonts w:hint="default" w:ascii="Times New Roman" w:hAnsi="Times New Roman"/>
                <w:color w:val="000000" w:themeColor="text1"/>
                <w:kern w:val="2"/>
                <w:sz w:val="24"/>
                <w:szCs w:val="24"/>
                <w14:textFill>
                  <w14:solidFill>
                    <w14:schemeClr w14:val="tx1"/>
                  </w14:solidFill>
                </w14:textFill>
              </w:rPr>
              <w:t>施工期环境保护措施</w:t>
            </w:r>
          </w:p>
        </w:tc>
        <w:tc>
          <w:tcPr>
            <w:tcW w:w="4817" w:type="pct"/>
            <w:vAlign w:val="center"/>
          </w:tcPr>
          <w:p w14:paraId="44DB7C45">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本项目利用现有厂房，厂房已建成，不涉及新建厂房，施工期工作主要为设备的安装。主要污染为设备安装产生的噪声、粉尘、设备运输产生的扬尘、汽车尾气、建筑垃圾及施工工人产生的生活废水。</w:t>
            </w:r>
            <w:r>
              <w:rPr>
                <w:rFonts w:hint="default"/>
                <w:bCs/>
                <w:color w:val="000000" w:themeColor="text1"/>
                <w:sz w:val="24"/>
                <w:szCs w:val="24"/>
                <w14:textFill>
                  <w14:solidFill>
                    <w14:schemeClr w14:val="tx1"/>
                  </w14:solidFill>
                </w14:textFill>
              </w:rPr>
              <w:t>本次评价不对施工期进行详细评价。</w:t>
            </w:r>
          </w:p>
          <w:p w14:paraId="204ED142">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（1）</w:t>
            </w:r>
            <w:r>
              <w:rPr>
                <w:rFonts w:hint="eastAsia"/>
                <w:color w:val="000000" w:themeColor="text1"/>
                <w:kern w:val="0"/>
                <w:sz w:val="24"/>
                <w:szCs w:val="24"/>
                <w14:textFill>
                  <w14:solidFill>
                    <w14:schemeClr w14:val="tx1"/>
                  </w14:solidFill>
                </w14:textFill>
              </w:rPr>
              <w:t>废气</w:t>
            </w:r>
          </w:p>
          <w:p w14:paraId="1184382C">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本项目利用已建厂房建设，不对任何建筑和设施进行拆除，不涉及土木工程。运输车辆进场时会产生车辆运输扬尘、汽车尾气，合理安排运输车辆空间，尽量减少车次后可降低运输车辆影响；设备安装时，仅会产生少量粉尘，加强厂区通风后对周边环境影响极小。项目施工完成后，环境影响随之消失。</w:t>
            </w:r>
          </w:p>
          <w:p w14:paraId="48340805">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车辆运输产生的扬尘会造成一定的空气污染，主要污染物为TSP。本项目运输器械较少，故施工期产生的扬尘对道路沿线区域影响小。施工期间，使用液体燃料的机械和车辆发动机产生的尾气中含有SO</w:t>
            </w:r>
            <w:r>
              <w:rPr>
                <w:rFonts w:hint="eastAsia"/>
                <w:color w:val="000000" w:themeColor="text1"/>
                <w:kern w:val="0"/>
                <w:sz w:val="24"/>
                <w:szCs w:val="24"/>
                <w:vertAlign w:val="subscript"/>
                <w14:textFill>
                  <w14:solidFill>
                    <w14:schemeClr w14:val="tx1"/>
                  </w14:solidFill>
                </w14:textFill>
              </w:rPr>
              <w:t>2</w:t>
            </w:r>
            <w:r>
              <w:rPr>
                <w:rFonts w:hint="eastAsia"/>
                <w:color w:val="000000" w:themeColor="text1"/>
                <w:kern w:val="0"/>
                <w:sz w:val="24"/>
                <w:szCs w:val="24"/>
                <w14:textFill>
                  <w14:solidFill>
                    <w14:schemeClr w14:val="tx1"/>
                  </w14:solidFill>
                </w14:textFill>
              </w:rPr>
              <w:t>、CO、NO</w:t>
            </w:r>
            <w:r>
              <w:rPr>
                <w:rFonts w:hint="eastAsia"/>
                <w:color w:val="000000" w:themeColor="text1"/>
                <w:kern w:val="0"/>
                <w:sz w:val="24"/>
                <w:szCs w:val="24"/>
                <w:vertAlign w:val="subscript"/>
                <w14:textFill>
                  <w14:solidFill>
                    <w14:schemeClr w14:val="tx1"/>
                  </w14:solidFill>
                </w14:textFill>
              </w:rPr>
              <w:t>X</w:t>
            </w:r>
            <w:r>
              <w:rPr>
                <w:rFonts w:hint="eastAsia"/>
                <w:color w:val="000000" w:themeColor="text1"/>
                <w:kern w:val="0"/>
                <w:sz w:val="24"/>
                <w:szCs w:val="24"/>
                <w14:textFill>
                  <w14:solidFill>
                    <w14:schemeClr w14:val="tx1"/>
                  </w14:solidFill>
                </w14:textFill>
              </w:rPr>
              <w:t>、TSP、烃类等污染物，这些污染物的排放量小，对周围环境影响小。</w:t>
            </w:r>
          </w:p>
          <w:p w14:paraId="641A5A25">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（2）</w:t>
            </w:r>
            <w:r>
              <w:rPr>
                <w:rFonts w:hint="default"/>
                <w:color w:val="000000" w:themeColor="text1"/>
                <w:kern w:val="0"/>
                <w:sz w:val="24"/>
                <w:szCs w:val="24"/>
                <w14:textFill>
                  <w14:solidFill>
                    <w14:schemeClr w14:val="tx1"/>
                  </w14:solidFill>
                </w14:textFill>
              </w:rPr>
              <w:t>废水</w:t>
            </w:r>
          </w:p>
          <w:p w14:paraId="440115DC">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color w:val="000000" w:themeColor="text1"/>
                <w:kern w:val="0"/>
                <w:sz w:val="24"/>
                <w:szCs w:val="24"/>
                <w14:textFill>
                  <w14:solidFill>
                    <w14:schemeClr w14:val="tx1"/>
                  </w14:solidFill>
                </w14:textFill>
              </w:rPr>
            </w:pPr>
            <w:r>
              <w:rPr>
                <w:rFonts w:hint="default"/>
                <w:color w:val="000000" w:themeColor="text1"/>
                <w:kern w:val="0"/>
                <w:sz w:val="24"/>
                <w:szCs w:val="24"/>
                <w14:textFill>
                  <w14:solidFill>
                    <w14:schemeClr w14:val="tx1"/>
                  </w14:solidFill>
                </w14:textFill>
              </w:rPr>
              <w:t>施工期废水主要为施工人员生活污水，利用厂区现有</w:t>
            </w:r>
            <w:r>
              <w:rPr>
                <w:rFonts w:hint="eastAsia"/>
                <w:color w:val="000000" w:themeColor="text1"/>
                <w:kern w:val="0"/>
                <w:sz w:val="24"/>
                <w:szCs w:val="24"/>
                <w:lang w:val="en-US" w:eastAsia="zh-CN"/>
                <w14:textFill>
                  <w14:solidFill>
                    <w14:schemeClr w14:val="tx1"/>
                  </w14:solidFill>
                </w14:textFill>
              </w:rPr>
              <w:t>生化池</w:t>
            </w:r>
            <w:r>
              <w:rPr>
                <w:rFonts w:hint="eastAsia"/>
                <w:color w:val="000000" w:themeColor="text1"/>
                <w:kern w:val="0"/>
                <w:sz w:val="24"/>
                <w:szCs w:val="24"/>
                <w14:textFill>
                  <w14:solidFill>
                    <w14:schemeClr w14:val="tx1"/>
                  </w14:solidFill>
                </w14:textFill>
              </w:rPr>
              <w:t>处理后达标排放</w:t>
            </w:r>
            <w:r>
              <w:rPr>
                <w:rFonts w:hint="default"/>
                <w:color w:val="000000" w:themeColor="text1"/>
                <w:kern w:val="0"/>
                <w:sz w:val="24"/>
                <w:szCs w:val="24"/>
                <w14:textFill>
                  <w14:solidFill>
                    <w14:schemeClr w14:val="tx1"/>
                  </w14:solidFill>
                </w14:textFill>
              </w:rPr>
              <w:t>。</w:t>
            </w:r>
          </w:p>
          <w:p w14:paraId="5BF8F7E7">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（3）</w:t>
            </w:r>
            <w:r>
              <w:rPr>
                <w:rFonts w:hint="default"/>
                <w:color w:val="000000" w:themeColor="text1"/>
                <w:kern w:val="0"/>
                <w:sz w:val="24"/>
                <w:szCs w:val="24"/>
                <w14:textFill>
                  <w14:solidFill>
                    <w14:schemeClr w14:val="tx1"/>
                  </w14:solidFill>
                </w14:textFill>
              </w:rPr>
              <w:t>噪声</w:t>
            </w:r>
          </w:p>
          <w:p w14:paraId="68E08B31">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装修期间主要噪声设备有车辆运输噪声、设备安装噪声，噪声值约70～90dB（A）。施工主要集中在室内昼间作业，夜间不作业。厂房周边主要为已投产的工业企业，周边200m范围内无学校、养老院、居民区等环境敏感点，施工噪声将随着施工期的结束而消失。企业应通过加强对运输车辆管理、选用低噪声机械设备、合理安排作业时间等噪声环境保护措施，降低施工噪声对周边环境的影响。项目施工期整体噪声环境影响可接受。</w:t>
            </w:r>
          </w:p>
          <w:p w14:paraId="7BBABF2A">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（4）</w:t>
            </w:r>
            <w:r>
              <w:rPr>
                <w:rFonts w:hint="default"/>
                <w:color w:val="000000" w:themeColor="text1"/>
                <w:kern w:val="0"/>
                <w:sz w:val="24"/>
                <w:szCs w:val="24"/>
                <w14:textFill>
                  <w14:solidFill>
                    <w14:schemeClr w14:val="tx1"/>
                  </w14:solidFill>
                </w14:textFill>
              </w:rPr>
              <w:t>固废</w:t>
            </w:r>
          </w:p>
          <w:p w14:paraId="5D0CB6FC">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snapToGrid w:val="0"/>
                <w:color w:val="000000" w:themeColor="text1"/>
                <w:szCs w:val="21"/>
                <w14:textFill>
                  <w14:solidFill>
                    <w14:schemeClr w14:val="tx1"/>
                  </w14:solidFill>
                </w14:textFill>
              </w:rPr>
            </w:pPr>
            <w:r>
              <w:rPr>
                <w:rFonts w:hint="eastAsia"/>
                <w:snapToGrid w:val="0"/>
                <w:color w:val="000000" w:themeColor="text1"/>
                <w:sz w:val="24"/>
                <w:szCs w:val="24"/>
                <w14:textFill>
                  <w14:solidFill>
                    <w14:schemeClr w14:val="tx1"/>
                  </w14:solidFill>
                </w14:textFill>
              </w:rPr>
              <w:t>项目施工期产生的固体废弃物为废包装材料和工人生活垃圾，施工过程中产生的废包材量较小，外售废品回收站处置；施工人员生活垃圾由环卫部门统一进行处理，对周围环境影响较小。</w:t>
            </w:r>
          </w:p>
        </w:tc>
      </w:tr>
      <w:tr w14:paraId="0435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8" w:hRule="atLeast"/>
          <w:jc w:val="center"/>
        </w:trPr>
        <w:tc>
          <w:tcPr>
            <w:tcW w:w="182" w:type="pct"/>
            <w:vAlign w:val="center"/>
          </w:tcPr>
          <w:p w14:paraId="7D506D17">
            <w:pPr>
              <w:pStyle w:val="19"/>
              <w:keepNext w:val="0"/>
              <w:keepLines w:val="0"/>
              <w:suppressLineNumbers w:val="0"/>
              <w:adjustRightInd w:val="0"/>
              <w:snapToGrid w:val="0"/>
              <w:spacing w:before="0" w:beforeAutospacing="0" w:after="0" w:afterAutospacing="0"/>
              <w:ind w:left="0" w:right="0"/>
              <w:jc w:val="center"/>
              <w:rPr>
                <w:rFonts w:hint="default" w:ascii="Times New Roman" w:hAnsi="Times New Roman"/>
                <w:color w:val="000000" w:themeColor="text1"/>
                <w:kern w:val="2"/>
                <w:sz w:val="24"/>
                <w:szCs w:val="24"/>
                <w14:textFill>
                  <w14:solidFill>
                    <w14:schemeClr w14:val="tx1"/>
                  </w14:solidFill>
                </w14:textFill>
              </w:rPr>
            </w:pPr>
            <w:r>
              <w:rPr>
                <w:rFonts w:hint="default"/>
                <w:bCs/>
                <w:color w:val="000000" w:themeColor="text1"/>
                <w:sz w:val="24"/>
                <w:szCs w:val="24"/>
                <w14:textFill>
                  <w14:solidFill>
                    <w14:schemeClr w14:val="tx1"/>
                  </w14:solidFill>
                </w14:textFill>
              </w:rPr>
              <w:t>运营期环境影响和保护措施</w:t>
            </w:r>
          </w:p>
        </w:tc>
        <w:tc>
          <w:tcPr>
            <w:tcW w:w="4817" w:type="pct"/>
            <w:vAlign w:val="center"/>
          </w:tcPr>
          <w:p w14:paraId="434E81F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eastAsia"/>
                <w:b/>
                <w:bCs w:val="0"/>
                <w:color w:val="000000" w:themeColor="text1"/>
                <w:sz w:val="24"/>
                <w:szCs w:val="24"/>
                <w14:textFill>
                  <w14:solidFill>
                    <w14:schemeClr w14:val="tx1"/>
                  </w14:solidFill>
                </w14:textFill>
              </w:rPr>
            </w:pPr>
            <w:r>
              <w:rPr>
                <w:rFonts w:hint="eastAsia"/>
                <w:b/>
                <w:bCs w:val="0"/>
                <w:color w:val="000000" w:themeColor="text1"/>
                <w:spacing w:val="-10"/>
                <w:sz w:val="24"/>
                <w:szCs w:val="24"/>
                <w:lang w:val="en-US" w:eastAsia="zh-CN"/>
                <w14:textFill>
                  <w14:solidFill>
                    <w14:schemeClr w14:val="tx1"/>
                  </w14:solidFill>
                </w14:textFill>
              </w:rPr>
              <w:t>1、</w:t>
            </w:r>
            <w:r>
              <w:rPr>
                <w:rFonts w:hint="default"/>
                <w:b/>
                <w:bCs w:val="0"/>
                <w:color w:val="000000" w:themeColor="text1"/>
                <w:spacing w:val="-10"/>
                <w:sz w:val="24"/>
                <w:szCs w:val="24"/>
                <w14:textFill>
                  <w14:solidFill>
                    <w14:schemeClr w14:val="tx1"/>
                  </w14:solidFill>
                </w14:textFill>
              </w:rPr>
              <w:t>废</w:t>
            </w:r>
            <w:r>
              <w:rPr>
                <w:rFonts w:hint="eastAsia"/>
                <w:b/>
                <w:bCs w:val="0"/>
                <w:color w:val="000000" w:themeColor="text1"/>
                <w:sz w:val="24"/>
                <w:szCs w:val="24"/>
                <w14:textFill>
                  <w14:solidFill>
                    <w14:schemeClr w14:val="tx1"/>
                  </w14:solidFill>
                </w14:textFill>
              </w:rPr>
              <w:t>气</w:t>
            </w:r>
          </w:p>
          <w:p w14:paraId="0832E3A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color w:val="000000" w:themeColor="text1"/>
                <w:sz w:val="24"/>
                <w:szCs w:val="24"/>
                <w:lang w:val="en-US"/>
                <w14:textFill>
                  <w14:solidFill>
                    <w14:schemeClr w14:val="tx1"/>
                  </w14:solidFill>
                </w14:textFill>
              </w:rPr>
            </w:pPr>
            <w:r>
              <w:rPr>
                <w:rFonts w:hint="eastAsia"/>
                <w:color w:val="000000" w:themeColor="text1"/>
                <w:sz w:val="24"/>
                <w:szCs w:val="24"/>
                <w14:textFill>
                  <w14:solidFill>
                    <w14:schemeClr w14:val="tx1"/>
                  </w14:solidFill>
                </w14:textFill>
              </w:rPr>
              <w:t>本项目</w:t>
            </w:r>
            <w:r>
              <w:rPr>
                <w:rFonts w:hint="eastAsia"/>
                <w:color w:val="000000" w:themeColor="text1"/>
                <w:sz w:val="24"/>
                <w:szCs w:val="24"/>
                <w:lang w:val="en-US" w:eastAsia="zh-CN"/>
                <w14:textFill>
                  <w14:solidFill>
                    <w14:schemeClr w14:val="tx1"/>
                  </w14:solidFill>
                </w14:textFill>
              </w:rPr>
              <w:t>两条生产线生产工艺相同，喷涂工序工艺相同，因此相同工艺产生废气使用同一序号。</w:t>
            </w:r>
            <w:r>
              <w:rPr>
                <w:rFonts w:hint="eastAsia"/>
                <w:color w:val="000000" w:themeColor="text1"/>
                <w:sz w:val="24"/>
                <w:szCs w:val="24"/>
                <w14:textFill>
                  <w14:solidFill>
                    <w14:schemeClr w14:val="tx1"/>
                  </w14:solidFill>
                </w14:textFill>
              </w:rPr>
              <w:t>营运期废气主要为</w:t>
            </w:r>
            <w:r>
              <w:rPr>
                <w:rFonts w:hint="eastAsia"/>
                <w:color w:val="000000" w:themeColor="text1"/>
                <w:sz w:val="24"/>
                <w:szCs w:val="24"/>
                <w:lang w:val="en-US" w:eastAsia="zh-CN"/>
                <w14:textFill>
                  <w14:solidFill>
                    <w14:schemeClr w14:val="tx1"/>
                  </w14:solidFill>
                </w14:textFill>
              </w:rPr>
              <w:t>对毛坯件表面毛刺打磨产生的打磨废气G1、工件除尘过程产生的除尘废气G2、喷底漆和面漆过程产生的喷漆废气G3、流平固化产生的流平固化废气G4、烘干过程产生的烘干废气G5、烘干热风炉燃烧天然气产生的天然气燃烧废气G6、工件抛光过程产生的抛光废气G7、危废贮存库废气G8。</w:t>
            </w:r>
          </w:p>
          <w:p w14:paraId="0737210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eastAsia"/>
                <w:b/>
                <w:bCs/>
                <w:color w:val="000000" w:themeColor="text1"/>
                <w:sz w:val="24"/>
                <w:szCs w:val="24"/>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1.1、</w:t>
            </w:r>
            <w:r>
              <w:rPr>
                <w:rFonts w:hint="eastAsia"/>
                <w:b/>
                <w:bCs/>
                <w:color w:val="000000" w:themeColor="text1"/>
                <w:sz w:val="24"/>
                <w:szCs w:val="24"/>
                <w14:textFill>
                  <w14:solidFill>
                    <w14:schemeClr w14:val="tx1"/>
                  </w14:solidFill>
                </w14:textFill>
              </w:rPr>
              <w:t>废气源强估算</w:t>
            </w:r>
          </w:p>
          <w:p w14:paraId="4BCD94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14:textFill>
                  <w14:solidFill>
                    <w14:schemeClr w14:val="tx1"/>
                  </w14:solidFill>
                </w14:textFill>
              </w:rPr>
              <w:t>①</w:t>
            </w:r>
            <w:r>
              <w:rPr>
                <w:rFonts w:hint="eastAsia"/>
                <w:b/>
                <w:bCs/>
                <w:color w:val="000000" w:themeColor="text1"/>
                <w:sz w:val="24"/>
                <w:szCs w:val="24"/>
                <w:lang w:val="en-US" w:eastAsia="zh-CN"/>
                <w14:textFill>
                  <w14:solidFill>
                    <w14:schemeClr w14:val="tx1"/>
                  </w14:solidFill>
                </w14:textFill>
              </w:rPr>
              <w:t>打磨废气G1</w:t>
            </w:r>
          </w:p>
          <w:p w14:paraId="60D2770D">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000000" w:themeColor="text1"/>
                <w:sz w:val="24"/>
                <w:szCs w:val="24"/>
                <w:lang w:val="en-US" w:eastAsia="zh-CN"/>
                <w14:textFill>
                  <w14:solidFill>
                    <w14:schemeClr w14:val="tx1"/>
                  </w14:solidFill>
                </w14:textFill>
              </w:rPr>
            </w:pPr>
            <w:r>
              <w:rPr>
                <w:rFonts w:hint="eastAsia"/>
                <w:snapToGrid w:val="0"/>
                <w:color w:val="000000" w:themeColor="text1"/>
                <w:sz w:val="24"/>
                <w:szCs w:val="24"/>
                <w:lang w:val="en-US" w:eastAsia="zh-CN"/>
                <w14:textFill>
                  <w14:solidFill>
                    <w14:schemeClr w14:val="tx1"/>
                  </w14:solidFill>
                </w14:textFill>
              </w:rPr>
              <w:t>项目</w:t>
            </w:r>
            <w:r>
              <w:rPr>
                <w:rFonts w:hint="eastAsia"/>
                <w:b w:val="0"/>
                <w:bCs w:val="0"/>
                <w:color w:val="000000" w:themeColor="text1"/>
                <w:sz w:val="24"/>
                <w:szCs w:val="24"/>
                <w:lang w:val="en-US" w:eastAsia="zh-CN"/>
                <w14:textFill>
                  <w14:solidFill>
                    <w14:schemeClr w14:val="tx1"/>
                  </w14:solidFill>
                </w14:textFill>
              </w:rPr>
              <w:t>外购毛坯件表面存在毛刺，使用砂纸手工对毛刺部位进行打磨，毛坯件毛刺量较少，产生的颗粒物极少，因此不对打磨废气进行定量分析，加强通风，无组织排放。</w:t>
            </w:r>
          </w:p>
          <w:p w14:paraId="6443863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②除尘废气G2</w:t>
            </w:r>
          </w:p>
          <w:p w14:paraId="069466BE">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bCs/>
                <w:color w:val="000000" w:themeColor="text1"/>
                <w:kern w:val="24"/>
                <w:sz w:val="24"/>
                <w:szCs w:val="24"/>
                <w:highlight w:val="none"/>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为了确保工件的洁净度，在喷涂前需对打磨后的工件进行除尘，采用手动除尘方式，对凹槽、边角处存留的灰尘、纤维采用静电除尘枪进行吹扫，去除工件表面尘埃。</w:t>
            </w:r>
            <w:r>
              <w:rPr>
                <w:rFonts w:hint="eastAsia"/>
                <w:bCs/>
                <w:color w:val="000000" w:themeColor="text1"/>
                <w:kern w:val="24"/>
                <w:sz w:val="24"/>
                <w:highlight w:val="none"/>
                <w14:textFill>
                  <w14:solidFill>
                    <w14:schemeClr w14:val="tx1"/>
                  </w14:solidFill>
                </w14:textFill>
              </w:rPr>
              <w:t>由于塑料件含尘量极少，除尘产生的含尘废气浓度很低</w:t>
            </w:r>
            <w:r>
              <w:rPr>
                <w:rFonts w:hint="eastAsia"/>
                <w:bCs/>
                <w:color w:val="000000" w:themeColor="text1"/>
                <w:kern w:val="24"/>
                <w:sz w:val="24"/>
                <w:highlight w:val="none"/>
                <w:lang w:eastAsia="zh-CN"/>
                <w14:textFill>
                  <w14:solidFill>
                    <w14:schemeClr w14:val="tx1"/>
                  </w14:solidFill>
                </w14:textFill>
              </w:rPr>
              <w:t>，</w:t>
            </w:r>
            <w:r>
              <w:rPr>
                <w:bCs/>
                <w:color w:val="000000" w:themeColor="text1"/>
                <w:kern w:val="24"/>
                <w:sz w:val="24"/>
                <w:highlight w:val="none"/>
                <w14:textFill>
                  <w14:solidFill>
                    <w14:schemeClr w14:val="tx1"/>
                  </w14:solidFill>
                </w14:textFill>
              </w:rPr>
              <w:t>本次评价不进行定量分析</w:t>
            </w:r>
            <w:r>
              <w:rPr>
                <w:bCs/>
                <w:color w:val="000000" w:themeColor="text1"/>
                <w:kern w:val="24"/>
                <w:sz w:val="24"/>
                <w:szCs w:val="24"/>
                <w:highlight w:val="none"/>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2条生产线各设置一个除尘柜，</w:t>
            </w:r>
            <w:r>
              <w:rPr>
                <w:bCs/>
                <w:color w:val="000000" w:themeColor="text1"/>
                <w:kern w:val="24"/>
                <w:sz w:val="24"/>
                <w:szCs w:val="24"/>
                <w:highlight w:val="none"/>
                <w14:textFill>
                  <w14:solidFill>
                    <w14:schemeClr w14:val="tx1"/>
                  </w14:solidFill>
                </w14:textFill>
              </w:rPr>
              <w:t>含尘废气被除尘柜顶部过滤棉截留，过滤棉每月定期更换一次。</w:t>
            </w:r>
          </w:p>
          <w:p w14:paraId="2D9135E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③喷漆废气G3、流平固化废气G4、烘干废气G5</w:t>
            </w:r>
          </w:p>
          <w:p w14:paraId="0F5C0795">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eastAsiaTheme="minorEastAsia"/>
                <w:b w:val="0"/>
                <w:bCs/>
                <w:color w:val="000000" w:themeColor="text1"/>
                <w:spacing w:val="-10"/>
                <w:sz w:val="24"/>
                <w:szCs w:val="24"/>
                <w:lang w:val="en-US" w:eastAsia="zh-CN"/>
                <w14:textFill>
                  <w14:solidFill>
                    <w14:schemeClr w14:val="tx1"/>
                  </w14:solidFill>
                </w14:textFill>
              </w:rPr>
            </w:pPr>
            <w:r>
              <w:rPr>
                <w:rFonts w:hint="eastAsia"/>
                <w:b w:val="0"/>
                <w:bCs w:val="0"/>
                <w:color w:val="000000" w:themeColor="text1"/>
                <w:sz w:val="24"/>
                <w:szCs w:val="24"/>
                <w:lang w:val="en-US" w:eastAsia="zh-CN"/>
                <w14:textFill>
                  <w14:solidFill>
                    <w14:schemeClr w14:val="tx1"/>
                  </w14:solidFill>
                </w14:textFill>
              </w:rPr>
              <w:t>项目</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2条生产线</w:t>
            </w:r>
            <w:r>
              <w:rPr>
                <w:rFonts w:hint="eastAsia"/>
                <w:b w:val="0"/>
                <w:bCs w:val="0"/>
                <w:color w:val="000000" w:themeColor="text1"/>
                <w:sz w:val="24"/>
                <w:szCs w:val="24"/>
                <w:lang w:val="en-US" w:eastAsia="zh-CN"/>
                <w14:textFill>
                  <w14:solidFill>
                    <w14:schemeClr w14:val="tx1"/>
                  </w14:solidFill>
                </w14:textFill>
              </w:rPr>
              <w:t>喷漆、流平固化、烘干</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均位于密闭空间，</w:t>
            </w:r>
            <w:r>
              <w:rPr>
                <w:rFonts w:hint="default" w:ascii="Times New Roman" w:hAnsi="Times New Roman" w:cs="Times New Roman"/>
                <w:bCs/>
                <w:color w:val="000000" w:themeColor="text1"/>
                <w:kern w:val="24"/>
                <w:sz w:val="24"/>
                <w:szCs w:val="24"/>
                <w:highlight w:val="none"/>
                <w:lang w:val="zh-CN"/>
                <w14:textFill>
                  <w14:solidFill>
                    <w14:schemeClr w14:val="tx1"/>
                  </w14:solidFill>
                </w14:textFill>
              </w:rPr>
              <w:t>工作期间会有漆雾（颗粒物）、挥发性有机物（以非甲烷总烃计）产生。</w:t>
            </w:r>
            <w:r>
              <w:rPr>
                <w:rFonts w:hint="eastAsia" w:eastAsiaTheme="minorEastAsia"/>
                <w:b w:val="0"/>
                <w:bCs/>
                <w:color w:val="000000" w:themeColor="text1"/>
                <w:spacing w:val="-10"/>
                <w:sz w:val="24"/>
                <w:szCs w:val="24"/>
                <w14:textFill>
                  <w14:solidFill>
                    <w14:schemeClr w14:val="tx1"/>
                  </w14:solidFill>
                </w14:textFill>
              </w:rPr>
              <w:t>本项目</w:t>
            </w:r>
            <w:r>
              <w:rPr>
                <w:rFonts w:hint="eastAsia" w:eastAsiaTheme="minorEastAsia"/>
                <w:b w:val="0"/>
                <w:bCs/>
                <w:color w:val="000000" w:themeColor="text1"/>
                <w:spacing w:val="-10"/>
                <w:sz w:val="24"/>
                <w:szCs w:val="24"/>
                <w:lang w:val="en-US" w:eastAsia="zh-CN"/>
                <w14:textFill>
                  <w14:solidFill>
                    <w14:schemeClr w14:val="tx1"/>
                  </w14:solidFill>
                </w14:textFill>
              </w:rPr>
              <w:t>设置一个备漆房</w:t>
            </w:r>
            <w:r>
              <w:rPr>
                <w:rFonts w:hint="eastAsia" w:eastAsiaTheme="minorEastAsia"/>
                <w:b w:val="0"/>
                <w:bCs/>
                <w:color w:val="000000" w:themeColor="text1"/>
                <w:spacing w:val="-10"/>
                <w:sz w:val="24"/>
                <w:szCs w:val="24"/>
                <w14:textFill>
                  <w14:solidFill>
                    <w14:schemeClr w14:val="tx1"/>
                  </w14:solidFill>
                </w14:textFill>
              </w:rPr>
              <w:t>，在</w:t>
            </w:r>
            <w:r>
              <w:rPr>
                <w:rFonts w:hint="eastAsia" w:eastAsiaTheme="minorEastAsia"/>
                <w:b w:val="0"/>
                <w:bCs/>
                <w:color w:val="000000" w:themeColor="text1"/>
                <w:spacing w:val="-10"/>
                <w:sz w:val="24"/>
                <w:szCs w:val="24"/>
                <w:lang w:val="en-US" w:eastAsia="zh-CN"/>
                <w14:textFill>
                  <w14:solidFill>
                    <w14:schemeClr w14:val="tx1"/>
                  </w14:solidFill>
                </w14:textFill>
              </w:rPr>
              <w:t>备</w:t>
            </w:r>
            <w:r>
              <w:rPr>
                <w:rFonts w:hint="eastAsia" w:eastAsiaTheme="minorEastAsia"/>
                <w:b w:val="0"/>
                <w:bCs/>
                <w:color w:val="000000" w:themeColor="text1"/>
                <w:spacing w:val="-10"/>
                <w:sz w:val="24"/>
                <w:szCs w:val="24"/>
                <w14:textFill>
                  <w14:solidFill>
                    <w14:schemeClr w14:val="tx1"/>
                  </w14:solidFill>
                </w14:textFill>
              </w:rPr>
              <w:t>漆房内</w:t>
            </w:r>
            <w:r>
              <w:rPr>
                <w:rFonts w:hint="eastAsia" w:eastAsiaTheme="minorEastAsia"/>
                <w:b w:val="0"/>
                <w:bCs/>
                <w:color w:val="000000" w:themeColor="text1"/>
                <w:spacing w:val="-10"/>
                <w:sz w:val="24"/>
                <w:szCs w:val="24"/>
                <w:lang w:val="en-US" w:eastAsia="zh-CN"/>
                <w14:textFill>
                  <w14:solidFill>
                    <w14:schemeClr w14:val="tx1"/>
                  </w14:solidFill>
                </w14:textFill>
              </w:rPr>
              <w:t>将水性漆和</w:t>
            </w:r>
            <w:r>
              <w:rPr>
                <w:rFonts w:hint="eastAsia"/>
                <w:b w:val="0"/>
                <w:bCs/>
                <w:color w:val="000000" w:themeColor="text1"/>
                <w:spacing w:val="-10"/>
                <w:sz w:val="24"/>
                <w:szCs w:val="24"/>
                <w:lang w:val="en-US" w:eastAsia="zh-CN"/>
                <w14:textFill>
                  <w14:solidFill>
                    <w14:schemeClr w14:val="tx1"/>
                  </w14:solidFill>
                </w14:textFill>
              </w:rPr>
              <w:t>洗枪废水搅拌混合，形成施工漆后经密闭管道输送至喷漆工位</w:t>
            </w:r>
            <w:r>
              <w:rPr>
                <w:rFonts w:hint="eastAsia" w:eastAsiaTheme="minorEastAsia"/>
                <w:b w:val="0"/>
                <w:bCs/>
                <w:color w:val="000000" w:themeColor="text1"/>
                <w:spacing w:val="-10"/>
                <w:sz w:val="24"/>
                <w:szCs w:val="24"/>
                <w:lang w:val="en-US" w:eastAsia="zh-CN"/>
                <w14:textFill>
                  <w14:solidFill>
                    <w14:schemeClr w14:val="tx1"/>
                  </w14:solidFill>
                </w14:textFill>
              </w:rPr>
              <w:t>。项目喷涂线年工作300天，年</w:t>
            </w:r>
            <w:r>
              <w:rPr>
                <w:rFonts w:hint="eastAsia" w:eastAsiaTheme="minorEastAsia"/>
                <w:b w:val="0"/>
                <w:bCs/>
                <w:color w:val="000000" w:themeColor="text1"/>
                <w:spacing w:val="-10"/>
                <w:sz w:val="24"/>
                <w:szCs w:val="24"/>
                <w14:textFill>
                  <w14:solidFill>
                    <w14:schemeClr w14:val="tx1"/>
                  </w14:solidFill>
                </w14:textFill>
              </w:rPr>
              <w:t>喷漆时间</w:t>
            </w:r>
            <w:r>
              <w:rPr>
                <w:rFonts w:hint="eastAsia" w:eastAsiaTheme="minorEastAsia"/>
                <w:b w:val="0"/>
                <w:bCs/>
                <w:color w:val="000000" w:themeColor="text1"/>
                <w:spacing w:val="-10"/>
                <w:sz w:val="24"/>
                <w:szCs w:val="24"/>
                <w:lang w:val="en-US" w:eastAsia="zh-CN"/>
                <w14:textFill>
                  <w14:solidFill>
                    <w14:schemeClr w14:val="tx1"/>
                  </w14:solidFill>
                </w14:textFill>
              </w:rPr>
              <w:t>为800h</w:t>
            </w:r>
            <w:r>
              <w:rPr>
                <w:rFonts w:hint="eastAsia" w:eastAsiaTheme="minorEastAsia"/>
                <w:b w:val="0"/>
                <w:bCs/>
                <w:color w:val="000000" w:themeColor="text1"/>
                <w:spacing w:val="-10"/>
                <w:sz w:val="24"/>
                <w:szCs w:val="24"/>
                <w14:textFill>
                  <w14:solidFill>
                    <w14:schemeClr w14:val="tx1"/>
                  </w14:solidFill>
                </w14:textFill>
              </w:rPr>
              <w:t>，喷漆后</w:t>
            </w:r>
            <w:r>
              <w:rPr>
                <w:rFonts w:hint="eastAsia" w:eastAsiaTheme="minorEastAsia"/>
                <w:b w:val="0"/>
                <w:bCs/>
                <w:color w:val="000000" w:themeColor="text1"/>
                <w:spacing w:val="-10"/>
                <w:sz w:val="24"/>
                <w:szCs w:val="24"/>
                <w:lang w:val="en-US" w:eastAsia="zh-CN"/>
                <w14:textFill>
                  <w14:solidFill>
                    <w14:schemeClr w14:val="tx1"/>
                  </w14:solidFill>
                </w14:textFill>
              </w:rPr>
              <w:t>流平固化</w:t>
            </w:r>
            <w:r>
              <w:rPr>
                <w:rFonts w:hint="eastAsia" w:eastAsiaTheme="minorEastAsia"/>
                <w:b w:val="0"/>
                <w:bCs/>
                <w:color w:val="000000" w:themeColor="text1"/>
                <w:spacing w:val="-10"/>
                <w:sz w:val="24"/>
                <w:szCs w:val="24"/>
                <w14:textFill>
                  <w14:solidFill>
                    <w14:schemeClr w14:val="tx1"/>
                  </w14:solidFill>
                </w14:textFill>
              </w:rPr>
              <w:t>时间</w:t>
            </w:r>
            <w:r>
              <w:rPr>
                <w:rFonts w:hint="eastAsia" w:eastAsiaTheme="minorEastAsia"/>
                <w:b w:val="0"/>
                <w:bCs/>
                <w:color w:val="000000" w:themeColor="text1"/>
                <w:spacing w:val="-10"/>
                <w:sz w:val="24"/>
                <w:szCs w:val="24"/>
                <w:lang w:val="en-US" w:eastAsia="zh-CN"/>
                <w14:textFill>
                  <w14:solidFill>
                    <w14:schemeClr w14:val="tx1"/>
                  </w14:solidFill>
                </w14:textFill>
              </w:rPr>
              <w:t>为480h</w:t>
            </w:r>
            <w:r>
              <w:rPr>
                <w:rFonts w:hint="eastAsia" w:eastAsiaTheme="minorEastAsia"/>
                <w:b w:val="0"/>
                <w:bCs/>
                <w:color w:val="000000" w:themeColor="text1"/>
                <w:spacing w:val="-10"/>
                <w:sz w:val="24"/>
                <w:szCs w:val="24"/>
                <w14:textFill>
                  <w14:solidFill>
                    <w14:schemeClr w14:val="tx1"/>
                  </w14:solidFill>
                </w14:textFill>
              </w:rPr>
              <w:t>，</w:t>
            </w:r>
            <w:r>
              <w:rPr>
                <w:rFonts w:hint="eastAsia" w:eastAsiaTheme="minorEastAsia"/>
                <w:b w:val="0"/>
                <w:bCs/>
                <w:color w:val="000000" w:themeColor="text1"/>
                <w:spacing w:val="-10"/>
                <w:sz w:val="24"/>
                <w:szCs w:val="24"/>
                <w:lang w:val="en-US" w:eastAsia="zh-CN"/>
                <w14:textFill>
                  <w14:solidFill>
                    <w14:schemeClr w14:val="tx1"/>
                  </w14:solidFill>
                </w14:textFill>
              </w:rPr>
              <w:t>烘干时间为1000h，烘干方式为热风炉燃烧天然气，为烘箱提供热风烘干，烘干温度为70</w:t>
            </w:r>
            <w:r>
              <w:rPr>
                <w:rFonts w:hint="eastAsia" w:ascii="宋体" w:hAnsi="宋体" w:eastAsia="宋体" w:cs="宋体"/>
                <w:b w:val="0"/>
                <w:bCs/>
                <w:color w:val="000000" w:themeColor="text1"/>
                <w:spacing w:val="-10"/>
                <w:sz w:val="24"/>
                <w:szCs w:val="24"/>
                <w:lang w:val="en-US" w:eastAsia="zh-CN"/>
                <w14:textFill>
                  <w14:solidFill>
                    <w14:schemeClr w14:val="tx1"/>
                  </w14:solidFill>
                </w14:textFill>
              </w:rPr>
              <w:t>℃</w:t>
            </w:r>
            <w:r>
              <w:rPr>
                <w:rFonts w:hint="eastAsia" w:eastAsiaTheme="minorEastAsia"/>
                <w:b w:val="0"/>
                <w:bCs/>
                <w:color w:val="000000" w:themeColor="text1"/>
                <w:spacing w:val="-10"/>
                <w:sz w:val="24"/>
                <w:szCs w:val="24"/>
                <w14:textFill>
                  <w14:solidFill>
                    <w14:schemeClr w14:val="tx1"/>
                  </w14:solidFill>
                </w14:textFill>
              </w:rPr>
              <w:t>。</w:t>
            </w:r>
          </w:p>
          <w:p w14:paraId="0F3C8A21">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bCs/>
                <w:color w:val="000000" w:themeColor="text1"/>
                <w:kern w:val="24"/>
                <w:sz w:val="24"/>
                <w:szCs w:val="24"/>
                <w:highlight w:val="none"/>
                <w:lang w:val="zh-CN"/>
                <w14:textFill>
                  <w14:solidFill>
                    <w14:schemeClr w14:val="tx1"/>
                  </w14:solidFill>
                </w14:textFill>
              </w:rPr>
            </w:pPr>
            <w:r>
              <w:rPr>
                <w:bCs/>
                <w:color w:val="000000" w:themeColor="text1"/>
                <w:kern w:val="24"/>
                <w:sz w:val="24"/>
                <w:szCs w:val="24"/>
                <w:highlight w:val="none"/>
                <w:lang w:val="zh-CN"/>
                <w14:textFill>
                  <w14:solidFill>
                    <w14:schemeClr w14:val="tx1"/>
                  </w14:solidFill>
                </w14:textFill>
              </w:rPr>
              <w:t>参照《污染源源强核算技术指南 汽车制造》（HJ 1097—2020）水性涂料喷涂空气喷涂零部件喷涂，零部件喷涂物料中固体分附着率为</w:t>
            </w:r>
            <w:r>
              <w:rPr>
                <w:bCs/>
                <w:color w:val="000000" w:themeColor="text1"/>
                <w:kern w:val="24"/>
                <w:sz w:val="24"/>
                <w:szCs w:val="24"/>
                <w:highlight w:val="none"/>
                <w14:textFill>
                  <w14:solidFill>
                    <w14:schemeClr w14:val="tx1"/>
                  </w14:solidFill>
                </w14:textFill>
              </w:rPr>
              <w:t>40</w:t>
            </w:r>
            <w:r>
              <w:rPr>
                <w:bCs/>
                <w:color w:val="000000" w:themeColor="text1"/>
                <w:kern w:val="24"/>
                <w:sz w:val="24"/>
                <w:szCs w:val="24"/>
                <w:highlight w:val="none"/>
                <w:lang w:val="zh-CN"/>
                <w14:textFill>
                  <w14:solidFill>
                    <w14:schemeClr w14:val="tx1"/>
                  </w14:solidFill>
                </w14:textFill>
              </w:rPr>
              <w:t>%，故本项目水性漆上漆率取</w:t>
            </w:r>
            <w:r>
              <w:rPr>
                <w:bCs/>
                <w:color w:val="000000" w:themeColor="text1"/>
                <w:kern w:val="24"/>
                <w:sz w:val="24"/>
                <w:szCs w:val="24"/>
                <w:highlight w:val="none"/>
                <w14:textFill>
                  <w14:solidFill>
                    <w14:schemeClr w14:val="tx1"/>
                  </w14:solidFill>
                </w14:textFill>
              </w:rPr>
              <w:t>40</w:t>
            </w:r>
            <w:r>
              <w:rPr>
                <w:bCs/>
                <w:color w:val="000000" w:themeColor="text1"/>
                <w:kern w:val="24"/>
                <w:sz w:val="24"/>
                <w:szCs w:val="24"/>
                <w:highlight w:val="none"/>
                <w:lang w:val="zh-CN"/>
                <w14:textFill>
                  <w14:solidFill>
                    <w14:schemeClr w14:val="tx1"/>
                  </w14:solidFill>
                </w14:textFill>
              </w:rPr>
              <w:t>%。</w:t>
            </w:r>
            <w:r>
              <w:rPr>
                <w:rFonts w:hint="eastAsia" w:eastAsiaTheme="minorEastAsia"/>
                <w:b w:val="0"/>
                <w:bCs/>
                <w:color w:val="000000" w:themeColor="text1"/>
                <w:spacing w:val="-10"/>
                <w:sz w:val="24"/>
                <w:szCs w:val="24"/>
                <w14:textFill>
                  <w14:solidFill>
                    <w14:schemeClr w14:val="tx1"/>
                  </w14:solidFill>
                </w14:textFill>
              </w:rPr>
              <w:t>根据表</w:t>
            </w:r>
            <w:r>
              <w:rPr>
                <w:rFonts w:hint="eastAsia" w:eastAsiaTheme="minorEastAsia"/>
                <w:b w:val="0"/>
                <w:bCs/>
                <w:color w:val="000000" w:themeColor="text1"/>
                <w:spacing w:val="-10"/>
                <w:sz w:val="24"/>
                <w:szCs w:val="24"/>
                <w:lang w:val="en-US" w:eastAsia="zh-CN"/>
                <w14:textFill>
                  <w14:solidFill>
                    <w14:schemeClr w14:val="tx1"/>
                  </w14:solidFill>
                </w14:textFill>
              </w:rPr>
              <w:t>2-10、2-15</w:t>
            </w:r>
            <w:r>
              <w:rPr>
                <w:rFonts w:hint="eastAsia" w:eastAsiaTheme="minorEastAsia"/>
                <w:b w:val="0"/>
                <w:bCs/>
                <w:color w:val="000000" w:themeColor="text1"/>
                <w:spacing w:val="-10"/>
                <w:sz w:val="24"/>
                <w:szCs w:val="24"/>
                <w14:textFill>
                  <w14:solidFill>
                    <w14:schemeClr w14:val="tx1"/>
                  </w14:solidFill>
                </w14:textFill>
              </w:rPr>
              <w:t>的核算，本项目营运期</w:t>
            </w:r>
            <w:r>
              <w:rPr>
                <w:rFonts w:hint="eastAsia"/>
                <w:b w:val="0"/>
                <w:bCs/>
                <w:color w:val="000000" w:themeColor="text1"/>
                <w:spacing w:val="-10"/>
                <w:sz w:val="24"/>
                <w:szCs w:val="24"/>
                <w:lang w:val="en-US" w:eastAsia="zh-CN"/>
                <w14:textFill>
                  <w14:solidFill>
                    <w14:schemeClr w14:val="tx1"/>
                  </w14:solidFill>
                </w14:textFill>
              </w:rPr>
              <w:t>调配前</w:t>
            </w:r>
            <w:r>
              <w:rPr>
                <w:rFonts w:hint="eastAsia" w:eastAsiaTheme="minorEastAsia"/>
                <w:b w:val="0"/>
                <w:bCs/>
                <w:color w:val="000000" w:themeColor="text1"/>
                <w:spacing w:val="-10"/>
                <w:sz w:val="24"/>
                <w:szCs w:val="24"/>
                <w14:textFill>
                  <w14:solidFill>
                    <w14:schemeClr w14:val="tx1"/>
                  </w14:solidFill>
                </w14:textFill>
              </w:rPr>
              <w:t>水性漆用量合计为</w:t>
            </w:r>
            <w:r>
              <w:rPr>
                <w:rFonts w:hint="eastAsia" w:eastAsiaTheme="minorEastAsia"/>
                <w:b w:val="0"/>
                <w:bCs/>
                <w:color w:val="000000" w:themeColor="text1"/>
                <w:spacing w:val="-10"/>
                <w:sz w:val="24"/>
                <w:szCs w:val="24"/>
                <w:lang w:val="en-US" w:eastAsia="zh-CN"/>
                <w14:textFill>
                  <w14:solidFill>
                    <w14:schemeClr w14:val="tx1"/>
                  </w14:solidFill>
                </w14:textFill>
              </w:rPr>
              <w:t>24.480</w:t>
            </w:r>
            <w:r>
              <w:rPr>
                <w:rFonts w:hint="eastAsia" w:eastAsiaTheme="minorEastAsia"/>
                <w:b w:val="0"/>
                <w:bCs/>
                <w:color w:val="000000" w:themeColor="text1"/>
                <w:spacing w:val="-10"/>
                <w:sz w:val="24"/>
                <w:szCs w:val="24"/>
                <w14:textFill>
                  <w14:solidFill>
                    <w14:schemeClr w14:val="tx1"/>
                  </w14:solidFill>
                </w14:textFill>
              </w:rPr>
              <w:t>t/a，其中固体份为</w:t>
            </w:r>
            <w:r>
              <w:rPr>
                <w:rFonts w:hint="eastAsia" w:eastAsiaTheme="minorEastAsia"/>
                <w:b w:val="0"/>
                <w:bCs/>
                <w:color w:val="000000" w:themeColor="text1"/>
                <w:spacing w:val="-10"/>
                <w:sz w:val="24"/>
                <w:szCs w:val="24"/>
                <w:lang w:val="en-US" w:eastAsia="zh-CN"/>
                <w14:textFill>
                  <w14:solidFill>
                    <w14:schemeClr w14:val="tx1"/>
                  </w14:solidFill>
                </w14:textFill>
              </w:rPr>
              <w:t>18.360</w:t>
            </w:r>
            <w:r>
              <w:rPr>
                <w:rFonts w:hint="eastAsia" w:eastAsiaTheme="minorEastAsia"/>
                <w:b w:val="0"/>
                <w:bCs/>
                <w:color w:val="000000" w:themeColor="text1"/>
                <w:spacing w:val="-10"/>
                <w:sz w:val="24"/>
                <w:szCs w:val="24"/>
                <w14:textFill>
                  <w14:solidFill>
                    <w14:schemeClr w14:val="tx1"/>
                  </w14:solidFill>
                </w14:textFill>
              </w:rPr>
              <w:t>t/a（固体份含量</w:t>
            </w:r>
            <w:r>
              <w:rPr>
                <w:rFonts w:hint="eastAsia" w:eastAsiaTheme="minorEastAsia"/>
                <w:b w:val="0"/>
                <w:bCs/>
                <w:color w:val="000000" w:themeColor="text1"/>
                <w:spacing w:val="-10"/>
                <w:sz w:val="24"/>
                <w:szCs w:val="24"/>
                <w:lang w:val="en-US" w:eastAsia="zh-CN"/>
                <w14:textFill>
                  <w14:solidFill>
                    <w14:schemeClr w14:val="tx1"/>
                  </w14:solidFill>
                </w14:textFill>
              </w:rPr>
              <w:t>75</w:t>
            </w:r>
            <w:r>
              <w:rPr>
                <w:rFonts w:hint="eastAsia" w:eastAsiaTheme="minorEastAsia"/>
                <w:b w:val="0"/>
                <w:bCs/>
                <w:color w:val="000000" w:themeColor="text1"/>
                <w:spacing w:val="-10"/>
                <w:sz w:val="24"/>
                <w:szCs w:val="24"/>
                <w14:textFill>
                  <w14:solidFill>
                    <w14:schemeClr w14:val="tx1"/>
                  </w14:solidFill>
                </w14:textFill>
              </w:rPr>
              <w:t>%）、挥发份（以非甲烷总烃计）为</w:t>
            </w:r>
            <w:r>
              <w:rPr>
                <w:rFonts w:hint="eastAsia"/>
                <w:b w:val="0"/>
                <w:bCs/>
                <w:color w:val="000000" w:themeColor="text1"/>
                <w:spacing w:val="-10"/>
                <w:sz w:val="24"/>
                <w:szCs w:val="24"/>
                <w:lang w:val="en-US" w:eastAsia="zh-CN"/>
                <w14:textFill>
                  <w14:solidFill>
                    <w14:schemeClr w14:val="tx1"/>
                  </w14:solidFill>
                </w14:textFill>
              </w:rPr>
              <w:t>2.46</w:t>
            </w:r>
            <w:r>
              <w:rPr>
                <w:rFonts w:hint="eastAsia" w:eastAsiaTheme="minorEastAsia"/>
                <w:b w:val="0"/>
                <w:bCs/>
                <w:color w:val="000000" w:themeColor="text1"/>
                <w:spacing w:val="-10"/>
                <w:sz w:val="24"/>
                <w:szCs w:val="24"/>
                <w14:textFill>
                  <w14:solidFill>
                    <w14:schemeClr w14:val="tx1"/>
                  </w14:solidFill>
                </w14:textFill>
              </w:rPr>
              <w:t>t/a、水分为</w:t>
            </w:r>
            <w:r>
              <w:rPr>
                <w:rFonts w:hint="eastAsia" w:eastAsiaTheme="minorEastAsia"/>
                <w:b w:val="0"/>
                <w:bCs/>
                <w:color w:val="000000" w:themeColor="text1"/>
                <w:spacing w:val="-10"/>
                <w:sz w:val="24"/>
                <w:szCs w:val="24"/>
                <w:lang w:val="en-US" w:eastAsia="zh-CN"/>
                <w14:textFill>
                  <w14:solidFill>
                    <w14:schemeClr w14:val="tx1"/>
                  </w14:solidFill>
                </w14:textFill>
              </w:rPr>
              <w:t>3.6</w:t>
            </w:r>
            <w:r>
              <w:rPr>
                <w:rFonts w:hint="eastAsia"/>
                <w:b w:val="0"/>
                <w:bCs/>
                <w:color w:val="000000" w:themeColor="text1"/>
                <w:spacing w:val="-10"/>
                <w:sz w:val="24"/>
                <w:szCs w:val="24"/>
                <w:lang w:val="en-US" w:eastAsia="zh-CN"/>
                <w14:textFill>
                  <w14:solidFill>
                    <w14:schemeClr w14:val="tx1"/>
                  </w14:solidFill>
                </w14:textFill>
              </w:rPr>
              <w:t>6</w:t>
            </w:r>
            <w:r>
              <w:rPr>
                <w:rFonts w:hint="eastAsia" w:eastAsiaTheme="minorEastAsia"/>
                <w:b w:val="0"/>
                <w:bCs/>
                <w:color w:val="000000" w:themeColor="text1"/>
                <w:spacing w:val="-10"/>
                <w:sz w:val="24"/>
                <w:szCs w:val="24"/>
                <w:lang w:val="en-US" w:eastAsia="zh-CN"/>
                <w14:textFill>
                  <w14:solidFill>
                    <w14:schemeClr w14:val="tx1"/>
                  </w14:solidFill>
                </w14:textFill>
              </w:rPr>
              <w:t>t</w:t>
            </w:r>
            <w:r>
              <w:rPr>
                <w:rFonts w:hint="eastAsia" w:eastAsiaTheme="minorEastAsia"/>
                <w:b w:val="0"/>
                <w:bCs/>
                <w:color w:val="000000" w:themeColor="text1"/>
                <w:spacing w:val="-10"/>
                <w:sz w:val="24"/>
                <w:szCs w:val="24"/>
                <w14:textFill>
                  <w14:solidFill>
                    <w14:schemeClr w14:val="tx1"/>
                  </w14:solidFill>
                </w14:textFill>
              </w:rPr>
              <w:t>/a。</w:t>
            </w:r>
            <w:r>
              <w:rPr>
                <w:rFonts w:hint="eastAsia"/>
                <w:bCs/>
                <w:color w:val="000000" w:themeColor="text1"/>
                <w:kern w:val="24"/>
                <w:sz w:val="24"/>
                <w:highlight w:val="none"/>
                <w14:textFill>
                  <w14:solidFill>
                    <w14:schemeClr w14:val="tx1"/>
                  </w14:solidFill>
                </w14:textFill>
              </w:rPr>
              <w:t>在喷涂过程中会产生少量臭气，本次评价对臭气浓度不做定量分析。</w:t>
            </w:r>
          </w:p>
          <w:p w14:paraId="0EAC6807">
            <w:pPr>
              <w:adjustRightInd w:val="0"/>
              <w:snapToGrid w:val="0"/>
              <w:spacing w:line="360" w:lineRule="auto"/>
              <w:ind w:firstLine="480" w:firstLineChars="200"/>
              <w:rPr>
                <w:rFonts w:hint="default" w:ascii="Times New Roman" w:hAnsi="Times New Roman" w:eastAsia="宋体" w:cs="Times New Roman"/>
                <w:b w:val="0"/>
                <w:bCs/>
                <w:color w:val="000000" w:themeColor="text1"/>
                <w:spacing w:val="-10"/>
                <w:sz w:val="24"/>
                <w:szCs w:val="24"/>
                <w:lang w:val="en-US" w:eastAsia="zh-CN"/>
                <w14:textFill>
                  <w14:solidFill>
                    <w14:schemeClr w14:val="tx1"/>
                  </w14:solidFill>
                </w14:textFill>
              </w:rPr>
            </w:pPr>
            <w:r>
              <w:rPr>
                <w:rFonts w:hint="eastAsia"/>
                <w:bCs/>
                <w:color w:val="000000" w:themeColor="text1"/>
                <w:kern w:val="24"/>
                <w:sz w:val="24"/>
                <w:highlight w:val="none"/>
                <w:lang w:val="en-US" w:eastAsia="zh-CN"/>
                <w14:textFill>
                  <w14:solidFill>
                    <w14:schemeClr w14:val="tx1"/>
                  </w14:solidFill>
                </w14:textFill>
              </w:rPr>
              <w:t>项目采用“水帘湿式漆雾净化+高分子过滤盒+干式过滤棉+二级活性炭吸附装置”对喷涂废气进行处理，参考《污染源源强核算技术指南 汽车制造》（HJ 1097—2020）附录F，水帘湿式漆雾净化对颗粒物的去除率为85%。高分子过滤盒属于纤维过滤，对颗粒物的去除率取80%。二级活性炭参考</w:t>
            </w:r>
            <w:r>
              <w:rPr>
                <w:bCs/>
                <w:color w:val="000000" w:themeColor="text1"/>
                <w:kern w:val="24"/>
                <w:sz w:val="24"/>
                <w:highlight w:val="none"/>
                <w14:textFill>
                  <w14:solidFill>
                    <w14:schemeClr w14:val="tx1"/>
                  </w14:solidFill>
                </w14:textFill>
              </w:rPr>
              <w:t>参照《广东省印刷行业挥发性有机化合物废气治理技术指南》（2013.11.12发布）</w:t>
            </w:r>
            <w:r>
              <w:rPr>
                <w:bCs/>
                <w:color w:val="000000" w:themeColor="text1"/>
                <w:kern w:val="24"/>
                <w:sz w:val="24"/>
                <w:highlight w:val="none"/>
                <w:lang w:val="zh-CN"/>
                <w14:textFill>
                  <w14:solidFill>
                    <w14:schemeClr w14:val="tx1"/>
                  </w14:solidFill>
                </w14:textFill>
              </w:rPr>
              <w:t>中</w:t>
            </w:r>
            <w:r>
              <w:rPr>
                <w:rFonts w:hint="eastAsia"/>
                <w:bCs/>
                <w:color w:val="000000" w:themeColor="text1"/>
                <w:kern w:val="24"/>
                <w:sz w:val="24"/>
                <w:highlight w:val="none"/>
                <w:lang w:val="zh-CN"/>
                <w14:textFill>
                  <w14:solidFill>
                    <w14:schemeClr w14:val="tx1"/>
                  </w14:solidFill>
                </w14:textFill>
              </w:rPr>
              <w:t>“</w:t>
            </w:r>
            <w:r>
              <w:rPr>
                <w:bCs/>
                <w:color w:val="000000" w:themeColor="text1"/>
                <w:kern w:val="24"/>
                <w:sz w:val="24"/>
                <w:highlight w:val="none"/>
                <w14:textFill>
                  <w14:solidFill>
                    <w14:schemeClr w14:val="tx1"/>
                  </w14:solidFill>
                </w14:textFill>
              </w:rPr>
              <w:t>吸附法处理效率为50-80%</w:t>
            </w:r>
            <w:r>
              <w:rPr>
                <w:rFonts w:hint="eastAsia"/>
                <w:bCs/>
                <w:color w:val="000000" w:themeColor="text1"/>
                <w:kern w:val="24"/>
                <w:sz w:val="24"/>
                <w:highlight w:val="none"/>
                <w:lang w:val="zh-CN"/>
                <w14:textFill>
                  <w14:solidFill>
                    <w14:schemeClr w14:val="tx1"/>
                  </w14:solidFill>
                </w14:textFill>
              </w:rPr>
              <w:t>”</w:t>
            </w:r>
            <w:r>
              <w:rPr>
                <w:bCs/>
                <w:color w:val="000000" w:themeColor="text1"/>
                <w:kern w:val="24"/>
                <w:sz w:val="24"/>
                <w:highlight w:val="none"/>
                <w:lang w:val="zh-CN"/>
                <w14:textFill>
                  <w14:solidFill>
                    <w14:schemeClr w14:val="tx1"/>
                  </w14:solidFill>
                </w14:textFill>
              </w:rPr>
              <w:t>，本项目按照</w:t>
            </w:r>
            <w:r>
              <w:rPr>
                <w:rFonts w:hint="eastAsia"/>
                <w:bCs/>
                <w:color w:val="000000" w:themeColor="text1"/>
                <w:kern w:val="24"/>
                <w:sz w:val="24"/>
                <w:highlight w:val="none"/>
                <w:lang w:val="en-US" w:eastAsia="zh-CN"/>
                <w14:textFill>
                  <w14:solidFill>
                    <w14:schemeClr w14:val="tx1"/>
                  </w14:solidFill>
                </w14:textFill>
              </w:rPr>
              <w:t>最低</w:t>
            </w:r>
            <w:r>
              <w:rPr>
                <w:bCs/>
                <w:color w:val="000000" w:themeColor="text1"/>
                <w:kern w:val="24"/>
                <w:sz w:val="24"/>
                <w:highlight w:val="none"/>
                <w:lang w:val="zh-CN"/>
                <w14:textFill>
                  <w14:solidFill>
                    <w14:schemeClr w14:val="tx1"/>
                  </w14:solidFill>
                </w14:textFill>
              </w:rPr>
              <w:t>处理效率（</w:t>
            </w:r>
            <w:r>
              <w:rPr>
                <w:rFonts w:hint="eastAsia"/>
                <w:bCs/>
                <w:color w:val="000000" w:themeColor="text1"/>
                <w:kern w:val="24"/>
                <w:sz w:val="24"/>
                <w:highlight w:val="none"/>
                <w:lang w:val="en-US" w:eastAsia="zh-CN"/>
                <w14:textFill>
                  <w14:solidFill>
                    <w14:schemeClr w14:val="tx1"/>
                  </w14:solidFill>
                </w14:textFill>
              </w:rPr>
              <w:t>50</w:t>
            </w:r>
            <w:r>
              <w:rPr>
                <w:bCs/>
                <w:color w:val="000000" w:themeColor="text1"/>
                <w:kern w:val="24"/>
                <w:sz w:val="24"/>
                <w:highlight w:val="none"/>
                <w14:textFill>
                  <w14:solidFill>
                    <w14:schemeClr w14:val="tx1"/>
                  </w14:solidFill>
                </w14:textFill>
              </w:rPr>
              <w:t>%</w:t>
            </w:r>
            <w:r>
              <w:rPr>
                <w:bCs/>
                <w:color w:val="000000" w:themeColor="text1"/>
                <w:kern w:val="24"/>
                <w:sz w:val="24"/>
                <w:highlight w:val="none"/>
                <w:lang w:val="zh-CN"/>
                <w14:textFill>
                  <w14:solidFill>
                    <w14:schemeClr w14:val="tx1"/>
                  </w14:solidFill>
                </w14:textFill>
              </w:rPr>
              <w:t>）进行计算，故</w:t>
            </w:r>
            <w:r>
              <w:rPr>
                <w:bCs/>
                <w:color w:val="000000" w:themeColor="text1"/>
                <w:kern w:val="24"/>
                <w:sz w:val="24"/>
                <w:highlight w:val="none"/>
                <w14:textFill>
                  <w14:solidFill>
                    <w14:schemeClr w14:val="tx1"/>
                  </w14:solidFill>
                </w14:textFill>
              </w:rPr>
              <w:t>本项目二级活性炭吸附综合处理效率非甲烷总烃取</w:t>
            </w:r>
            <w:r>
              <w:rPr>
                <w:rFonts w:hint="eastAsia"/>
                <w:bCs/>
                <w:color w:val="000000" w:themeColor="text1"/>
                <w:kern w:val="24"/>
                <w:sz w:val="24"/>
                <w:highlight w:val="none"/>
                <w:lang w:val="en-US" w:eastAsia="zh-CN"/>
                <w14:textFill>
                  <w14:solidFill>
                    <w14:schemeClr w14:val="tx1"/>
                  </w14:solidFill>
                </w14:textFill>
              </w:rPr>
              <w:t>75</w:t>
            </w:r>
            <w:r>
              <w:rPr>
                <w:bCs/>
                <w:color w:val="000000" w:themeColor="text1"/>
                <w:kern w:val="24"/>
                <w:sz w:val="24"/>
                <w:highlight w:val="none"/>
                <w14:textFill>
                  <w14:solidFill>
                    <w14:schemeClr w14:val="tx1"/>
                  </w14:solidFill>
                </w14:textFill>
              </w:rPr>
              <w:t>%。</w:t>
            </w:r>
          </w:p>
          <w:p w14:paraId="12F0678A">
            <w:pPr>
              <w:pStyle w:val="2"/>
              <w:keepNext w:val="0"/>
              <w:keepLines w:val="0"/>
              <w:pageBreakBefore w:val="0"/>
              <w:widowControl w:val="0"/>
              <w:kinsoku/>
              <w:wordWrap/>
              <w:overflowPunct/>
              <w:topLinePunct w:val="0"/>
              <w:bidi w:val="0"/>
              <w:adjustRightInd w:val="0"/>
              <w:spacing w:line="360" w:lineRule="auto"/>
              <w:ind w:firstLine="442" w:firstLineChars="200"/>
              <w:textAlignment w:val="auto"/>
              <w:rPr>
                <w:rFonts w:hint="default" w:ascii="Times New Roman" w:hAnsi="Times New Roman" w:cs="Times New Roman" w:eastAsiaTheme="minorEastAsia"/>
                <w:b/>
                <w:bCs w:val="0"/>
                <w:color w:val="000000" w:themeColor="text1"/>
                <w:spacing w:val="-10"/>
                <w:sz w:val="24"/>
                <w:szCs w:val="24"/>
                <w14:textFill>
                  <w14:solidFill>
                    <w14:schemeClr w14:val="tx1"/>
                  </w14:solidFill>
                </w14:textFill>
              </w:rPr>
            </w:pPr>
            <w:r>
              <w:rPr>
                <w:rFonts w:hint="default" w:ascii="Times New Roman" w:hAnsi="Times New Roman" w:cs="Times New Roman" w:eastAsiaTheme="minorEastAsia"/>
                <w:b/>
                <w:bCs w:val="0"/>
                <w:color w:val="000000" w:themeColor="text1"/>
                <w:spacing w:val="-10"/>
                <w:sz w:val="24"/>
                <w:szCs w:val="24"/>
                <w:lang w:val="en-US" w:eastAsia="zh-CN"/>
                <w14:textFill>
                  <w14:solidFill>
                    <w14:schemeClr w14:val="tx1"/>
                  </w14:solidFill>
                </w14:textFill>
              </w:rPr>
              <w:t>④</w:t>
            </w:r>
            <w:r>
              <w:rPr>
                <w:rFonts w:hint="default" w:ascii="Times New Roman" w:hAnsi="Times New Roman" w:cs="Times New Roman" w:eastAsiaTheme="minorEastAsia"/>
                <w:b/>
                <w:bCs w:val="0"/>
                <w:color w:val="000000" w:themeColor="text1"/>
                <w:spacing w:val="-10"/>
                <w:sz w:val="24"/>
                <w:szCs w:val="24"/>
                <w14:textFill>
                  <w14:solidFill>
                    <w14:schemeClr w14:val="tx1"/>
                  </w14:solidFill>
                </w14:textFill>
              </w:rPr>
              <w:t>天然气燃烧废气G</w:t>
            </w:r>
            <w:r>
              <w:rPr>
                <w:rFonts w:hint="default" w:ascii="Times New Roman" w:hAnsi="Times New Roman" w:cs="Times New Roman" w:eastAsiaTheme="minorEastAsia"/>
                <w:b/>
                <w:bCs w:val="0"/>
                <w:color w:val="000000" w:themeColor="text1"/>
                <w:spacing w:val="-10"/>
                <w:sz w:val="24"/>
                <w:szCs w:val="24"/>
                <w:lang w:val="en-US" w:eastAsia="zh-CN"/>
                <w14:textFill>
                  <w14:solidFill>
                    <w14:schemeClr w14:val="tx1"/>
                  </w14:solidFill>
                </w14:textFill>
              </w:rPr>
              <w:t>6</w:t>
            </w:r>
          </w:p>
          <w:p w14:paraId="77663358">
            <w:pPr>
              <w:pStyle w:val="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b w:val="0"/>
                <w:bCs w:val="0"/>
                <w:sz w:val="24"/>
                <w:szCs w:val="24"/>
                <w:lang w:val="en-US" w:eastAsia="zh-CN"/>
              </w:rPr>
              <w:t>项目烘箱加热为燃烧天然气加热，采用低氮燃烧技术，</w:t>
            </w:r>
            <w:r>
              <w:rPr>
                <w:rFonts w:hint="default" w:ascii="Times New Roman" w:hAnsi="Times New Roman" w:cs="Times New Roman"/>
                <w:color w:val="auto"/>
                <w:sz w:val="24"/>
                <w:szCs w:val="24"/>
                <w:highlight w:val="none"/>
              </w:rPr>
              <w:t>根据《排放源统计调查产排污核算方法和系数手册》之《33-37,431-434 机械行业系数手册》，</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涂装-天然气工业炉窑</w:t>
            </w:r>
            <w:r>
              <w:rPr>
                <w:rFonts w:hint="eastAsia" w:ascii="Times New Roman" w:hAnsi="Times New Roman" w:cs="Times New Roman"/>
                <w:color w:val="auto"/>
                <w:sz w:val="24"/>
                <w:szCs w:val="24"/>
                <w:highlight w:val="none"/>
                <w:lang w:eastAsia="zh-CN"/>
              </w:rPr>
              <w:t>”</w:t>
            </w:r>
            <w:r>
              <w:rPr>
                <w:rFonts w:ascii="Times New Roman" w:hAnsi="Times New Roman"/>
                <w:color w:val="auto"/>
                <w:sz w:val="24"/>
                <w:szCs w:val="24"/>
              </w:rPr>
              <w:t>颗粒物产污系数为2.86kg/万m</w:t>
            </w:r>
            <w:r>
              <w:rPr>
                <w:rFonts w:ascii="Times New Roman" w:hAnsi="Times New Roman"/>
                <w:color w:val="auto"/>
                <w:sz w:val="24"/>
                <w:szCs w:val="24"/>
                <w:vertAlign w:val="superscript"/>
              </w:rPr>
              <w:t>3</w:t>
            </w:r>
            <w:r>
              <w:rPr>
                <w:rFonts w:hint="eastAsia" w:ascii="Times New Roman"/>
                <w:color w:val="auto"/>
                <w:sz w:val="24"/>
                <w:szCs w:val="24"/>
                <w:vertAlign w:val="baseline"/>
                <w:lang w:val="en-US" w:eastAsia="zh-CN"/>
              </w:rPr>
              <w:t>-</w:t>
            </w:r>
            <w:r>
              <w:rPr>
                <w:rFonts w:ascii="Times New Roman" w:hAnsi="Times New Roman"/>
                <w:color w:val="auto"/>
                <w:sz w:val="24"/>
                <w:szCs w:val="24"/>
              </w:rPr>
              <w:t>原料，二氧化硫0.02Skg/万m</w:t>
            </w:r>
            <w:r>
              <w:rPr>
                <w:rFonts w:ascii="Times New Roman" w:hAnsi="Times New Roman"/>
                <w:color w:val="auto"/>
                <w:sz w:val="24"/>
                <w:szCs w:val="24"/>
                <w:vertAlign w:val="superscript"/>
              </w:rPr>
              <w:t>3</w:t>
            </w:r>
            <w:r>
              <w:rPr>
                <w:rFonts w:hint="eastAsia" w:ascii="Times New Roman"/>
                <w:color w:val="auto"/>
                <w:sz w:val="24"/>
                <w:szCs w:val="24"/>
                <w:vertAlign w:val="baseline"/>
                <w:lang w:val="en-US" w:eastAsia="zh-CN"/>
              </w:rPr>
              <w:t>-</w:t>
            </w:r>
            <w:r>
              <w:rPr>
                <w:rFonts w:ascii="Times New Roman" w:hAnsi="Times New Roman"/>
                <w:color w:val="auto"/>
                <w:sz w:val="24"/>
                <w:szCs w:val="24"/>
              </w:rPr>
              <w:t>原料（S为收到基硫分（取值范围0-100，本次评价S取100）、氮氧化物18.7kg/万m</w:t>
            </w:r>
            <w:r>
              <w:rPr>
                <w:rFonts w:ascii="Times New Roman" w:hAnsi="Times New Roman"/>
                <w:color w:val="auto"/>
                <w:sz w:val="24"/>
                <w:szCs w:val="24"/>
                <w:vertAlign w:val="superscript"/>
              </w:rPr>
              <w:t>3</w:t>
            </w:r>
            <w:r>
              <w:rPr>
                <w:rFonts w:hint="eastAsia" w:ascii="Times New Roman"/>
                <w:color w:val="auto"/>
                <w:sz w:val="24"/>
                <w:szCs w:val="24"/>
                <w:vertAlign w:val="baseline"/>
                <w:lang w:val="en-US" w:eastAsia="zh-CN"/>
              </w:rPr>
              <w:t>-</w:t>
            </w:r>
            <w:r>
              <w:rPr>
                <w:rFonts w:ascii="Times New Roman" w:hAnsi="Times New Roman"/>
                <w:color w:val="auto"/>
                <w:sz w:val="24"/>
                <w:szCs w:val="24"/>
              </w:rPr>
              <w:t>原料、工业废气量13.6Nm</w:t>
            </w:r>
            <w:r>
              <w:rPr>
                <w:rFonts w:ascii="Times New Roman" w:hAnsi="Times New Roman"/>
                <w:color w:val="auto"/>
                <w:sz w:val="24"/>
                <w:szCs w:val="24"/>
                <w:vertAlign w:val="superscript"/>
              </w:rPr>
              <w:t>3</w:t>
            </w:r>
            <w:r>
              <w:rPr>
                <w:rFonts w:ascii="Times New Roman" w:hAnsi="Times New Roman"/>
                <w:color w:val="auto"/>
                <w:sz w:val="24"/>
                <w:szCs w:val="24"/>
              </w:rPr>
              <w:t>/m</w:t>
            </w:r>
            <w:r>
              <w:rPr>
                <w:rFonts w:ascii="Times New Roman" w:hAnsi="Times New Roman"/>
                <w:color w:val="auto"/>
                <w:sz w:val="24"/>
                <w:szCs w:val="24"/>
                <w:vertAlign w:val="superscript"/>
              </w:rPr>
              <w:t>3</w:t>
            </w:r>
            <w:r>
              <w:rPr>
                <w:rFonts w:hint="eastAsia" w:ascii="Times New Roman"/>
                <w:color w:val="auto"/>
                <w:sz w:val="24"/>
                <w:szCs w:val="24"/>
                <w:vertAlign w:val="baseline"/>
                <w:lang w:val="en-US" w:eastAsia="zh-CN"/>
              </w:rPr>
              <w:t>-</w:t>
            </w:r>
            <w:r>
              <w:rPr>
                <w:rFonts w:ascii="Times New Roman" w:hAnsi="Times New Roman"/>
                <w:color w:val="auto"/>
                <w:sz w:val="24"/>
                <w:szCs w:val="24"/>
              </w:rPr>
              <w:t>原料</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低氮燃烧对氮氧化物的治理效率为50%。</w:t>
            </w:r>
          </w:p>
          <w:p w14:paraId="3C7A2BE8">
            <w:pPr>
              <w:pStyle w:val="2"/>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olor w:val="auto"/>
                <w:sz w:val="24"/>
                <w:szCs w:val="24"/>
                <w:lang w:val="en-US" w:eastAsia="zh-CN"/>
              </w:rPr>
              <w:t>项目年使用天然气量为15万</w:t>
            </w:r>
            <w:r>
              <w:rPr>
                <w:rFonts w:ascii="Times New Roman" w:hAnsi="Times New Roman"/>
                <w:color w:val="auto"/>
                <w:sz w:val="24"/>
                <w:szCs w:val="24"/>
              </w:rPr>
              <w:t>m</w:t>
            </w:r>
            <w:r>
              <w:rPr>
                <w:rFonts w:ascii="Times New Roman" w:hAnsi="Times New Roman"/>
                <w:color w:val="auto"/>
                <w:sz w:val="24"/>
                <w:szCs w:val="24"/>
                <w:vertAlign w:val="superscript"/>
              </w:rPr>
              <w:t>3</w:t>
            </w:r>
            <w:r>
              <w:rPr>
                <w:rFonts w:hint="eastAsia" w:ascii="Times New Roman" w:hAnsi="Times New Roman"/>
                <w:color w:val="auto"/>
                <w:sz w:val="24"/>
                <w:szCs w:val="24"/>
                <w:lang w:val="en-US" w:eastAsia="zh-CN"/>
              </w:rPr>
              <w:t>。</w:t>
            </w:r>
          </w:p>
          <w:p w14:paraId="4FC366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42" w:firstLineChars="200"/>
              <w:textAlignment w:val="auto"/>
              <w:rPr>
                <w:rFonts w:hint="default" w:ascii="Times New Roman" w:hAnsi="Times New Roman" w:cs="Times New Roman"/>
                <w:b/>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pacing w:val="-10"/>
                <w:sz w:val="24"/>
                <w:szCs w:val="24"/>
                <w:lang w:val="en-US" w:eastAsia="zh-CN"/>
                <w14:textFill>
                  <w14:solidFill>
                    <w14:schemeClr w14:val="tx1"/>
                  </w14:solidFill>
                </w14:textFill>
              </w:rPr>
              <w:t>⑤</w:t>
            </w:r>
            <w:r>
              <w:rPr>
                <w:rFonts w:hint="default" w:ascii="Times New Roman" w:hAnsi="Times New Roman" w:cs="Times New Roman"/>
                <w:b/>
                <w:bCs w:val="0"/>
                <w:color w:val="000000" w:themeColor="text1"/>
                <w:sz w:val="24"/>
                <w:szCs w:val="24"/>
                <w:lang w:val="en-US" w:eastAsia="zh-CN"/>
                <w14:textFill>
                  <w14:solidFill>
                    <w14:schemeClr w14:val="tx1"/>
                  </w14:solidFill>
                </w14:textFill>
              </w:rPr>
              <w:t>抛光废气G7</w:t>
            </w:r>
          </w:p>
          <w:p w14:paraId="5CFC8F29">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检验后的工件使用</w:t>
            </w:r>
            <w:r>
              <w:rPr>
                <w:rFonts w:hint="eastAsia" w:cs="Times New Roman"/>
                <w:b w:val="0"/>
                <w:bCs w:val="0"/>
                <w:color w:val="000000" w:themeColor="text1"/>
                <w:sz w:val="24"/>
                <w:szCs w:val="24"/>
                <w:lang w:val="en-US" w:eastAsia="zh-CN"/>
                <w14:textFill>
                  <w14:solidFill>
                    <w14:schemeClr w14:val="tx1"/>
                  </w14:solidFill>
                </w14:textFill>
              </w:rPr>
              <w:t>抛光机对表面不平整的地方</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进行抛光，</w:t>
            </w:r>
            <w:r>
              <w:rPr>
                <w:rFonts w:hint="eastAsia" w:cs="Times New Roman"/>
                <w:b w:val="0"/>
                <w:bCs w:val="0"/>
                <w:color w:val="000000" w:themeColor="text1"/>
                <w:sz w:val="24"/>
                <w:szCs w:val="24"/>
                <w:lang w:val="en-US" w:eastAsia="zh-CN"/>
                <w14:textFill>
                  <w14:solidFill>
                    <w14:schemeClr w14:val="tx1"/>
                  </w14:solidFill>
                </w14:textFill>
              </w:rPr>
              <w:t>需抛光的产品约为总产品数的1%</w:t>
            </w:r>
            <w:r>
              <w:rPr>
                <w:rFonts w:hint="eastAsia" w:ascii="Times New Roman" w:cs="Times New Roman"/>
                <w:b w:val="0"/>
                <w:bCs w:val="0"/>
                <w:color w:val="000000" w:themeColor="text1"/>
                <w:sz w:val="24"/>
                <w:szCs w:val="24"/>
                <w:lang w:val="en-US" w:eastAsia="zh-CN"/>
                <w14:textFill>
                  <w14:solidFill>
                    <w14:schemeClr w14:val="tx1"/>
                  </w14:solidFill>
                </w14:textFill>
              </w:rPr>
              <w:t>，</w:t>
            </w:r>
            <w:r>
              <w:rPr>
                <w:rFonts w:hint="eastAsia" w:cs="Times New Roman"/>
                <w:b w:val="0"/>
                <w:bCs w:val="0"/>
                <w:color w:val="000000" w:themeColor="text1"/>
                <w:sz w:val="24"/>
                <w:szCs w:val="24"/>
                <w:lang w:val="en-US" w:eastAsia="zh-CN"/>
                <w14:textFill>
                  <w14:solidFill>
                    <w14:schemeClr w14:val="tx1"/>
                  </w14:solidFill>
                </w14:textFill>
              </w:rPr>
              <w:t>抛光时会产生少量颗粒物，</w:t>
            </w:r>
            <w:r>
              <w:rPr>
                <w:rFonts w:hint="eastAsia" w:ascii="Times New Roman" w:cs="Times New Roman"/>
                <w:b w:val="0"/>
                <w:bCs w:val="0"/>
                <w:color w:val="000000" w:themeColor="text1"/>
                <w:sz w:val="24"/>
                <w:szCs w:val="24"/>
                <w:lang w:val="en-US" w:eastAsia="zh-CN"/>
                <w14:textFill>
                  <w14:solidFill>
                    <w14:schemeClr w14:val="tx1"/>
                  </w14:solidFill>
                </w14:textFill>
              </w:rPr>
              <w:t>产生量</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极少，因此不对</w:t>
            </w:r>
            <w:r>
              <w:rPr>
                <w:rFonts w:hint="eastAsia" w:ascii="Times New Roman" w:cs="Times New Roman"/>
                <w:b w:val="0"/>
                <w:bCs w:val="0"/>
                <w:color w:val="000000" w:themeColor="text1"/>
                <w:sz w:val="24"/>
                <w:szCs w:val="24"/>
                <w:lang w:val="en-US" w:eastAsia="zh-CN"/>
                <w14:textFill>
                  <w14:solidFill>
                    <w14:schemeClr w14:val="tx1"/>
                  </w14:solidFill>
                </w14:textFill>
              </w:rPr>
              <w:t>抛光</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废气进行定量分析</w:t>
            </w:r>
            <w:r>
              <w:rPr>
                <w:rFonts w:hint="eastAsia" w:ascii="Times New Roman" w:cs="Times New Roman"/>
                <w:b w:val="0"/>
                <w:bCs w:val="0"/>
                <w:color w:val="000000" w:themeColor="text1"/>
                <w:sz w:val="24"/>
                <w:szCs w:val="24"/>
                <w:lang w:val="en-US" w:eastAsia="zh-CN"/>
                <w14:textFill>
                  <w14:solidFill>
                    <w14:schemeClr w14:val="tx1"/>
                  </w14:solidFill>
                </w14:textFill>
              </w:rPr>
              <w:t>，</w:t>
            </w:r>
            <w:r>
              <w:rPr>
                <w:rFonts w:hint="eastAsia"/>
                <w:b w:val="0"/>
                <w:bCs w:val="0"/>
                <w:color w:val="000000" w:themeColor="text1"/>
                <w:sz w:val="24"/>
                <w:szCs w:val="24"/>
                <w:lang w:val="en-US" w:eastAsia="zh-CN"/>
                <w14:textFill>
                  <w14:solidFill>
                    <w14:schemeClr w14:val="tx1"/>
                  </w14:solidFill>
                </w14:textFill>
              </w:rPr>
              <w:t>加强通风，无组织排放。</w:t>
            </w:r>
          </w:p>
          <w:p w14:paraId="249F1911">
            <w:pPr>
              <w:pStyle w:val="2"/>
              <w:ind w:firstLine="442" w:firstLineChars="200"/>
              <w:rPr>
                <w:rFonts w:hint="default" w:ascii="Times New Roman" w:hAnsi="Times New Roman" w:cs="Times New Roman" w:eastAsiaTheme="minorEastAsia"/>
                <w:b/>
                <w:bCs w:val="0"/>
                <w:color w:val="000000" w:themeColor="text1"/>
                <w:spacing w:val="-10"/>
                <w:sz w:val="24"/>
                <w:szCs w:val="24"/>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spacing w:val="-10"/>
                <w:sz w:val="24"/>
                <w:szCs w:val="24"/>
                <w:lang w:val="en-US" w:eastAsia="zh-CN"/>
                <w14:textFill>
                  <w14:solidFill>
                    <w14:schemeClr w14:val="tx1"/>
                  </w14:solidFill>
                </w14:textFill>
              </w:rPr>
              <w:t>⑥危废贮存库废气G8</w:t>
            </w:r>
          </w:p>
          <w:p w14:paraId="4F8E4557">
            <w:pPr>
              <w:pStyle w:val="11"/>
              <w:keepNext w:val="0"/>
              <w:keepLines w:val="0"/>
              <w:pageBreakBefore w:val="0"/>
              <w:suppressLineNumbers w:val="0"/>
              <w:kinsoku/>
              <w:wordWrap/>
              <w:overflowPunct/>
              <w:topLinePunct w:val="0"/>
              <w:bidi w:val="0"/>
              <w:adjustRightInd w:val="0"/>
              <w:spacing w:before="0" w:beforeAutospacing="0" w:after="0" w:afterAutospacing="0"/>
              <w:ind w:left="0" w:right="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kern w:val="24"/>
                <w:sz w:val="24"/>
                <w:szCs w:val="24"/>
                <w:lang w:val="en-US" w:eastAsia="zh-CN" w:bidi="ar"/>
                <w14:textFill>
                  <w14:solidFill>
                    <w14:schemeClr w14:val="tx1"/>
                  </w14:solidFill>
                </w14:textFill>
              </w:rPr>
              <w:t>本项目设一个</w:t>
            </w:r>
            <w:r>
              <w:rPr>
                <w:rFonts w:hint="default" w:ascii="Times New Roman" w:hAnsi="Times New Roman" w:cs="Times New Roman"/>
                <w:bCs/>
                <w:color w:val="000000" w:themeColor="text1"/>
                <w:kern w:val="24"/>
                <w:sz w:val="24"/>
                <w:szCs w:val="24"/>
                <w:lang w:val="en-US" w:eastAsia="zh-CN" w:bidi="ar"/>
                <w14:textFill>
                  <w14:solidFill>
                    <w14:schemeClr w14:val="tx1"/>
                  </w14:solidFill>
                </w14:textFill>
              </w:rPr>
              <w:t>危废贮存库</w:t>
            </w:r>
            <w:r>
              <w:rPr>
                <w:rFonts w:hint="default" w:ascii="Times New Roman" w:hAnsi="Times New Roman" w:eastAsia="宋体" w:cs="Times New Roman"/>
                <w:bCs/>
                <w:color w:val="000000" w:themeColor="text1"/>
                <w:kern w:val="24"/>
                <w:sz w:val="24"/>
                <w:szCs w:val="24"/>
                <w:lang w:val="en-US" w:eastAsia="zh-CN" w:bidi="ar"/>
                <w14:textFill>
                  <w14:solidFill>
                    <w14:schemeClr w14:val="tx1"/>
                  </w14:solidFill>
                </w14:textFill>
              </w:rPr>
              <w:t>位于</w:t>
            </w:r>
            <w:r>
              <w:rPr>
                <w:rFonts w:hint="default" w:ascii="Times New Roman" w:hAnsi="Times New Roman" w:cs="Times New Roman"/>
                <w:bCs/>
                <w:color w:val="000000" w:themeColor="text1"/>
                <w:kern w:val="24"/>
                <w:sz w:val="24"/>
                <w:szCs w:val="24"/>
                <w:lang w:val="en-US" w:eastAsia="zh-CN" w:bidi="ar"/>
                <w14:textFill>
                  <w14:solidFill>
                    <w14:schemeClr w14:val="tx1"/>
                  </w14:solidFill>
                </w14:textFill>
              </w:rPr>
              <w:t>厂房东南侧</w:t>
            </w:r>
            <w:r>
              <w:rPr>
                <w:rFonts w:hint="default" w:ascii="Times New Roman" w:hAnsi="Times New Roman" w:eastAsia="宋体" w:cs="Times New Roman"/>
                <w:bCs/>
                <w:color w:val="000000" w:themeColor="text1"/>
                <w:kern w:val="24"/>
                <w:sz w:val="24"/>
                <w:szCs w:val="24"/>
                <w:lang w:val="en-US" w:eastAsia="zh-CN" w:bidi="ar"/>
                <w14:textFill>
                  <w14:solidFill>
                    <w14:schemeClr w14:val="tx1"/>
                  </w14:solidFill>
                </w14:textFill>
              </w:rPr>
              <w:t>，</w:t>
            </w:r>
            <w:r>
              <w:rPr>
                <w:rFonts w:hint="default" w:ascii="Times New Roman" w:hAnsi="Times New Roman" w:cs="Times New Roman"/>
                <w:bCs/>
                <w:color w:val="000000" w:themeColor="text1"/>
                <w:kern w:val="24"/>
                <w:sz w:val="24"/>
                <w:szCs w:val="24"/>
                <w:lang w:val="en-US" w:eastAsia="zh-CN" w:bidi="ar"/>
                <w14:textFill>
                  <w14:solidFill>
                    <w14:schemeClr w14:val="tx1"/>
                  </w14:solidFill>
                </w14:textFill>
              </w:rPr>
              <w:t>危废贮存库</w:t>
            </w:r>
            <w:r>
              <w:rPr>
                <w:rFonts w:hint="default" w:ascii="Times New Roman" w:hAnsi="Times New Roman" w:eastAsia="宋体" w:cs="Times New Roman"/>
                <w:bCs/>
                <w:color w:val="000000" w:themeColor="text1"/>
                <w:kern w:val="24"/>
                <w:sz w:val="24"/>
                <w:szCs w:val="24"/>
                <w:lang w:val="en-US" w:eastAsia="zh-CN" w:bidi="ar"/>
                <w14:textFill>
                  <w14:solidFill>
                    <w14:schemeClr w14:val="tx1"/>
                  </w14:solidFill>
                </w14:textFill>
              </w:rPr>
              <w:t>储存</w:t>
            </w:r>
            <w:r>
              <w:rPr>
                <w:rFonts w:hint="default" w:ascii="Times New Roman" w:hAnsi="Times New Roman" w:cs="Times New Roman"/>
                <w:bCs/>
                <w:color w:val="000000" w:themeColor="text1"/>
                <w:kern w:val="24"/>
                <w:sz w:val="24"/>
                <w:szCs w:val="24"/>
                <w:lang w:val="en-US" w:eastAsia="zh-CN" w:bidi="ar"/>
                <w14:textFill>
                  <w14:solidFill>
                    <w14:schemeClr w14:val="tx1"/>
                  </w14:solidFill>
                </w14:textFill>
              </w:rPr>
              <w:t>废活性炭、废机油、废油桶</w:t>
            </w:r>
            <w:r>
              <w:rPr>
                <w:rFonts w:hint="default" w:ascii="Times New Roman" w:hAnsi="Times New Roman" w:eastAsia="宋体" w:cs="Times New Roman"/>
                <w:bCs/>
                <w:color w:val="000000" w:themeColor="text1"/>
                <w:kern w:val="24"/>
                <w:sz w:val="24"/>
                <w:szCs w:val="24"/>
                <w:lang w:val="en-US" w:eastAsia="zh-CN" w:bidi="ar"/>
                <w14:textFill>
                  <w14:solidFill>
                    <w14:schemeClr w14:val="tx1"/>
                  </w14:solidFill>
                </w14:textFill>
              </w:rPr>
              <w:t>等危险废物，其均采用容器密闭暂存，有机废气产生量少，故不进行定量分析。设置一套抽风装置，将废气引入“二级活性炭吸附”装置处理后通过1根15m高排气筒（DA001）有组织排放。</w:t>
            </w:r>
          </w:p>
          <w:p w14:paraId="3086B626">
            <w:pPr>
              <w:pStyle w:val="2"/>
              <w:ind w:firstLine="442" w:firstLineChars="200"/>
              <w:rPr>
                <w:rFonts w:hint="eastAsia" w:ascii="Times New Roman" w:hAnsi="Times New Roman" w:cs="Times New Roman" w:eastAsiaTheme="minorEastAsia"/>
                <w:b/>
                <w:bCs w:val="0"/>
                <w:color w:val="000000" w:themeColor="text1"/>
                <w:spacing w:val="-10"/>
                <w:sz w:val="24"/>
                <w:szCs w:val="24"/>
                <w:lang w:val="en-US" w:eastAsia="zh-CN"/>
                <w14:textFill>
                  <w14:solidFill>
                    <w14:schemeClr w14:val="tx1"/>
                  </w14:solidFill>
                </w14:textFill>
              </w:rPr>
            </w:pPr>
            <w:r>
              <w:rPr>
                <w:rFonts w:hint="eastAsia" w:ascii="Times New Roman" w:hAnsi="Times New Roman" w:cs="Times New Roman" w:eastAsiaTheme="minorEastAsia"/>
                <w:b/>
                <w:bCs w:val="0"/>
                <w:color w:val="000000" w:themeColor="text1"/>
                <w:spacing w:val="-10"/>
                <w:sz w:val="24"/>
                <w:szCs w:val="24"/>
                <w:lang w:val="en-US" w:eastAsia="zh-CN"/>
                <w14:textFill>
                  <w14:solidFill>
                    <w14:schemeClr w14:val="tx1"/>
                  </w14:solidFill>
                </w14:textFill>
              </w:rPr>
              <w:t>⑦调漆废气G9</w:t>
            </w:r>
          </w:p>
          <w:p w14:paraId="37344228">
            <w:pPr>
              <w:keepNext w:val="0"/>
              <w:keepLines w:val="0"/>
              <w:widowControl/>
              <w:suppressLineNumbers w:val="0"/>
              <w:adjustRightInd w:val="0"/>
              <w:snapToGrid w:val="0"/>
              <w:spacing w:before="0" w:beforeAutospacing="0" w:after="0" w:afterAutospacing="0" w:line="360" w:lineRule="auto"/>
              <w:ind w:left="0" w:right="0" w:firstLine="480" w:firstLineChars="200"/>
              <w:jc w:val="both"/>
              <w:rPr>
                <w:rFonts w:hint="default"/>
                <w:lang w:val="en-US" w:eastAsia="zh-CN"/>
              </w:rPr>
            </w:pPr>
            <w:r>
              <w:rPr>
                <w:rFonts w:hint="eastAsia" w:ascii="Times New Roman" w:hAnsi="Times New Roman" w:eastAsia="宋体" w:cs="Times New Roman"/>
                <w:bCs/>
                <w:color w:val="000000" w:themeColor="text1"/>
                <w:kern w:val="24"/>
                <w:sz w:val="24"/>
                <w:szCs w:val="24"/>
                <w:lang w:val="en-US" w:eastAsia="zh-CN" w:bidi="ar"/>
                <w14:textFill>
                  <w14:solidFill>
                    <w14:schemeClr w14:val="tx1"/>
                  </w14:solidFill>
                </w14:textFill>
              </w:rPr>
              <w:t>项目在备漆间将洗枪废水与原料漆搅拌混合，</w:t>
            </w:r>
            <w:r>
              <w:rPr>
                <w:rFonts w:hint="eastAsia" w:cs="Times New Roman"/>
                <w:bCs/>
                <w:color w:val="000000" w:themeColor="text1"/>
                <w:kern w:val="24"/>
                <w:sz w:val="24"/>
                <w:szCs w:val="24"/>
                <w:lang w:val="en-US" w:eastAsia="zh-CN" w:bidi="ar"/>
                <w14:textFill>
                  <w14:solidFill>
                    <w14:schemeClr w14:val="tx1"/>
                  </w14:solidFill>
                </w14:textFill>
              </w:rPr>
              <w:t>形成施工漆后，通过供漆系统经管道输送到喷漆工位，</w:t>
            </w:r>
            <w:r>
              <w:rPr>
                <w:rFonts w:hint="eastAsia" w:ascii="Times New Roman" w:hAnsi="Times New Roman" w:eastAsia="宋体" w:cs="Times New Roman"/>
                <w:bCs/>
                <w:color w:val="000000" w:themeColor="text1"/>
                <w:kern w:val="24"/>
                <w:sz w:val="24"/>
                <w:szCs w:val="24"/>
                <w:lang w:val="en-US" w:eastAsia="zh-CN" w:bidi="ar"/>
                <w14:textFill>
                  <w14:solidFill>
                    <w14:schemeClr w14:val="tx1"/>
                  </w14:solidFill>
                </w14:textFill>
              </w:rPr>
              <w:t>调漆过程会产生挥发性有机物，产生量极少，</w:t>
            </w:r>
            <w:r>
              <w:rPr>
                <w:rFonts w:hint="eastAsia"/>
                <w:b w:val="0"/>
                <w:bCs w:val="0"/>
                <w:color w:val="000000" w:themeColor="text1"/>
                <w:sz w:val="24"/>
                <w:szCs w:val="24"/>
                <w:lang w:val="en-US" w:eastAsia="zh-CN"/>
                <w14:textFill>
                  <w14:solidFill>
                    <w14:schemeClr w14:val="tx1"/>
                  </w14:solidFill>
                </w14:textFill>
              </w:rPr>
              <w:t>因此不对调漆废气进行定量分析，调漆废气无组织排放。</w:t>
            </w:r>
          </w:p>
          <w:p w14:paraId="24859F2F">
            <w:pPr>
              <w:keepNext w:val="0"/>
              <w:keepLines w:val="0"/>
              <w:pageBreakBefore w:val="0"/>
              <w:widowControl/>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textAlignment w:val="auto"/>
              <w:rPr>
                <w:rFonts w:hint="eastAsia"/>
                <w:b/>
                <w:bCs/>
                <w:color w:val="000000" w:themeColor="text1"/>
                <w:kern w:val="2"/>
                <w:sz w:val="24"/>
                <w:highlight w:val="none"/>
                <w:lang w:val="en-US" w:eastAsia="zh-CN"/>
                <w14:textFill>
                  <w14:solidFill>
                    <w14:schemeClr w14:val="tx1"/>
                  </w14:solidFill>
                </w14:textFill>
              </w:rPr>
            </w:pPr>
            <w:r>
              <w:rPr>
                <w:rFonts w:hint="eastAsia"/>
                <w:b/>
                <w:bCs/>
                <w:color w:val="000000" w:themeColor="text1"/>
                <w:kern w:val="2"/>
                <w:sz w:val="24"/>
                <w:highlight w:val="none"/>
                <w:lang w:val="en-US" w:eastAsia="zh-CN"/>
                <w14:textFill>
                  <w14:solidFill>
                    <w14:schemeClr w14:val="tx1"/>
                  </w14:solidFill>
                </w14:textFill>
              </w:rPr>
              <w:t>1.2、风量核算</w:t>
            </w:r>
          </w:p>
          <w:p w14:paraId="37F5F85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eastAsia"/>
                <w:b/>
                <w:bCs/>
                <w:color w:val="000000" w:themeColor="text1"/>
                <w:sz w:val="24"/>
                <w:szCs w:val="24"/>
                <w:lang w:val="en-US" w:eastAsia="zh-CN"/>
                <w14:textFill>
                  <w14:solidFill>
                    <w14:schemeClr w14:val="tx1"/>
                  </w14:solidFill>
                </w14:textFill>
              </w:rPr>
            </w:pPr>
            <w:r>
              <w:rPr>
                <w:rFonts w:hint="eastAsia"/>
                <w:b/>
                <w:bCs/>
                <w:color w:val="000000" w:themeColor="text1"/>
                <w:sz w:val="24"/>
                <w:szCs w:val="24"/>
                <w:lang w:val="en-US" w:eastAsia="zh-CN"/>
                <w14:textFill>
                  <w14:solidFill>
                    <w14:schemeClr w14:val="tx1"/>
                  </w14:solidFill>
                </w14:textFill>
              </w:rPr>
              <w:t>①喷漆废气、流平固化废气、烘干废气</w:t>
            </w:r>
          </w:p>
          <w:p w14:paraId="20EBD729">
            <w:pPr>
              <w:shd w:val="clear" w:color="auto" w:fill="auto"/>
              <w:kinsoku/>
              <w:autoSpaceDE/>
              <w:autoSpaceDN/>
              <w:snapToGrid w:val="0"/>
              <w:spacing w:line="360" w:lineRule="auto"/>
              <w:ind w:firstLine="480" w:firstLineChars="200"/>
              <w:rPr>
                <w:rFonts w:hint="default" w:eastAsia="宋体"/>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sz w:val="24"/>
                <w:lang w:val="en-US" w:eastAsia="zh-CN"/>
                <w14:textFill>
                  <w14:solidFill>
                    <w14:schemeClr w14:val="tx1"/>
                  </w14:solidFill>
                </w14:textFill>
              </w:rPr>
              <w:t>根据业主提供资料，</w:t>
            </w:r>
            <w:r>
              <w:rPr>
                <w:rFonts w:hint="eastAsia" w:cs="Times New Roman"/>
                <w:b w:val="0"/>
                <w:bCs w:val="0"/>
                <w:color w:val="000000" w:themeColor="text1"/>
                <w:sz w:val="24"/>
                <w:lang w:val="en-US" w:eastAsia="zh-CN"/>
                <w14:textFill>
                  <w14:solidFill>
                    <w14:schemeClr w14:val="tx1"/>
                  </w14:solidFill>
                </w14:textFill>
              </w:rPr>
              <w:t>喷漆流平固化采用整体通风。</w:t>
            </w:r>
            <w:r>
              <w:rPr>
                <w:rFonts w:hint="eastAsia" w:cs="Times New Roman"/>
                <w:color w:val="000000" w:themeColor="text1"/>
                <w:sz w:val="24"/>
                <w:szCs w:val="24"/>
                <w:highlight w:val="none"/>
                <w:lang w:val="en-US" w:eastAsia="zh-CN"/>
                <w14:textFill>
                  <w14:solidFill>
                    <w14:schemeClr w14:val="tx1"/>
                  </w14:solidFill>
                </w14:textFill>
              </w:rPr>
              <w:t>单条线漆区设置3个喷漆工位，2用1备，单个喷漆工位尺寸为2.5×2.5×2m，传送带区域尺寸为30×1.5×2m，总</w:t>
            </w:r>
            <w:r>
              <w:rPr>
                <w:rFonts w:hint="eastAsia" w:ascii="Times New Roman" w:cs="Times New Roman"/>
                <w:color w:val="000000" w:themeColor="text1"/>
                <w:sz w:val="24"/>
                <w:szCs w:val="24"/>
                <w:highlight w:val="none"/>
                <w:lang w:val="en-US" w:eastAsia="zh-CN"/>
                <w14:textFill>
                  <w14:solidFill>
                    <w14:schemeClr w14:val="tx1"/>
                  </w14:solidFill>
                </w14:textFill>
              </w:rPr>
              <w:t>体积为</w:t>
            </w:r>
            <w:r>
              <w:rPr>
                <w:rFonts w:hint="eastAsia" w:cs="Times New Roman"/>
                <w:color w:val="000000" w:themeColor="text1"/>
                <w:sz w:val="24"/>
                <w:szCs w:val="24"/>
                <w:highlight w:val="none"/>
                <w:lang w:val="en-US" w:eastAsia="zh-CN"/>
                <w14:textFill>
                  <w14:solidFill>
                    <w14:schemeClr w14:val="tx1"/>
                  </w14:solidFill>
                </w14:textFill>
              </w:rPr>
              <w:t>127.5</w:t>
            </w:r>
            <w:r>
              <w:rPr>
                <w:rFonts w:ascii="Times New Roman" w:hAnsi="Times New Roman" w:eastAsia="宋体" w:cs="Times New Roman"/>
                <w:color w:val="000000" w:themeColor="text1"/>
                <w:sz w:val="24"/>
                <w:szCs w:val="24"/>
                <w:highlight w:val="none"/>
                <w:lang w:bidi="ar"/>
                <w14:textFill>
                  <w14:solidFill>
                    <w14:schemeClr w14:val="tx1"/>
                  </w14:solidFill>
                </w14:textFill>
              </w:rPr>
              <w:t>m</w:t>
            </w:r>
            <w:r>
              <w:rPr>
                <w:rFonts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3</w:t>
            </w:r>
            <w:r>
              <w:rPr>
                <w:rFonts w:hint="eastAsia" w:asci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换气次数为80</w:t>
            </w:r>
            <w:r>
              <w:rPr>
                <w:rFonts w:hint="eastAsia" w:ascii="Times New Roman" w:hAnsi="Times New Roman" w:eastAsia="宋体" w:cs="Times New Roman"/>
                <w:color w:val="000000" w:themeColor="text1"/>
                <w:sz w:val="24"/>
                <w:szCs w:val="24"/>
                <w:highlight w:val="none"/>
                <w:vertAlign w:val="baseline"/>
                <w:lang w:val="en-US" w:eastAsia="zh-CN" w:bidi="ar"/>
                <w14:textFill>
                  <w14:solidFill>
                    <w14:schemeClr w14:val="tx1"/>
                  </w14:solidFill>
                </w14:textFill>
              </w:rPr>
              <w:t>次/h</w:t>
            </w:r>
            <w:r>
              <w:rPr>
                <w:rFonts w:hint="eastAsia" w:cs="Times New Roman"/>
                <w:color w:val="000000" w:themeColor="text1"/>
                <w:sz w:val="24"/>
                <w:szCs w:val="24"/>
                <w:highlight w:val="none"/>
                <w:lang w:val="en-US" w:eastAsia="zh-CN"/>
                <w14:textFill>
                  <w14:solidFill>
                    <w14:schemeClr w14:val="tx1"/>
                  </w14:solidFill>
                </w14:textFill>
              </w:rPr>
              <w:t>，因此喷漆区风量为10200</w:t>
            </w:r>
            <w:r>
              <w:rPr>
                <w:rFonts w:ascii="Times New Roman" w:hAnsi="Times New Roman" w:eastAsia="宋体" w:cs="Times New Roman"/>
                <w:color w:val="000000" w:themeColor="text1"/>
                <w:sz w:val="24"/>
                <w:szCs w:val="24"/>
                <w:highlight w:val="none"/>
                <w:lang w:bidi="ar"/>
                <w14:textFill>
                  <w14:solidFill>
                    <w14:schemeClr w14:val="tx1"/>
                  </w14:solidFill>
                </w14:textFill>
              </w:rPr>
              <w:t>m</w:t>
            </w:r>
            <w:r>
              <w:rPr>
                <w:rFonts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bidi="ar"/>
                <w14:textFill>
                  <w14:solidFill>
                    <w14:schemeClr w14:val="tx1"/>
                  </w14:solidFill>
                </w14:textFill>
              </w:rPr>
              <w:t>/h</w:t>
            </w:r>
            <w:r>
              <w:rPr>
                <w:rFonts w:hint="eastAsia" w:cs="Times New Roman"/>
                <w:color w:val="000000" w:themeColor="text1"/>
                <w:sz w:val="24"/>
                <w:szCs w:val="24"/>
                <w:highlight w:val="none"/>
                <w:vertAlign w:val="baseline"/>
                <w:lang w:val="en-US" w:eastAsia="zh-CN" w:bidi="ar"/>
                <w14:textFill>
                  <w14:solidFill>
                    <w14:schemeClr w14:val="tx1"/>
                  </w14:solidFill>
                </w14:textFill>
              </w:rPr>
              <w:t>。</w:t>
            </w:r>
            <w:r>
              <w:rPr>
                <w:rFonts w:hint="eastAsia" w:ascii="Times New Roman" w:cs="Times New Roman"/>
                <w:color w:val="000000" w:themeColor="text1"/>
                <w:sz w:val="24"/>
                <w:szCs w:val="24"/>
                <w:highlight w:val="none"/>
                <w:lang w:val="en-US" w:eastAsia="zh-CN"/>
                <w14:textFill>
                  <w14:solidFill>
                    <w14:schemeClr w14:val="tx1"/>
                  </w14:solidFill>
                </w14:textFill>
              </w:rPr>
              <w:t>流平固化区</w:t>
            </w:r>
            <w:r>
              <w:rPr>
                <w:rFonts w:hint="eastAsia" w:cs="Times New Roman"/>
                <w:color w:val="000000" w:themeColor="text1"/>
                <w:sz w:val="24"/>
                <w:szCs w:val="24"/>
                <w:highlight w:val="none"/>
                <w:lang w:val="en-US" w:eastAsia="zh-CN"/>
                <w14:textFill>
                  <w14:solidFill>
                    <w14:schemeClr w14:val="tx1"/>
                  </w14:solidFill>
                </w14:textFill>
              </w:rPr>
              <w:t>尺寸为10×6.5×2m，</w:t>
            </w:r>
            <w:r>
              <w:rPr>
                <w:rFonts w:hint="eastAsia" w:ascii="Times New Roman" w:cs="Times New Roman"/>
                <w:color w:val="000000" w:themeColor="text1"/>
                <w:sz w:val="24"/>
                <w:szCs w:val="24"/>
                <w:highlight w:val="none"/>
                <w:lang w:val="en-US" w:eastAsia="zh-CN"/>
                <w14:textFill>
                  <w14:solidFill>
                    <w14:schemeClr w14:val="tx1"/>
                  </w14:solidFill>
                </w14:textFill>
              </w:rPr>
              <w:t>体积为130</w:t>
            </w:r>
            <w:r>
              <w:rPr>
                <w:rFonts w:ascii="Times New Roman" w:hAnsi="Times New Roman" w:eastAsia="宋体" w:cs="Times New Roman"/>
                <w:color w:val="000000" w:themeColor="text1"/>
                <w:sz w:val="24"/>
                <w:szCs w:val="24"/>
                <w:highlight w:val="none"/>
                <w:lang w:bidi="ar"/>
                <w14:textFill>
                  <w14:solidFill>
                    <w14:schemeClr w14:val="tx1"/>
                  </w14:solidFill>
                </w14:textFill>
              </w:rPr>
              <w:t>m</w:t>
            </w:r>
            <w:r>
              <w:rPr>
                <w:rFonts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3</w:t>
            </w:r>
            <w:r>
              <w:rPr>
                <w:rFonts w:hint="eastAsia" w:ascii="Times New Roman" w:cs="Times New Roman"/>
                <w:color w:val="000000" w:themeColor="text1"/>
                <w:sz w:val="24"/>
                <w:szCs w:val="24"/>
                <w:highlight w:val="none"/>
                <w:lang w:val="en-US"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为减小抽风对流平固化产生影响，换气次数为20</w:t>
            </w:r>
            <w:r>
              <w:rPr>
                <w:rFonts w:hint="eastAsia" w:ascii="Times New Roman" w:hAnsi="Times New Roman" w:eastAsia="宋体" w:cs="Times New Roman"/>
                <w:color w:val="000000" w:themeColor="text1"/>
                <w:sz w:val="24"/>
                <w:szCs w:val="24"/>
                <w:highlight w:val="none"/>
                <w:vertAlign w:val="baseline"/>
                <w:lang w:val="en-US" w:eastAsia="zh-CN" w:bidi="ar"/>
                <w14:textFill>
                  <w14:solidFill>
                    <w14:schemeClr w14:val="tx1"/>
                  </w14:solidFill>
                </w14:textFill>
              </w:rPr>
              <w:t>次/h</w:t>
            </w:r>
            <w:r>
              <w:rPr>
                <w:rFonts w:hint="eastAsia" w:cs="Times New Roman"/>
                <w:color w:val="000000" w:themeColor="text1"/>
                <w:sz w:val="24"/>
                <w:szCs w:val="24"/>
                <w:highlight w:val="none"/>
                <w:lang w:val="en-US" w:eastAsia="zh-CN"/>
                <w14:textFill>
                  <w14:solidFill>
                    <w14:schemeClr w14:val="tx1"/>
                  </w14:solidFill>
                </w14:textFill>
              </w:rPr>
              <w:t>，风量为</w:t>
            </w:r>
            <w:r>
              <w:rPr>
                <w:rFonts w:hint="eastAsia" w:cs="Times New Roman"/>
                <w:color w:val="000000" w:themeColor="text1"/>
                <w:sz w:val="24"/>
                <w:szCs w:val="24"/>
                <w:highlight w:val="none"/>
                <w:vertAlign w:val="baseline"/>
                <w:lang w:val="en-US" w:eastAsia="zh-CN" w:bidi="ar"/>
                <w14:textFill>
                  <w14:solidFill>
                    <w14:schemeClr w14:val="tx1"/>
                  </w14:solidFill>
                </w14:textFill>
              </w:rPr>
              <w:t>2600</w:t>
            </w:r>
            <w:r>
              <w:rPr>
                <w:rFonts w:ascii="Times New Roman" w:hAnsi="Times New Roman" w:eastAsia="宋体" w:cs="Times New Roman"/>
                <w:color w:val="000000" w:themeColor="text1"/>
                <w:sz w:val="24"/>
                <w:szCs w:val="24"/>
                <w:highlight w:val="none"/>
                <w:lang w:bidi="ar"/>
                <w14:textFill>
                  <w14:solidFill>
                    <w14:schemeClr w14:val="tx1"/>
                  </w14:solidFill>
                </w14:textFill>
              </w:rPr>
              <w:t>m</w:t>
            </w:r>
            <w:r>
              <w:rPr>
                <w:rFonts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bidi="ar"/>
                <w14:textFill>
                  <w14:solidFill>
                    <w14:schemeClr w14:val="tx1"/>
                  </w14:solidFill>
                </w14:textFill>
              </w:rPr>
              <w:t>/h，考虑风损和风阻，</w:t>
            </w:r>
            <w:r>
              <w:rPr>
                <w:rFonts w:hint="eastAsia" w:cs="Times New Roman"/>
                <w:color w:val="000000" w:themeColor="text1"/>
                <w:sz w:val="24"/>
                <w:szCs w:val="24"/>
                <w:highlight w:val="none"/>
                <w:vertAlign w:val="baseline"/>
                <w:lang w:val="en-US" w:eastAsia="zh-CN" w:bidi="ar"/>
                <w14:textFill>
                  <w14:solidFill>
                    <w14:schemeClr w14:val="tx1"/>
                  </w14:solidFill>
                </w14:textFill>
              </w:rPr>
              <w:t>喷漆和流平固化</w:t>
            </w:r>
            <w:r>
              <w:rPr>
                <w:rFonts w:hint="eastAsia" w:ascii="Times New Roman" w:hAnsi="Times New Roman" w:eastAsia="宋体" w:cs="Times New Roman"/>
                <w:color w:val="000000" w:themeColor="text1"/>
                <w:sz w:val="24"/>
                <w:szCs w:val="24"/>
                <w:highlight w:val="none"/>
                <w:vertAlign w:val="baseline"/>
                <w:lang w:val="en-US" w:eastAsia="zh-CN" w:bidi="ar"/>
                <w14:textFill>
                  <w14:solidFill>
                    <w14:schemeClr w14:val="tx1"/>
                  </w14:solidFill>
                </w14:textFill>
              </w:rPr>
              <w:t>风量取15000</w:t>
            </w:r>
            <w:r>
              <w:rPr>
                <w:rFonts w:ascii="Times New Roman" w:hAnsi="Times New Roman" w:eastAsia="宋体" w:cs="Times New Roman"/>
                <w:color w:val="000000" w:themeColor="text1"/>
                <w:sz w:val="24"/>
                <w:szCs w:val="24"/>
                <w:highlight w:val="none"/>
                <w:lang w:bidi="ar"/>
                <w14:textFill>
                  <w14:solidFill>
                    <w14:schemeClr w14:val="tx1"/>
                  </w14:solidFill>
                </w14:textFill>
              </w:rPr>
              <w:t>m</w:t>
            </w:r>
            <w:r>
              <w:rPr>
                <w:rFonts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bidi="ar"/>
                <w14:textFill>
                  <w14:solidFill>
                    <w14:schemeClr w14:val="tx1"/>
                  </w14:solidFill>
                </w14:textFill>
              </w:rPr>
              <w:t>/h</w:t>
            </w:r>
            <w:r>
              <w:rPr>
                <w:rFonts w:hint="eastAsia" w:cs="Times New Roman"/>
                <w:color w:val="000000" w:themeColor="text1"/>
                <w:sz w:val="24"/>
                <w:szCs w:val="24"/>
                <w:highlight w:val="none"/>
                <w:vertAlign w:val="baseline"/>
                <w:lang w:val="en-US" w:eastAsia="zh-CN" w:bidi="ar"/>
                <w14:textFill>
                  <w14:solidFill>
                    <w14:schemeClr w14:val="tx1"/>
                  </w14:solidFill>
                </w14:textFill>
              </w:rPr>
              <w:t>。</w:t>
            </w:r>
            <w:r>
              <w:rPr>
                <w:rFonts w:hint="eastAsia" w:ascii="Times New Roman" w:hAnsi="Times New Roman" w:eastAsia="宋体" w:cs="Times New Roman"/>
                <w:color w:val="000000" w:themeColor="text1"/>
                <w:sz w:val="24"/>
                <w:szCs w:val="24"/>
                <w:highlight w:val="none"/>
                <w:vertAlign w:val="baseline"/>
                <w:lang w:val="en-US" w:eastAsia="zh-CN" w:bidi="ar"/>
                <w14:textFill>
                  <w14:solidFill>
                    <w14:schemeClr w14:val="tx1"/>
                  </w14:solidFill>
                </w14:textFill>
              </w:rPr>
              <w:t>烘干采用送新风的方式，送风量为2000</w:t>
            </w:r>
            <w:r>
              <w:rPr>
                <w:rFonts w:ascii="Times New Roman" w:hAnsi="Times New Roman" w:eastAsia="宋体" w:cs="Times New Roman"/>
                <w:color w:val="000000" w:themeColor="text1"/>
                <w:sz w:val="24"/>
                <w:szCs w:val="24"/>
                <w:highlight w:val="none"/>
                <w:lang w:bidi="ar"/>
                <w14:textFill>
                  <w14:solidFill>
                    <w14:schemeClr w14:val="tx1"/>
                  </w14:solidFill>
                </w14:textFill>
              </w:rPr>
              <w:t>m</w:t>
            </w:r>
            <w:r>
              <w:rPr>
                <w:rFonts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bidi="ar"/>
                <w14:textFill>
                  <w14:solidFill>
                    <w14:schemeClr w14:val="tx1"/>
                  </w14:solidFill>
                </w14:textFill>
              </w:rPr>
              <w:t>/h，排风量为2000</w:t>
            </w:r>
            <w:r>
              <w:rPr>
                <w:rFonts w:ascii="Times New Roman" w:hAnsi="Times New Roman" w:eastAsia="宋体" w:cs="Times New Roman"/>
                <w:color w:val="000000" w:themeColor="text1"/>
                <w:sz w:val="24"/>
                <w:szCs w:val="24"/>
                <w:highlight w:val="none"/>
                <w:lang w:bidi="ar"/>
                <w14:textFill>
                  <w14:solidFill>
                    <w14:schemeClr w14:val="tx1"/>
                  </w14:solidFill>
                </w14:textFill>
              </w:rPr>
              <w:t>m</w:t>
            </w:r>
            <w:r>
              <w:rPr>
                <w:rFonts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bidi="ar"/>
                <w14:textFill>
                  <w14:solidFill>
                    <w14:schemeClr w14:val="tx1"/>
                  </w14:solidFill>
                </w14:textFill>
              </w:rPr>
              <w:t>/h。因此2条线整体通风量共计30000</w:t>
            </w:r>
            <w:r>
              <w:rPr>
                <w:rFonts w:ascii="Times New Roman" w:hAnsi="Times New Roman" w:eastAsia="宋体" w:cs="Times New Roman"/>
                <w:color w:val="000000" w:themeColor="text1"/>
                <w:sz w:val="24"/>
                <w:szCs w:val="24"/>
                <w:highlight w:val="none"/>
                <w:lang w:bidi="ar"/>
                <w14:textFill>
                  <w14:solidFill>
                    <w14:schemeClr w14:val="tx1"/>
                  </w14:solidFill>
                </w14:textFill>
              </w:rPr>
              <w:t>m</w:t>
            </w:r>
            <w:r>
              <w:rPr>
                <w:rFonts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bidi="ar"/>
                <w14:textFill>
                  <w14:solidFill>
                    <w14:schemeClr w14:val="tx1"/>
                  </w14:solidFill>
                </w14:textFill>
              </w:rPr>
              <w:t>/h，</w:t>
            </w:r>
            <w:r>
              <w:rPr>
                <w:rFonts w:hint="eastAsia" w:cs="Times New Roman"/>
                <w:color w:val="000000" w:themeColor="text1"/>
                <w:sz w:val="24"/>
                <w:szCs w:val="24"/>
                <w:highlight w:val="none"/>
                <w:vertAlign w:val="baseline"/>
                <w:lang w:val="en-US" w:eastAsia="zh-CN" w:bidi="ar"/>
                <w14:textFill>
                  <w14:solidFill>
                    <w14:schemeClr w14:val="tx1"/>
                  </w14:solidFill>
                </w14:textFill>
              </w:rPr>
              <w:t>排</w:t>
            </w:r>
            <w:r>
              <w:rPr>
                <w:rFonts w:hint="eastAsia" w:ascii="Times New Roman" w:hAnsi="Times New Roman" w:eastAsia="宋体" w:cs="Times New Roman"/>
                <w:color w:val="000000" w:themeColor="text1"/>
                <w:sz w:val="24"/>
                <w:szCs w:val="24"/>
                <w:highlight w:val="none"/>
                <w:vertAlign w:val="baseline"/>
                <w:lang w:val="en-US" w:eastAsia="zh-CN" w:bidi="ar"/>
                <w14:textFill>
                  <w14:solidFill>
                    <w14:schemeClr w14:val="tx1"/>
                  </w14:solidFill>
                </w14:textFill>
              </w:rPr>
              <w:t>风量</w:t>
            </w:r>
            <w:r>
              <w:rPr>
                <w:rFonts w:hint="eastAsia" w:cs="Times New Roman"/>
                <w:color w:val="000000" w:themeColor="text1"/>
                <w:sz w:val="24"/>
                <w:szCs w:val="24"/>
                <w:highlight w:val="none"/>
                <w:vertAlign w:val="baseline"/>
                <w:lang w:val="en-US" w:eastAsia="zh-CN" w:bidi="ar"/>
                <w14:textFill>
                  <w14:solidFill>
                    <w14:schemeClr w14:val="tx1"/>
                  </w14:solidFill>
                </w14:textFill>
              </w:rPr>
              <w:t>共计</w:t>
            </w:r>
            <w:r>
              <w:rPr>
                <w:rFonts w:hint="eastAsia" w:ascii="Times New Roman" w:hAnsi="Times New Roman" w:eastAsia="宋体" w:cs="Times New Roman"/>
                <w:color w:val="000000" w:themeColor="text1"/>
                <w:sz w:val="24"/>
                <w:szCs w:val="24"/>
                <w:highlight w:val="none"/>
                <w:vertAlign w:val="baseline"/>
                <w:lang w:val="en-US" w:eastAsia="zh-CN" w:bidi="ar"/>
                <w14:textFill>
                  <w14:solidFill>
                    <w14:schemeClr w14:val="tx1"/>
                  </w14:solidFill>
                </w14:textFill>
              </w:rPr>
              <w:t>4000</w:t>
            </w:r>
            <w:r>
              <w:rPr>
                <w:rFonts w:ascii="Times New Roman" w:hAnsi="Times New Roman" w:eastAsia="宋体" w:cs="Times New Roman"/>
                <w:color w:val="000000" w:themeColor="text1"/>
                <w:sz w:val="24"/>
                <w:szCs w:val="24"/>
                <w:highlight w:val="none"/>
                <w:lang w:bidi="ar"/>
                <w14:textFill>
                  <w14:solidFill>
                    <w14:schemeClr w14:val="tx1"/>
                  </w14:solidFill>
                </w14:textFill>
              </w:rPr>
              <w:t>m</w:t>
            </w:r>
            <w:r>
              <w:rPr>
                <w:rFonts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bidi="ar"/>
                <w14:textFill>
                  <w14:solidFill>
                    <w14:schemeClr w14:val="tx1"/>
                  </w14:solidFill>
                </w14:textFill>
              </w:rPr>
              <w:t>/h。</w:t>
            </w:r>
          </w:p>
          <w:p w14:paraId="24DFC76C">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Times New Roman" w:cs="Times New Roman" w:eastAsiaTheme="minorEastAsia"/>
                <w:b/>
                <w:bCs w:val="0"/>
                <w:color w:val="000000" w:themeColor="text1"/>
                <w:spacing w:val="-10"/>
                <w:sz w:val="24"/>
                <w:szCs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206365" cy="1755775"/>
                  <wp:effectExtent l="0" t="0" r="13335"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5206365" cy="1755775"/>
                          </a:xfrm>
                          <a:prstGeom prst="rect">
                            <a:avLst/>
                          </a:prstGeom>
                          <a:noFill/>
                          <a:ln>
                            <a:noFill/>
                          </a:ln>
                        </pic:spPr>
                      </pic:pic>
                    </a:graphicData>
                  </a:graphic>
                </wp:inline>
              </w:drawing>
            </w:r>
          </w:p>
          <w:p w14:paraId="28E88DF2">
            <w:pPr>
              <w:pStyle w:val="2"/>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cs="Times New Roman" w:eastAsiaTheme="minorEastAsia"/>
                <w:b/>
                <w:bCs w:val="0"/>
                <w:color w:val="000000" w:themeColor="text1"/>
                <w:spacing w:val="-10"/>
                <w:sz w:val="24"/>
                <w:szCs w:val="24"/>
                <w:lang w:val="en-US" w:eastAsia="zh-CN"/>
                <w14:textFill>
                  <w14:solidFill>
                    <w14:schemeClr w14:val="tx1"/>
                  </w14:solidFill>
                </w14:textFill>
              </w:rPr>
            </w:pPr>
            <w:r>
              <w:rPr>
                <w:rFonts w:hint="eastAsia" w:ascii="Times New Roman" w:cs="Times New Roman" w:eastAsiaTheme="minorEastAsia"/>
                <w:b/>
                <w:bCs w:val="0"/>
                <w:color w:val="000000" w:themeColor="text1"/>
                <w:spacing w:val="-10"/>
                <w:sz w:val="24"/>
                <w:szCs w:val="24"/>
                <w:lang w:val="en-US" w:eastAsia="zh-CN"/>
                <w14:textFill>
                  <w14:solidFill>
                    <w14:schemeClr w14:val="tx1"/>
                  </w14:solidFill>
                </w14:textFill>
              </w:rPr>
              <w:t>图4-1 单条线喷漆抽风区域示意图</w:t>
            </w:r>
          </w:p>
          <w:p w14:paraId="40AF636C">
            <w:pPr>
              <w:pStyle w:val="2"/>
              <w:keepNext w:val="0"/>
              <w:keepLines w:val="0"/>
              <w:pageBreakBefore w:val="0"/>
              <w:widowControl w:val="0"/>
              <w:kinsoku/>
              <w:wordWrap/>
              <w:overflowPunct/>
              <w:topLinePunct w:val="0"/>
              <w:autoSpaceDE w:val="0"/>
              <w:autoSpaceDN w:val="0"/>
              <w:bidi w:val="0"/>
              <w:adjustRightInd w:val="0"/>
              <w:snapToGrid/>
              <w:spacing w:line="360" w:lineRule="auto"/>
              <w:ind w:left="0" w:firstLine="442" w:firstLineChars="200"/>
              <w:textAlignment w:val="auto"/>
              <w:rPr>
                <w:rFonts w:hint="default" w:ascii="Times New Roman" w:hAnsi="Times New Roman" w:cs="Times New Roman" w:eastAsiaTheme="minorEastAsia"/>
                <w:b/>
                <w:bCs w:val="0"/>
                <w:color w:val="000000" w:themeColor="text1"/>
                <w:spacing w:val="-10"/>
                <w:sz w:val="24"/>
                <w:szCs w:val="24"/>
                <w14:textFill>
                  <w14:solidFill>
                    <w14:schemeClr w14:val="tx1"/>
                  </w14:solidFill>
                </w14:textFill>
              </w:rPr>
            </w:pPr>
            <w:r>
              <w:rPr>
                <w:rFonts w:hint="eastAsia" w:ascii="Times New Roman" w:cs="Times New Roman" w:eastAsiaTheme="minorEastAsia"/>
                <w:b/>
                <w:bCs w:val="0"/>
                <w:color w:val="000000" w:themeColor="text1"/>
                <w:spacing w:val="-10"/>
                <w:sz w:val="24"/>
                <w:szCs w:val="24"/>
                <w:lang w:val="en-US" w:eastAsia="zh-CN"/>
                <w14:textFill>
                  <w14:solidFill>
                    <w14:schemeClr w14:val="tx1"/>
                  </w14:solidFill>
                </w14:textFill>
              </w:rPr>
              <w:t>②</w:t>
            </w:r>
            <w:r>
              <w:rPr>
                <w:rFonts w:hint="default" w:ascii="Times New Roman" w:hAnsi="Times New Roman" w:cs="Times New Roman" w:eastAsiaTheme="minorEastAsia"/>
                <w:b/>
                <w:bCs w:val="0"/>
                <w:color w:val="000000" w:themeColor="text1"/>
                <w:spacing w:val="-10"/>
                <w:sz w:val="24"/>
                <w:szCs w:val="24"/>
                <w14:textFill>
                  <w14:solidFill>
                    <w14:schemeClr w14:val="tx1"/>
                  </w14:solidFill>
                </w14:textFill>
              </w:rPr>
              <w:t>天然气燃烧废气</w:t>
            </w:r>
          </w:p>
          <w:p w14:paraId="450448BA">
            <w:pPr>
              <w:pStyle w:val="4"/>
              <w:keepNext w:val="0"/>
              <w:keepLines w:val="0"/>
              <w:pageBreakBefore w:val="0"/>
              <w:widowControl w:val="0"/>
              <w:kinsoku/>
              <w:wordWrap/>
              <w:overflowPunct/>
              <w:topLinePunct w:val="0"/>
              <w:autoSpaceDE w:val="0"/>
              <w:autoSpaceDN w:val="0"/>
              <w:bidi w:val="0"/>
              <w:adjustRightInd w:val="0"/>
              <w:snapToGrid/>
              <w:spacing w:line="360" w:lineRule="auto"/>
              <w:ind w:left="0" w:firstLine="420"/>
              <w:textAlignment w:val="baseline"/>
              <w:rPr>
                <w:rFonts w:hint="default"/>
                <w:color w:val="000000" w:themeColor="text1"/>
                <w:lang w:val="en-US" w:eastAsia="zh-CN"/>
                <w14:textFill>
                  <w14:solidFill>
                    <w14:schemeClr w14:val="tx1"/>
                  </w14:solidFill>
                </w14:textFill>
              </w:rPr>
            </w:pPr>
            <w:r>
              <w:rPr>
                <w:rFonts w:hint="default" w:ascii="Times New Roman" w:hAnsi="Times New Roman" w:cs="Times New Roman"/>
                <w:color w:val="auto"/>
                <w:sz w:val="24"/>
                <w:szCs w:val="24"/>
                <w:highlight w:val="none"/>
              </w:rPr>
              <w:t>根据《排放源统计调查产排污核算方法和系数手册》</w:t>
            </w:r>
            <w:r>
              <w:rPr>
                <w:rFonts w:hint="eastAsia" w:cs="Times New Roman"/>
                <w:color w:val="auto"/>
                <w:sz w:val="24"/>
                <w:szCs w:val="24"/>
                <w:highlight w:val="none"/>
                <w:lang w:val="en-US" w:eastAsia="zh-CN"/>
              </w:rPr>
              <w:t>中</w:t>
            </w:r>
            <w:r>
              <w:rPr>
                <w:rFonts w:hint="default" w:ascii="Times New Roman" w:hAnsi="Times New Roman" w:cs="Times New Roman"/>
                <w:color w:val="auto"/>
                <w:sz w:val="24"/>
                <w:szCs w:val="24"/>
                <w:highlight w:val="none"/>
              </w:rPr>
              <w:t>《33-37,431-434 机械行业系数手册》，</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涂装-天然气工业炉窑</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天然气燃烧废气量13.6m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-天然气</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根据业主提供资料，项目年燃烧天然气15万</w:t>
            </w:r>
            <w:r>
              <w:rPr>
                <w:bCs/>
                <w:color w:val="auto"/>
                <w:kern w:val="24"/>
                <w:sz w:val="24"/>
                <w:highlight w:val="none"/>
              </w:rPr>
              <w:t>m</w:t>
            </w:r>
            <w:r>
              <w:rPr>
                <w:bCs/>
                <w:color w:val="auto"/>
                <w:kern w:val="24"/>
                <w:sz w:val="24"/>
                <w:highlight w:val="none"/>
                <w:vertAlign w:val="superscript"/>
              </w:rPr>
              <w:t>3</w:t>
            </w:r>
            <w:r>
              <w:rPr>
                <w:bCs/>
                <w:color w:val="auto"/>
                <w:kern w:val="24"/>
                <w:sz w:val="24"/>
                <w:highlight w:val="none"/>
              </w:rPr>
              <w:t>/</w:t>
            </w:r>
            <w:r>
              <w:rPr>
                <w:rFonts w:hint="eastAsia"/>
                <w:bCs/>
                <w:color w:val="auto"/>
                <w:kern w:val="24"/>
                <w:sz w:val="24"/>
                <w:highlight w:val="none"/>
                <w:lang w:val="en-US" w:eastAsia="zh-CN"/>
              </w:rPr>
              <w:t>a，烘干工作时间为1000h/a，则排气量为2040</w:t>
            </w:r>
            <w:r>
              <w:rPr>
                <w:bCs/>
                <w:color w:val="auto"/>
                <w:kern w:val="24"/>
                <w:sz w:val="24"/>
                <w:highlight w:val="none"/>
              </w:rPr>
              <w:t>m</w:t>
            </w:r>
            <w:r>
              <w:rPr>
                <w:bCs/>
                <w:color w:val="auto"/>
                <w:kern w:val="24"/>
                <w:sz w:val="24"/>
                <w:highlight w:val="none"/>
                <w:vertAlign w:val="superscript"/>
              </w:rPr>
              <w:t>3</w:t>
            </w:r>
            <w:r>
              <w:rPr>
                <w:bCs/>
                <w:color w:val="auto"/>
                <w:kern w:val="24"/>
                <w:sz w:val="24"/>
                <w:highlight w:val="none"/>
              </w:rPr>
              <w:t>/</w:t>
            </w:r>
            <w:r>
              <w:rPr>
                <w:rFonts w:hint="eastAsia"/>
                <w:bCs/>
                <w:color w:val="auto"/>
                <w:kern w:val="24"/>
                <w:sz w:val="24"/>
                <w:highlight w:val="none"/>
                <w:lang w:val="en-US" w:eastAsia="zh-CN"/>
              </w:rPr>
              <w:t>h，则单条生产线排气量为1020</w:t>
            </w:r>
            <w:r>
              <w:rPr>
                <w:bCs/>
                <w:color w:val="auto"/>
                <w:kern w:val="24"/>
                <w:sz w:val="24"/>
                <w:highlight w:val="none"/>
              </w:rPr>
              <w:t>m</w:t>
            </w:r>
            <w:r>
              <w:rPr>
                <w:bCs/>
                <w:color w:val="auto"/>
                <w:kern w:val="24"/>
                <w:sz w:val="24"/>
                <w:highlight w:val="none"/>
                <w:vertAlign w:val="superscript"/>
              </w:rPr>
              <w:t>3</w:t>
            </w:r>
            <w:r>
              <w:rPr>
                <w:bCs/>
                <w:color w:val="auto"/>
                <w:kern w:val="24"/>
                <w:sz w:val="24"/>
                <w:highlight w:val="none"/>
              </w:rPr>
              <w:t>/</w:t>
            </w:r>
            <w:r>
              <w:rPr>
                <w:rFonts w:hint="eastAsia"/>
                <w:bCs/>
                <w:color w:val="auto"/>
                <w:kern w:val="24"/>
                <w:sz w:val="24"/>
                <w:highlight w:val="none"/>
                <w:lang w:val="en-US" w:eastAsia="zh-CN"/>
              </w:rPr>
              <w:t>h。</w:t>
            </w:r>
          </w:p>
        </w:tc>
      </w:tr>
    </w:tbl>
    <w:p w14:paraId="33C823EB">
      <w:pPr>
        <w:pStyle w:val="4"/>
        <w:rPr>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3170"/>
      </w:tblGrid>
      <w:tr w14:paraId="430A0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7" w:hRule="atLeast"/>
          <w:jc w:val="center"/>
        </w:trPr>
        <w:tc>
          <w:tcPr>
            <w:tcW w:w="436" w:type="dxa"/>
            <w:vAlign w:val="center"/>
          </w:tcPr>
          <w:p w14:paraId="01CD9C51">
            <w:pPr>
              <w:pStyle w:val="2"/>
              <w:keepNext w:val="0"/>
              <w:keepLines w:val="0"/>
              <w:suppressLineNumbers w:val="0"/>
              <w:spacing w:before="0" w:beforeAutospacing="0" w:after="0" w:afterAutospacing="0"/>
              <w:ind w:left="0" w:right="0"/>
              <w:jc w:val="center"/>
              <w:rPr>
                <w:rFonts w:hint="default"/>
                <w:color w:val="000000" w:themeColor="text1"/>
                <w:vertAlign w:val="baseline"/>
                <w14:textFill>
                  <w14:solidFill>
                    <w14:schemeClr w14:val="tx1"/>
                  </w14:solidFill>
                </w14:textFill>
              </w:rPr>
            </w:pPr>
            <w:r>
              <w:rPr>
                <w:rFonts w:hint="default"/>
                <w:bCs/>
                <w:color w:val="000000" w:themeColor="text1"/>
                <w:sz w:val="24"/>
                <w:highlight w:val="none"/>
                <w14:textFill>
                  <w14:solidFill>
                    <w14:schemeClr w14:val="tx1"/>
                  </w14:solidFill>
                </w14:textFill>
              </w:rPr>
              <w:t>运营期环境影响和保护措</w:t>
            </w:r>
          </w:p>
        </w:tc>
        <w:tc>
          <w:tcPr>
            <w:tcW w:w="13170" w:type="dxa"/>
            <w:vAlign w:val="top"/>
          </w:tcPr>
          <w:p w14:paraId="5B7636D4">
            <w:pPr>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Autospacing="0" w:after="0" w:afterAutospacing="0" w:line="460" w:lineRule="exact"/>
              <w:ind w:left="0" w:right="0" w:firstLine="480" w:firstLineChars="200"/>
              <w:jc w:val="left"/>
              <w:textAlignment w:val="auto"/>
              <w:rPr>
                <w:b/>
                <w:bCs/>
                <w:color w:val="000000" w:themeColor="text1"/>
                <w:sz w:val="24"/>
                <w:highlight w:val="none"/>
                <w14:textFill>
                  <w14:solidFill>
                    <w14:schemeClr w14:val="tx1"/>
                  </w14:solidFill>
                </w14:textFill>
              </w:rPr>
            </w:pPr>
            <w:r>
              <w:rPr>
                <w:rFonts w:hint="default"/>
                <w:color w:val="000000" w:themeColor="text1"/>
                <w:sz w:val="24"/>
                <w:highlight w:val="none"/>
                <w:lang w:val="zh-CN"/>
                <w14:textFill>
                  <w14:solidFill>
                    <w14:schemeClr w14:val="tx1"/>
                  </w14:solidFill>
                </w14:textFill>
              </w:rPr>
              <w:t>废气污染源强核算结果及相关参数见</w:t>
            </w:r>
            <w:r>
              <w:rPr>
                <w:rFonts w:hint="eastAsia"/>
                <w:color w:val="000000" w:themeColor="text1"/>
                <w:sz w:val="24"/>
                <w:highlight w:val="none"/>
                <w:lang w:val="en-US" w:eastAsia="zh-CN"/>
                <w14:textFill>
                  <w14:solidFill>
                    <w14:schemeClr w14:val="tx1"/>
                  </w14:solidFill>
                </w14:textFill>
              </w:rPr>
              <w:t>下表</w:t>
            </w:r>
            <w:r>
              <w:rPr>
                <w:rFonts w:hint="default"/>
                <w:color w:val="000000" w:themeColor="text1"/>
                <w:sz w:val="24"/>
                <w:highlight w:val="none"/>
                <w:lang w:val="zh-CN"/>
                <w14:textFill>
                  <w14:solidFill>
                    <w14:schemeClr w14:val="tx1"/>
                  </w14:solidFill>
                </w14:textFill>
              </w:rPr>
              <w:t>。</w:t>
            </w:r>
          </w:p>
          <w:p w14:paraId="6B0E1162">
            <w:pPr>
              <w:spacing w:line="460" w:lineRule="exact"/>
              <w:ind w:firstLine="482" w:firstLineChars="200"/>
              <w:jc w:val="center"/>
              <w:rPr>
                <w:b/>
                <w:bCs/>
                <w:color w:val="000000" w:themeColor="text1"/>
                <w:sz w:val="24"/>
                <w:highlight w:val="none"/>
                <w14:textFill>
                  <w14:solidFill>
                    <w14:schemeClr w14:val="tx1"/>
                  </w14:solidFill>
                </w14:textFill>
              </w:rPr>
            </w:pPr>
            <w:r>
              <w:rPr>
                <w:b/>
                <w:bCs/>
                <w:color w:val="000000" w:themeColor="text1"/>
                <w:sz w:val="24"/>
                <w:highlight w:val="none"/>
                <w14:textFill>
                  <w14:solidFill>
                    <w14:schemeClr w14:val="tx1"/>
                  </w14:solidFill>
                </w14:textFill>
              </w:rPr>
              <w:t>表</w:t>
            </w:r>
            <w:r>
              <w:rPr>
                <w:rFonts w:hint="eastAsia"/>
                <w:b/>
                <w:bCs/>
                <w:color w:val="000000" w:themeColor="text1"/>
                <w:sz w:val="24"/>
                <w:highlight w:val="none"/>
                <w:lang w:val="en-US" w:eastAsia="zh-CN"/>
                <w14:textFill>
                  <w14:solidFill>
                    <w14:schemeClr w14:val="tx1"/>
                  </w14:solidFill>
                </w14:textFill>
              </w:rPr>
              <w:t>4-1</w:t>
            </w:r>
            <w:r>
              <w:rPr>
                <w:b/>
                <w:bCs/>
                <w:color w:val="000000" w:themeColor="text1"/>
                <w:sz w:val="24"/>
                <w:highlight w:val="none"/>
                <w14:textFill>
                  <w14:solidFill>
                    <w14:schemeClr w14:val="tx1"/>
                  </w14:solidFill>
                </w14:textFill>
              </w:rPr>
              <w:t xml:space="preserve"> 本项目营运期废气污染物产排放情况一览表</w:t>
            </w:r>
          </w:p>
          <w:tbl>
            <w:tblPr>
              <w:tblStyle w:val="21"/>
              <w:tblW w:w="48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921"/>
              <w:gridCol w:w="1200"/>
              <w:gridCol w:w="761"/>
              <w:gridCol w:w="782"/>
              <w:gridCol w:w="761"/>
              <w:gridCol w:w="750"/>
              <w:gridCol w:w="707"/>
              <w:gridCol w:w="1853"/>
              <w:gridCol w:w="633"/>
              <w:gridCol w:w="701"/>
              <w:gridCol w:w="496"/>
              <w:gridCol w:w="774"/>
              <w:gridCol w:w="698"/>
              <w:gridCol w:w="729"/>
            </w:tblGrid>
            <w:tr w14:paraId="709A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66" w:type="pct"/>
                  <w:gridSpan w:val="2"/>
                  <w:vMerge w:val="restart"/>
                  <w:noWrap w:val="0"/>
                  <w:tcMar>
                    <w:left w:w="28" w:type="dxa"/>
                    <w:right w:w="28" w:type="dxa"/>
                  </w:tcMar>
                  <w:vAlign w:val="center"/>
                </w:tcPr>
                <w:p w14:paraId="3A94CB31">
                  <w:pPr>
                    <w:widowControl/>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产污环节</w:t>
                  </w:r>
                </w:p>
              </w:tc>
              <w:tc>
                <w:tcPr>
                  <w:tcW w:w="479" w:type="pct"/>
                  <w:vMerge w:val="restart"/>
                  <w:noWrap w:val="0"/>
                  <w:tcMar>
                    <w:left w:w="28" w:type="dxa"/>
                    <w:right w:w="28" w:type="dxa"/>
                  </w:tcMar>
                  <w:vAlign w:val="center"/>
                </w:tcPr>
                <w:p w14:paraId="19A7EE34">
                  <w:pPr>
                    <w:widowControl/>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污染物</w:t>
                  </w:r>
                </w:p>
              </w:tc>
              <w:tc>
                <w:tcPr>
                  <w:tcW w:w="1220" w:type="pct"/>
                  <w:gridSpan w:val="4"/>
                  <w:vMerge w:val="restart"/>
                  <w:noWrap w:val="0"/>
                  <w:tcMar>
                    <w:left w:w="28" w:type="dxa"/>
                    <w:right w:w="28" w:type="dxa"/>
                  </w:tcMar>
                  <w:vAlign w:val="center"/>
                </w:tcPr>
                <w:p w14:paraId="2EBDCDDB">
                  <w:pPr>
                    <w:widowControl/>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有组织产生情况（进入废气处理装置产生量）</w:t>
                  </w:r>
                </w:p>
              </w:tc>
              <w:tc>
                <w:tcPr>
                  <w:tcW w:w="1556" w:type="pct"/>
                  <w:gridSpan w:val="4"/>
                  <w:vMerge w:val="restart"/>
                  <w:noWrap w:val="0"/>
                  <w:tcMar>
                    <w:left w:w="28" w:type="dxa"/>
                    <w:right w:w="28" w:type="dxa"/>
                  </w:tcMar>
                  <w:vAlign w:val="center"/>
                </w:tcPr>
                <w:p w14:paraId="0EDF59DA">
                  <w:pPr>
                    <w:widowControl/>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治理设施</w:t>
                  </w:r>
                </w:p>
              </w:tc>
              <w:tc>
                <w:tcPr>
                  <w:tcW w:w="198" w:type="pct"/>
                  <w:vMerge w:val="restart"/>
                  <w:noWrap w:val="0"/>
                  <w:tcMar>
                    <w:left w:w="28" w:type="dxa"/>
                    <w:right w:w="28" w:type="dxa"/>
                  </w:tcMar>
                  <w:vAlign w:val="center"/>
                </w:tcPr>
                <w:p w14:paraId="70E2C556">
                  <w:pPr>
                    <w:widowControl/>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排放时间h</w:t>
                  </w:r>
                </w:p>
              </w:tc>
              <w:tc>
                <w:tcPr>
                  <w:tcW w:w="879" w:type="pct"/>
                  <w:gridSpan w:val="3"/>
                  <w:vMerge w:val="restart"/>
                  <w:noWrap w:val="0"/>
                  <w:tcMar>
                    <w:left w:w="28" w:type="dxa"/>
                    <w:right w:w="28" w:type="dxa"/>
                  </w:tcMar>
                  <w:vAlign w:val="center"/>
                </w:tcPr>
                <w:p w14:paraId="44EA3719">
                  <w:pPr>
                    <w:widowControl/>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有组织排放情况</w:t>
                  </w:r>
                </w:p>
              </w:tc>
            </w:tr>
            <w:tr w14:paraId="4EEEF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66" w:type="pct"/>
                  <w:gridSpan w:val="2"/>
                  <w:vMerge w:val="continue"/>
                  <w:noWrap w:val="0"/>
                  <w:tcMar>
                    <w:left w:w="28" w:type="dxa"/>
                    <w:right w:w="28" w:type="dxa"/>
                  </w:tcMar>
                  <w:vAlign w:val="center"/>
                </w:tcPr>
                <w:p w14:paraId="6D6B5F05">
                  <w:pPr>
                    <w:jc w:val="center"/>
                    <w:rPr>
                      <w:b/>
                      <w:bCs/>
                      <w:color w:val="000000" w:themeColor="text1"/>
                      <w:sz w:val="21"/>
                      <w:szCs w:val="21"/>
                      <w:highlight w:val="none"/>
                      <w14:textFill>
                        <w14:solidFill>
                          <w14:schemeClr w14:val="tx1"/>
                        </w14:solidFill>
                      </w14:textFill>
                    </w:rPr>
                  </w:pPr>
                </w:p>
              </w:tc>
              <w:tc>
                <w:tcPr>
                  <w:tcW w:w="479" w:type="pct"/>
                  <w:vMerge w:val="continue"/>
                  <w:noWrap w:val="0"/>
                  <w:tcMar>
                    <w:left w:w="28" w:type="dxa"/>
                    <w:right w:w="28" w:type="dxa"/>
                  </w:tcMar>
                  <w:vAlign w:val="center"/>
                </w:tcPr>
                <w:p w14:paraId="536DE862">
                  <w:pPr>
                    <w:jc w:val="center"/>
                    <w:rPr>
                      <w:b/>
                      <w:bCs/>
                      <w:color w:val="000000" w:themeColor="text1"/>
                      <w:sz w:val="21"/>
                      <w:szCs w:val="21"/>
                      <w:highlight w:val="none"/>
                      <w14:textFill>
                        <w14:solidFill>
                          <w14:schemeClr w14:val="tx1"/>
                        </w14:solidFill>
                      </w14:textFill>
                    </w:rPr>
                  </w:pPr>
                </w:p>
              </w:tc>
              <w:tc>
                <w:tcPr>
                  <w:tcW w:w="1220" w:type="pct"/>
                  <w:gridSpan w:val="4"/>
                  <w:vMerge w:val="continue"/>
                  <w:noWrap w:val="0"/>
                  <w:tcMar>
                    <w:left w:w="28" w:type="dxa"/>
                    <w:right w:w="28" w:type="dxa"/>
                  </w:tcMar>
                  <w:vAlign w:val="center"/>
                </w:tcPr>
                <w:p w14:paraId="7B0F5244">
                  <w:pPr>
                    <w:jc w:val="center"/>
                    <w:rPr>
                      <w:b/>
                      <w:bCs/>
                      <w:color w:val="000000" w:themeColor="text1"/>
                      <w:sz w:val="21"/>
                      <w:szCs w:val="21"/>
                      <w:highlight w:val="none"/>
                      <w14:textFill>
                        <w14:solidFill>
                          <w14:schemeClr w14:val="tx1"/>
                        </w14:solidFill>
                      </w14:textFill>
                    </w:rPr>
                  </w:pPr>
                </w:p>
              </w:tc>
              <w:tc>
                <w:tcPr>
                  <w:tcW w:w="1556" w:type="pct"/>
                  <w:gridSpan w:val="4"/>
                  <w:vMerge w:val="continue"/>
                  <w:noWrap w:val="0"/>
                  <w:tcMar>
                    <w:left w:w="28" w:type="dxa"/>
                    <w:right w:w="28" w:type="dxa"/>
                  </w:tcMar>
                  <w:vAlign w:val="center"/>
                </w:tcPr>
                <w:p w14:paraId="428AEC69">
                  <w:pPr>
                    <w:jc w:val="center"/>
                    <w:rPr>
                      <w:b/>
                      <w:bCs/>
                      <w:color w:val="000000" w:themeColor="text1"/>
                      <w:sz w:val="21"/>
                      <w:szCs w:val="21"/>
                      <w:highlight w:val="none"/>
                      <w14:textFill>
                        <w14:solidFill>
                          <w14:schemeClr w14:val="tx1"/>
                        </w14:solidFill>
                      </w14:textFill>
                    </w:rPr>
                  </w:pPr>
                </w:p>
              </w:tc>
              <w:tc>
                <w:tcPr>
                  <w:tcW w:w="198" w:type="pct"/>
                  <w:vMerge w:val="continue"/>
                  <w:noWrap w:val="0"/>
                  <w:tcMar>
                    <w:left w:w="28" w:type="dxa"/>
                    <w:right w:w="28" w:type="dxa"/>
                  </w:tcMar>
                  <w:vAlign w:val="center"/>
                </w:tcPr>
                <w:p w14:paraId="71CAB331">
                  <w:pPr>
                    <w:jc w:val="center"/>
                    <w:rPr>
                      <w:b/>
                      <w:bCs/>
                      <w:color w:val="000000" w:themeColor="text1"/>
                      <w:sz w:val="21"/>
                      <w:szCs w:val="21"/>
                      <w:highlight w:val="none"/>
                      <w14:textFill>
                        <w14:solidFill>
                          <w14:schemeClr w14:val="tx1"/>
                        </w14:solidFill>
                      </w14:textFill>
                    </w:rPr>
                  </w:pPr>
                </w:p>
              </w:tc>
              <w:tc>
                <w:tcPr>
                  <w:tcW w:w="879" w:type="pct"/>
                  <w:gridSpan w:val="3"/>
                  <w:vMerge w:val="continue"/>
                  <w:noWrap w:val="0"/>
                  <w:tcMar>
                    <w:left w:w="28" w:type="dxa"/>
                    <w:right w:w="28" w:type="dxa"/>
                  </w:tcMar>
                  <w:vAlign w:val="center"/>
                </w:tcPr>
                <w:p w14:paraId="6FA815F2">
                  <w:pPr>
                    <w:jc w:val="center"/>
                    <w:rPr>
                      <w:b/>
                      <w:bCs/>
                      <w:color w:val="000000" w:themeColor="text1"/>
                      <w:sz w:val="21"/>
                      <w:szCs w:val="21"/>
                      <w:highlight w:val="none"/>
                      <w14:textFill>
                        <w14:solidFill>
                          <w14:schemeClr w14:val="tx1"/>
                        </w14:solidFill>
                      </w14:textFill>
                    </w:rPr>
                  </w:pPr>
                </w:p>
              </w:tc>
            </w:tr>
            <w:tr w14:paraId="08D9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66" w:type="pct"/>
                  <w:gridSpan w:val="2"/>
                  <w:vMerge w:val="continue"/>
                  <w:noWrap w:val="0"/>
                  <w:tcMar>
                    <w:left w:w="28" w:type="dxa"/>
                    <w:right w:w="28" w:type="dxa"/>
                  </w:tcMar>
                  <w:vAlign w:val="center"/>
                </w:tcPr>
                <w:p w14:paraId="6947B6B0">
                  <w:pPr>
                    <w:jc w:val="center"/>
                    <w:rPr>
                      <w:b/>
                      <w:bCs/>
                      <w:color w:val="000000" w:themeColor="text1"/>
                      <w:sz w:val="21"/>
                      <w:szCs w:val="21"/>
                      <w:highlight w:val="none"/>
                      <w14:textFill>
                        <w14:solidFill>
                          <w14:schemeClr w14:val="tx1"/>
                        </w14:solidFill>
                      </w14:textFill>
                    </w:rPr>
                  </w:pPr>
                </w:p>
              </w:tc>
              <w:tc>
                <w:tcPr>
                  <w:tcW w:w="479" w:type="pct"/>
                  <w:vMerge w:val="continue"/>
                  <w:noWrap w:val="0"/>
                  <w:tcMar>
                    <w:left w:w="28" w:type="dxa"/>
                    <w:right w:w="28" w:type="dxa"/>
                  </w:tcMar>
                  <w:vAlign w:val="center"/>
                </w:tcPr>
                <w:p w14:paraId="41518D16">
                  <w:pPr>
                    <w:jc w:val="center"/>
                    <w:rPr>
                      <w:b/>
                      <w:bCs/>
                      <w:color w:val="000000" w:themeColor="text1"/>
                      <w:sz w:val="21"/>
                      <w:szCs w:val="21"/>
                      <w:highlight w:val="none"/>
                      <w14:textFill>
                        <w14:solidFill>
                          <w14:schemeClr w14:val="tx1"/>
                        </w14:solidFill>
                      </w14:textFill>
                    </w:rPr>
                  </w:pPr>
                </w:p>
              </w:tc>
              <w:tc>
                <w:tcPr>
                  <w:tcW w:w="304" w:type="pct"/>
                  <w:noWrap w:val="0"/>
                  <w:tcMar>
                    <w:left w:w="28" w:type="dxa"/>
                    <w:right w:w="28" w:type="dxa"/>
                  </w:tcMar>
                  <w:vAlign w:val="center"/>
                </w:tcPr>
                <w:p w14:paraId="47DB05C9">
                  <w:pPr>
                    <w:widowControl/>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废气量m</w:t>
                  </w:r>
                  <w:r>
                    <w:rPr>
                      <w:b/>
                      <w:bCs/>
                      <w:color w:val="000000" w:themeColor="text1"/>
                      <w:kern w:val="0"/>
                      <w:sz w:val="21"/>
                      <w:szCs w:val="21"/>
                      <w:highlight w:val="none"/>
                      <w:vertAlign w:val="superscript"/>
                      <w:lang w:bidi="ar"/>
                      <w14:textFill>
                        <w14:solidFill>
                          <w14:schemeClr w14:val="tx1"/>
                        </w14:solidFill>
                      </w14:textFill>
                    </w:rPr>
                    <w:t>3</w:t>
                  </w:r>
                  <w:r>
                    <w:rPr>
                      <w:b/>
                      <w:bCs/>
                      <w:color w:val="000000" w:themeColor="text1"/>
                      <w:kern w:val="0"/>
                      <w:sz w:val="21"/>
                      <w:szCs w:val="21"/>
                      <w:highlight w:val="none"/>
                      <w:lang w:bidi="ar"/>
                      <w14:textFill>
                        <w14:solidFill>
                          <w14:schemeClr w14:val="tx1"/>
                        </w14:solidFill>
                      </w14:textFill>
                    </w:rPr>
                    <w:t>/h</w:t>
                  </w:r>
                </w:p>
              </w:tc>
              <w:tc>
                <w:tcPr>
                  <w:tcW w:w="312" w:type="pct"/>
                  <w:noWrap w:val="0"/>
                  <w:tcMar>
                    <w:left w:w="28" w:type="dxa"/>
                    <w:right w:w="28" w:type="dxa"/>
                  </w:tcMar>
                  <w:vAlign w:val="center"/>
                </w:tcPr>
                <w:p w14:paraId="335BC50D">
                  <w:pPr>
                    <w:widowControl/>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浓度mg/m</w:t>
                  </w:r>
                  <w:r>
                    <w:rPr>
                      <w:b/>
                      <w:bCs/>
                      <w:color w:val="000000" w:themeColor="text1"/>
                      <w:kern w:val="0"/>
                      <w:sz w:val="21"/>
                      <w:szCs w:val="21"/>
                      <w:highlight w:val="none"/>
                      <w:vertAlign w:val="superscript"/>
                      <w:lang w:bidi="ar"/>
                      <w14:textFill>
                        <w14:solidFill>
                          <w14:schemeClr w14:val="tx1"/>
                        </w14:solidFill>
                      </w14:textFill>
                    </w:rPr>
                    <w:t>3</w:t>
                  </w:r>
                </w:p>
              </w:tc>
              <w:tc>
                <w:tcPr>
                  <w:tcW w:w="304" w:type="pct"/>
                  <w:noWrap w:val="0"/>
                  <w:tcMar>
                    <w:left w:w="28" w:type="dxa"/>
                    <w:right w:w="28" w:type="dxa"/>
                  </w:tcMar>
                  <w:vAlign w:val="center"/>
                </w:tcPr>
                <w:p w14:paraId="5D73BD20">
                  <w:pPr>
                    <w:widowControl/>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速率kg/h</w:t>
                  </w:r>
                </w:p>
              </w:tc>
              <w:tc>
                <w:tcPr>
                  <w:tcW w:w="299" w:type="pct"/>
                  <w:noWrap w:val="0"/>
                  <w:tcMar>
                    <w:left w:w="28" w:type="dxa"/>
                    <w:right w:w="28" w:type="dxa"/>
                  </w:tcMar>
                  <w:vAlign w:val="center"/>
                </w:tcPr>
                <w:p w14:paraId="29967057">
                  <w:pPr>
                    <w:widowControl/>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产生量t/a</w:t>
                  </w:r>
                </w:p>
              </w:tc>
              <w:tc>
                <w:tcPr>
                  <w:tcW w:w="282" w:type="pct"/>
                  <w:noWrap w:val="0"/>
                  <w:tcMar>
                    <w:left w:w="28" w:type="dxa"/>
                    <w:right w:w="28" w:type="dxa"/>
                  </w:tcMar>
                  <w:vAlign w:val="center"/>
                </w:tcPr>
                <w:p w14:paraId="7C106056">
                  <w:pPr>
                    <w:widowControl/>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收集效率</w:t>
                  </w:r>
                </w:p>
              </w:tc>
              <w:tc>
                <w:tcPr>
                  <w:tcW w:w="740" w:type="pct"/>
                  <w:noWrap w:val="0"/>
                  <w:tcMar>
                    <w:left w:w="28" w:type="dxa"/>
                    <w:right w:w="28" w:type="dxa"/>
                  </w:tcMar>
                  <w:vAlign w:val="center"/>
                </w:tcPr>
                <w:p w14:paraId="61CFA7A7">
                  <w:pPr>
                    <w:widowControl/>
                    <w:jc w:val="center"/>
                    <w:textAlignment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治理工艺</w:t>
                  </w:r>
                </w:p>
              </w:tc>
              <w:tc>
                <w:tcPr>
                  <w:tcW w:w="252" w:type="pct"/>
                  <w:noWrap w:val="0"/>
                  <w:tcMar>
                    <w:left w:w="28" w:type="dxa"/>
                    <w:right w:w="28" w:type="dxa"/>
                  </w:tcMar>
                  <w:vAlign w:val="center"/>
                </w:tcPr>
                <w:p w14:paraId="15A2C374">
                  <w:pPr>
                    <w:widowControl/>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是否可行</w:t>
                  </w:r>
                </w:p>
              </w:tc>
              <w:tc>
                <w:tcPr>
                  <w:tcW w:w="280" w:type="pct"/>
                  <w:noWrap w:val="0"/>
                  <w:tcMar>
                    <w:left w:w="28" w:type="dxa"/>
                    <w:right w:w="28" w:type="dxa"/>
                  </w:tcMar>
                  <w:vAlign w:val="center"/>
                </w:tcPr>
                <w:p w14:paraId="7A1B902E">
                  <w:pPr>
                    <w:widowControl/>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治理效率</w:t>
                  </w:r>
                </w:p>
              </w:tc>
              <w:tc>
                <w:tcPr>
                  <w:tcW w:w="198" w:type="pct"/>
                  <w:vMerge w:val="continue"/>
                  <w:noWrap w:val="0"/>
                  <w:tcMar>
                    <w:left w:w="28" w:type="dxa"/>
                    <w:right w:w="28" w:type="dxa"/>
                  </w:tcMar>
                  <w:vAlign w:val="center"/>
                </w:tcPr>
                <w:p w14:paraId="78C3639F">
                  <w:pPr>
                    <w:jc w:val="center"/>
                    <w:rPr>
                      <w:b/>
                      <w:bCs/>
                      <w:color w:val="000000" w:themeColor="text1"/>
                      <w:sz w:val="21"/>
                      <w:szCs w:val="21"/>
                      <w:highlight w:val="none"/>
                      <w14:textFill>
                        <w14:solidFill>
                          <w14:schemeClr w14:val="tx1"/>
                        </w14:solidFill>
                      </w14:textFill>
                    </w:rPr>
                  </w:pPr>
                </w:p>
              </w:tc>
              <w:tc>
                <w:tcPr>
                  <w:tcW w:w="309" w:type="pct"/>
                  <w:noWrap w:val="0"/>
                  <w:tcMar>
                    <w:left w:w="28" w:type="dxa"/>
                    <w:right w:w="28" w:type="dxa"/>
                  </w:tcMar>
                  <w:vAlign w:val="center"/>
                </w:tcPr>
                <w:p w14:paraId="62932680">
                  <w:pPr>
                    <w:widowControl/>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浓度mg/m</w:t>
                  </w:r>
                  <w:r>
                    <w:rPr>
                      <w:b/>
                      <w:bCs/>
                      <w:color w:val="000000" w:themeColor="text1"/>
                      <w:kern w:val="0"/>
                      <w:sz w:val="21"/>
                      <w:szCs w:val="21"/>
                      <w:highlight w:val="none"/>
                      <w:vertAlign w:val="superscript"/>
                      <w:lang w:bidi="ar"/>
                      <w14:textFill>
                        <w14:solidFill>
                          <w14:schemeClr w14:val="tx1"/>
                        </w14:solidFill>
                      </w14:textFill>
                    </w:rPr>
                    <w:t>3</w:t>
                  </w:r>
                </w:p>
              </w:tc>
              <w:tc>
                <w:tcPr>
                  <w:tcW w:w="278" w:type="pct"/>
                  <w:noWrap w:val="0"/>
                  <w:tcMar>
                    <w:left w:w="28" w:type="dxa"/>
                    <w:right w:w="28" w:type="dxa"/>
                  </w:tcMar>
                  <w:vAlign w:val="center"/>
                </w:tcPr>
                <w:p w14:paraId="31115923">
                  <w:pPr>
                    <w:widowControl/>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速率kg/h</w:t>
                  </w:r>
                </w:p>
              </w:tc>
              <w:tc>
                <w:tcPr>
                  <w:tcW w:w="291" w:type="pct"/>
                  <w:noWrap w:val="0"/>
                  <w:tcMar>
                    <w:left w:w="28" w:type="dxa"/>
                    <w:right w:w="28" w:type="dxa"/>
                  </w:tcMar>
                  <w:vAlign w:val="center"/>
                </w:tcPr>
                <w:p w14:paraId="0B8520BA">
                  <w:pPr>
                    <w:widowControl/>
                    <w:jc w:val="center"/>
                    <w:textAlignment w:val="center"/>
                    <w:rPr>
                      <w:b/>
                      <w:bCs/>
                      <w:color w:val="000000" w:themeColor="text1"/>
                      <w:sz w:val="21"/>
                      <w:szCs w:val="21"/>
                      <w:highlight w:val="none"/>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排放量t/a</w:t>
                  </w:r>
                </w:p>
              </w:tc>
            </w:tr>
            <w:tr w14:paraId="5D019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98" w:type="pct"/>
                  <w:vMerge w:val="restart"/>
                  <w:noWrap w:val="0"/>
                  <w:tcMar>
                    <w:left w:w="28" w:type="dxa"/>
                    <w:right w:w="28" w:type="dxa"/>
                  </w:tcMar>
                  <w:vAlign w:val="center"/>
                </w:tcPr>
                <w:p w14:paraId="6BA7D5EE">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r>
                    <w:rPr>
                      <w:color w:val="000000" w:themeColor="text1"/>
                      <w:kern w:val="0"/>
                      <w:sz w:val="21"/>
                      <w:szCs w:val="21"/>
                      <w:highlight w:val="none"/>
                      <w:lang w:bidi="ar"/>
                      <w14:textFill>
                        <w14:solidFill>
                          <w14:schemeClr w14:val="tx1"/>
                        </w14:solidFill>
                      </w14:textFill>
                    </w:rPr>
                    <w:t>水性喷涂</w:t>
                  </w:r>
                  <w:r>
                    <w:rPr>
                      <w:rFonts w:hint="eastAsia"/>
                      <w:color w:val="000000" w:themeColor="text1"/>
                      <w:sz w:val="21"/>
                      <w:szCs w:val="21"/>
                      <w:highlight w:val="none"/>
                      <w:lang w:val="en-US" w:eastAsia="zh-CN"/>
                      <w14:textFill>
                        <w14:solidFill>
                          <w14:schemeClr w14:val="tx1"/>
                        </w14:solidFill>
                      </w14:textFill>
                    </w:rPr>
                    <w:t>生产线</w:t>
                  </w:r>
                </w:p>
              </w:tc>
              <w:tc>
                <w:tcPr>
                  <w:tcW w:w="368" w:type="pct"/>
                  <w:vMerge w:val="restart"/>
                  <w:noWrap w:val="0"/>
                  <w:tcMar>
                    <w:left w:w="28" w:type="dxa"/>
                    <w:right w:w="28" w:type="dxa"/>
                  </w:tcMar>
                  <w:vAlign w:val="center"/>
                </w:tcPr>
                <w:p w14:paraId="153CDD7C">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底漆喷漆</w:t>
                  </w:r>
                </w:p>
              </w:tc>
              <w:tc>
                <w:tcPr>
                  <w:tcW w:w="479" w:type="pct"/>
                  <w:noWrap w:val="0"/>
                  <w:tcMar>
                    <w:left w:w="28" w:type="dxa"/>
                    <w:right w:w="28" w:type="dxa"/>
                  </w:tcMar>
                  <w:vAlign w:val="center"/>
                </w:tcPr>
                <w:p w14:paraId="298B4C92">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颗粒物</w:t>
                  </w:r>
                </w:p>
              </w:tc>
              <w:tc>
                <w:tcPr>
                  <w:tcW w:w="304" w:type="pct"/>
                  <w:noWrap w:val="0"/>
                  <w:tcMar>
                    <w:left w:w="28" w:type="dxa"/>
                    <w:right w:w="28" w:type="dxa"/>
                  </w:tcMar>
                  <w:vAlign w:val="center"/>
                </w:tcPr>
                <w:p w14:paraId="6724F245">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15000</w:t>
                  </w:r>
                </w:p>
              </w:tc>
              <w:tc>
                <w:tcPr>
                  <w:tcW w:w="312" w:type="pct"/>
                  <w:noWrap w:val="0"/>
                  <w:tcMar>
                    <w:left w:w="28" w:type="dxa"/>
                    <w:right w:w="28" w:type="dxa"/>
                  </w:tcMar>
                  <w:vAlign w:val="center"/>
                </w:tcPr>
                <w:p w14:paraId="1D3B3AE7">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495.83 </w:t>
                  </w:r>
                </w:p>
              </w:tc>
              <w:tc>
                <w:tcPr>
                  <w:tcW w:w="304" w:type="pct"/>
                  <w:noWrap w:val="0"/>
                  <w:tcMar>
                    <w:left w:w="28" w:type="dxa"/>
                    <w:right w:w="28" w:type="dxa"/>
                  </w:tcMar>
                  <w:vAlign w:val="center"/>
                </w:tcPr>
                <w:p w14:paraId="7A4EBE88">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7.44 </w:t>
                  </w:r>
                </w:p>
              </w:tc>
              <w:tc>
                <w:tcPr>
                  <w:tcW w:w="750" w:type="dxa"/>
                  <w:noWrap w:val="0"/>
                  <w:tcMar>
                    <w:left w:w="28" w:type="dxa"/>
                    <w:right w:w="28" w:type="dxa"/>
                  </w:tcMar>
                  <w:vAlign w:val="center"/>
                </w:tcPr>
                <w:p w14:paraId="7B222364">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2.975 </w:t>
                  </w:r>
                </w:p>
              </w:tc>
              <w:tc>
                <w:tcPr>
                  <w:tcW w:w="282" w:type="pct"/>
                  <w:noWrap w:val="0"/>
                  <w:tcMar>
                    <w:left w:w="28" w:type="dxa"/>
                    <w:right w:w="28" w:type="dxa"/>
                  </w:tcMar>
                  <w:vAlign w:val="center"/>
                </w:tcPr>
                <w:p w14:paraId="3FD09557">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40" w:type="pct"/>
                  <w:vMerge w:val="restart"/>
                  <w:noWrap w:val="0"/>
                  <w:tcMar>
                    <w:left w:w="28" w:type="dxa"/>
                    <w:right w:w="28" w:type="dxa"/>
                  </w:tcMar>
                  <w:vAlign w:val="center"/>
                </w:tcPr>
                <w:p w14:paraId="76E0A3C9">
                  <w:pPr>
                    <w:jc w:val="both"/>
                    <w:rPr>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eastAsia="zh-CN" w:bidi="ar"/>
                      <w14:textFill>
                        <w14:solidFill>
                          <w14:schemeClr w14:val="tx1"/>
                        </w14:solidFill>
                      </w14:textFill>
                    </w:rPr>
                    <w:t>“</w:t>
                  </w:r>
                  <w:r>
                    <w:rPr>
                      <w:color w:val="000000" w:themeColor="text1"/>
                      <w:kern w:val="0"/>
                      <w:sz w:val="21"/>
                      <w:szCs w:val="21"/>
                      <w:highlight w:val="none"/>
                      <w:lang w:bidi="ar"/>
                      <w14:textFill>
                        <w14:solidFill>
                          <w14:schemeClr w14:val="tx1"/>
                        </w14:solidFill>
                      </w14:textFill>
                    </w:rPr>
                    <w:t>水帘湿式去漆雾+</w:t>
                  </w:r>
                  <w:r>
                    <w:rPr>
                      <w:rFonts w:hint="eastAsia"/>
                      <w:color w:val="000000" w:themeColor="text1"/>
                      <w:kern w:val="0"/>
                      <w:sz w:val="21"/>
                      <w:szCs w:val="21"/>
                      <w:highlight w:val="none"/>
                      <w:lang w:val="en-US" w:eastAsia="zh-CN" w:bidi="ar"/>
                      <w14:textFill>
                        <w14:solidFill>
                          <w14:schemeClr w14:val="tx1"/>
                        </w14:solidFill>
                      </w14:textFill>
                    </w:rPr>
                    <w:t>高分子过滤盒+干式过滤棉</w:t>
                  </w:r>
                  <w:r>
                    <w:rPr>
                      <w:color w:val="000000" w:themeColor="text1"/>
                      <w:kern w:val="0"/>
                      <w:sz w:val="21"/>
                      <w:szCs w:val="21"/>
                      <w:highlight w:val="none"/>
                      <w:lang w:bidi="ar"/>
                      <w14:textFill>
                        <w14:solidFill>
                          <w14:schemeClr w14:val="tx1"/>
                        </w14:solidFill>
                      </w14:textFill>
                    </w:rPr>
                    <w:t>+二级活性炭吸附</w:t>
                  </w:r>
                  <w:r>
                    <w:rPr>
                      <w:rFonts w:hint="eastAsia"/>
                      <w:color w:val="000000" w:themeColor="text1"/>
                      <w:kern w:val="0"/>
                      <w:sz w:val="21"/>
                      <w:szCs w:val="21"/>
                      <w:highlight w:val="none"/>
                      <w:lang w:eastAsia="zh-CN" w:bidi="ar"/>
                      <w14:textFill>
                        <w14:solidFill>
                          <w14:schemeClr w14:val="tx1"/>
                        </w14:solidFill>
                      </w14:textFill>
                    </w:rPr>
                    <w:t>”</w:t>
                  </w:r>
                  <w:r>
                    <w:rPr>
                      <w:color w:val="000000" w:themeColor="text1"/>
                      <w:kern w:val="0"/>
                      <w:sz w:val="21"/>
                      <w:szCs w:val="21"/>
                      <w:highlight w:val="none"/>
                      <w:lang w:bidi="ar"/>
                      <w14:textFill>
                        <w14:solidFill>
                          <w14:schemeClr w14:val="tx1"/>
                        </w14:solidFill>
                      </w14:textFill>
                    </w:rPr>
                    <w:t>由1根15m高的排气筒（DA00</w:t>
                  </w:r>
                  <w:r>
                    <w:rPr>
                      <w:rFonts w:hint="eastAsia"/>
                      <w:color w:val="000000" w:themeColor="text1"/>
                      <w:kern w:val="0"/>
                      <w:sz w:val="21"/>
                      <w:szCs w:val="21"/>
                      <w:highlight w:val="none"/>
                      <w:lang w:val="en-US" w:eastAsia="zh-CN" w:bidi="ar"/>
                      <w14:textFill>
                        <w14:solidFill>
                          <w14:schemeClr w14:val="tx1"/>
                        </w14:solidFill>
                      </w14:textFill>
                    </w:rPr>
                    <w:t>1</w:t>
                  </w:r>
                  <w:r>
                    <w:rPr>
                      <w:color w:val="000000" w:themeColor="text1"/>
                      <w:kern w:val="0"/>
                      <w:sz w:val="21"/>
                      <w:szCs w:val="21"/>
                      <w:highlight w:val="none"/>
                      <w:lang w:bidi="ar"/>
                      <w14:textFill>
                        <w14:solidFill>
                          <w14:schemeClr w14:val="tx1"/>
                        </w14:solidFill>
                      </w14:textFill>
                    </w:rPr>
                    <w:t>）排放</w:t>
                  </w:r>
                </w:p>
              </w:tc>
              <w:tc>
                <w:tcPr>
                  <w:tcW w:w="252" w:type="pct"/>
                  <w:noWrap w:val="0"/>
                  <w:tcMar>
                    <w:left w:w="28" w:type="dxa"/>
                    <w:right w:w="28" w:type="dxa"/>
                  </w:tcMar>
                  <w:vAlign w:val="center"/>
                </w:tcPr>
                <w:p w14:paraId="59702D9F">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noWrap w:val="0"/>
                  <w:tcMar>
                    <w:left w:w="28" w:type="dxa"/>
                    <w:right w:w="28" w:type="dxa"/>
                  </w:tcMar>
                  <w:vAlign w:val="center"/>
                </w:tcPr>
                <w:p w14:paraId="42C3EA83">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97</w:t>
                  </w:r>
                  <w:r>
                    <w:rPr>
                      <w:rStyle w:val="53"/>
                      <w:rFonts w:eastAsia="宋体"/>
                      <w:color w:val="000000" w:themeColor="text1"/>
                      <w:lang w:val="en-US" w:eastAsia="zh-CN" w:bidi="ar"/>
                      <w14:textFill>
                        <w14:solidFill>
                          <w14:schemeClr w14:val="tx1"/>
                        </w14:solidFill>
                      </w14:textFill>
                    </w:rPr>
                    <w:t>%</w:t>
                  </w:r>
                </w:p>
              </w:tc>
              <w:tc>
                <w:tcPr>
                  <w:tcW w:w="198" w:type="pct"/>
                  <w:noWrap w:val="0"/>
                  <w:tcMar>
                    <w:left w:w="28" w:type="dxa"/>
                    <w:right w:w="28" w:type="dxa"/>
                  </w:tcMar>
                  <w:vAlign w:val="center"/>
                </w:tcPr>
                <w:p w14:paraId="2494EF9E">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774" w:type="dxa"/>
                  <w:noWrap w:val="0"/>
                  <w:tcMar>
                    <w:left w:w="28" w:type="dxa"/>
                    <w:right w:w="28" w:type="dxa"/>
                  </w:tcMar>
                  <w:vAlign w:val="center"/>
                </w:tcPr>
                <w:p w14:paraId="63C6D04B">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14.83 </w:t>
                  </w:r>
                </w:p>
              </w:tc>
              <w:tc>
                <w:tcPr>
                  <w:tcW w:w="698" w:type="dxa"/>
                  <w:noWrap w:val="0"/>
                  <w:tcMar>
                    <w:left w:w="28" w:type="dxa"/>
                    <w:right w:w="28" w:type="dxa"/>
                  </w:tcMar>
                  <w:vAlign w:val="center"/>
                </w:tcPr>
                <w:p w14:paraId="5097A0F7">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0.223 </w:t>
                  </w:r>
                </w:p>
              </w:tc>
              <w:tc>
                <w:tcPr>
                  <w:tcW w:w="291" w:type="pct"/>
                  <w:noWrap w:val="0"/>
                  <w:tcMar>
                    <w:left w:w="28" w:type="dxa"/>
                    <w:right w:w="28" w:type="dxa"/>
                  </w:tcMar>
                  <w:vAlign w:val="center"/>
                </w:tcPr>
                <w:p w14:paraId="45CE2D0C">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0.089 </w:t>
                  </w:r>
                </w:p>
              </w:tc>
            </w:tr>
            <w:tr w14:paraId="0C4A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Merge w:val="continue"/>
                  <w:noWrap w:val="0"/>
                  <w:tcMar>
                    <w:left w:w="28" w:type="dxa"/>
                    <w:right w:w="28" w:type="dxa"/>
                  </w:tcMar>
                  <w:vAlign w:val="center"/>
                </w:tcPr>
                <w:p w14:paraId="43BCC9D3">
                  <w:pPr>
                    <w:jc w:val="center"/>
                    <w:rPr>
                      <w:color w:val="000000" w:themeColor="text1"/>
                      <w:sz w:val="21"/>
                      <w:szCs w:val="21"/>
                      <w:highlight w:val="none"/>
                      <w14:textFill>
                        <w14:solidFill>
                          <w14:schemeClr w14:val="tx1"/>
                        </w14:solidFill>
                      </w14:textFill>
                    </w:rPr>
                  </w:pPr>
                </w:p>
              </w:tc>
              <w:tc>
                <w:tcPr>
                  <w:tcW w:w="368" w:type="pct"/>
                  <w:vMerge w:val="continue"/>
                  <w:noWrap w:val="0"/>
                  <w:tcMar>
                    <w:left w:w="28" w:type="dxa"/>
                    <w:right w:w="28" w:type="dxa"/>
                  </w:tcMar>
                  <w:vAlign w:val="center"/>
                </w:tcPr>
                <w:p w14:paraId="273F2880">
                  <w:pPr>
                    <w:jc w:val="center"/>
                    <w:rPr>
                      <w:color w:val="000000" w:themeColor="text1"/>
                      <w:sz w:val="21"/>
                      <w:szCs w:val="21"/>
                      <w:highlight w:val="none"/>
                      <w14:textFill>
                        <w14:solidFill>
                          <w14:schemeClr w14:val="tx1"/>
                        </w14:solidFill>
                      </w14:textFill>
                    </w:rPr>
                  </w:pPr>
                </w:p>
              </w:tc>
              <w:tc>
                <w:tcPr>
                  <w:tcW w:w="479" w:type="pct"/>
                  <w:noWrap w:val="0"/>
                  <w:tcMar>
                    <w:left w:w="28" w:type="dxa"/>
                    <w:right w:w="28" w:type="dxa"/>
                  </w:tcMar>
                  <w:vAlign w:val="center"/>
                </w:tcPr>
                <w:p w14:paraId="49C8476E">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非甲烷总烃</w:t>
                  </w:r>
                </w:p>
              </w:tc>
              <w:tc>
                <w:tcPr>
                  <w:tcW w:w="304" w:type="pct"/>
                  <w:noWrap w:val="0"/>
                  <w:tcMar>
                    <w:left w:w="28" w:type="dxa"/>
                    <w:right w:w="28" w:type="dxa"/>
                  </w:tcMar>
                  <w:vAlign w:val="center"/>
                </w:tcPr>
                <w:p w14:paraId="57DD86A1">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15000</w:t>
                  </w:r>
                </w:p>
              </w:tc>
              <w:tc>
                <w:tcPr>
                  <w:tcW w:w="312" w:type="pct"/>
                  <w:noWrap w:val="0"/>
                  <w:tcMar>
                    <w:left w:w="28" w:type="dxa"/>
                    <w:right w:w="28" w:type="dxa"/>
                  </w:tcMar>
                  <w:vAlign w:val="center"/>
                </w:tcPr>
                <w:p w14:paraId="4059721F">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88.83 </w:t>
                  </w:r>
                </w:p>
              </w:tc>
              <w:tc>
                <w:tcPr>
                  <w:tcW w:w="304" w:type="pct"/>
                  <w:noWrap w:val="0"/>
                  <w:tcMar>
                    <w:left w:w="28" w:type="dxa"/>
                    <w:right w:w="28" w:type="dxa"/>
                  </w:tcMar>
                  <w:vAlign w:val="center"/>
                </w:tcPr>
                <w:p w14:paraId="7118A0E9">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1.33 </w:t>
                  </w:r>
                </w:p>
              </w:tc>
              <w:tc>
                <w:tcPr>
                  <w:tcW w:w="750" w:type="dxa"/>
                  <w:noWrap w:val="0"/>
                  <w:tcMar>
                    <w:left w:w="28" w:type="dxa"/>
                    <w:right w:w="28" w:type="dxa"/>
                  </w:tcMar>
                  <w:vAlign w:val="center"/>
                </w:tcPr>
                <w:p w14:paraId="030C039B">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0.533 </w:t>
                  </w:r>
                </w:p>
              </w:tc>
              <w:tc>
                <w:tcPr>
                  <w:tcW w:w="282" w:type="pct"/>
                  <w:noWrap w:val="0"/>
                  <w:tcMar>
                    <w:left w:w="28" w:type="dxa"/>
                    <w:right w:w="28" w:type="dxa"/>
                  </w:tcMar>
                  <w:vAlign w:val="center"/>
                </w:tcPr>
                <w:p w14:paraId="01ED4F21">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40" w:type="pct"/>
                  <w:vMerge w:val="continue"/>
                  <w:noWrap w:val="0"/>
                  <w:tcMar>
                    <w:left w:w="28" w:type="dxa"/>
                    <w:right w:w="28" w:type="dxa"/>
                  </w:tcMar>
                  <w:vAlign w:val="center"/>
                </w:tcPr>
                <w:p w14:paraId="3DBC0E43">
                  <w:pPr>
                    <w:jc w:val="center"/>
                    <w:rPr>
                      <w:color w:val="000000" w:themeColor="text1"/>
                      <w:sz w:val="21"/>
                      <w:szCs w:val="21"/>
                      <w:highlight w:val="none"/>
                      <w14:textFill>
                        <w14:solidFill>
                          <w14:schemeClr w14:val="tx1"/>
                        </w14:solidFill>
                      </w14:textFill>
                    </w:rPr>
                  </w:pPr>
                </w:p>
              </w:tc>
              <w:tc>
                <w:tcPr>
                  <w:tcW w:w="252" w:type="pct"/>
                  <w:noWrap w:val="0"/>
                  <w:tcMar>
                    <w:left w:w="28" w:type="dxa"/>
                    <w:right w:w="28" w:type="dxa"/>
                  </w:tcMar>
                  <w:vAlign w:val="center"/>
                </w:tcPr>
                <w:p w14:paraId="54FB2BC6">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noWrap w:val="0"/>
                  <w:tcMar>
                    <w:left w:w="28" w:type="dxa"/>
                    <w:right w:w="28" w:type="dxa"/>
                  </w:tcMar>
                  <w:vAlign w:val="center"/>
                </w:tcPr>
                <w:p w14:paraId="08E5E4FF">
                  <w:pPr>
                    <w:keepNext w:val="0"/>
                    <w:keepLines w:val="0"/>
                    <w:widowControl/>
                    <w:suppressLineNumbers w:val="0"/>
                    <w:jc w:val="center"/>
                    <w:textAlignment w:val="center"/>
                    <w:rPr>
                      <w:rFonts w:hint="default"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c>
                <w:tcPr>
                  <w:tcW w:w="198" w:type="pct"/>
                  <w:noWrap w:val="0"/>
                  <w:tcMar>
                    <w:left w:w="28" w:type="dxa"/>
                    <w:right w:w="28" w:type="dxa"/>
                  </w:tcMar>
                  <w:vAlign w:val="center"/>
                </w:tcPr>
                <w:p w14:paraId="3950D518">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774" w:type="dxa"/>
                  <w:noWrap w:val="0"/>
                  <w:tcMar>
                    <w:left w:w="28" w:type="dxa"/>
                    <w:right w:w="28" w:type="dxa"/>
                  </w:tcMar>
                  <w:vAlign w:val="center"/>
                </w:tcPr>
                <w:p w14:paraId="2B3B838F">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22.17 </w:t>
                  </w:r>
                </w:p>
              </w:tc>
              <w:tc>
                <w:tcPr>
                  <w:tcW w:w="698" w:type="dxa"/>
                  <w:noWrap w:val="0"/>
                  <w:tcMar>
                    <w:left w:w="28" w:type="dxa"/>
                    <w:right w:w="28" w:type="dxa"/>
                  </w:tcMar>
                  <w:vAlign w:val="center"/>
                </w:tcPr>
                <w:p w14:paraId="04FF9CE2">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0.333 </w:t>
                  </w:r>
                </w:p>
              </w:tc>
              <w:tc>
                <w:tcPr>
                  <w:tcW w:w="291" w:type="pct"/>
                  <w:noWrap w:val="0"/>
                  <w:tcMar>
                    <w:left w:w="28" w:type="dxa"/>
                    <w:right w:w="28" w:type="dxa"/>
                  </w:tcMar>
                  <w:vAlign w:val="center"/>
                </w:tcPr>
                <w:p w14:paraId="2407B5AC">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0.133 </w:t>
                  </w:r>
                </w:p>
              </w:tc>
            </w:tr>
            <w:tr w14:paraId="51FA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Merge w:val="continue"/>
                  <w:noWrap w:val="0"/>
                  <w:tcMar>
                    <w:left w:w="28" w:type="dxa"/>
                    <w:right w:w="28" w:type="dxa"/>
                  </w:tcMar>
                  <w:vAlign w:val="center"/>
                </w:tcPr>
                <w:p w14:paraId="46782A8A">
                  <w:pPr>
                    <w:jc w:val="center"/>
                    <w:rPr>
                      <w:color w:val="000000" w:themeColor="text1"/>
                      <w:sz w:val="21"/>
                      <w:szCs w:val="21"/>
                      <w:highlight w:val="none"/>
                      <w14:textFill>
                        <w14:solidFill>
                          <w14:schemeClr w14:val="tx1"/>
                        </w14:solidFill>
                      </w14:textFill>
                    </w:rPr>
                  </w:pPr>
                </w:p>
              </w:tc>
              <w:tc>
                <w:tcPr>
                  <w:tcW w:w="368" w:type="pct"/>
                  <w:noWrap w:val="0"/>
                  <w:tcMar>
                    <w:left w:w="28" w:type="dxa"/>
                    <w:right w:w="28" w:type="dxa"/>
                  </w:tcMar>
                  <w:vAlign w:val="center"/>
                </w:tcPr>
                <w:p w14:paraId="5169A134">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底漆流平固化</w:t>
                  </w:r>
                </w:p>
              </w:tc>
              <w:tc>
                <w:tcPr>
                  <w:tcW w:w="479" w:type="pct"/>
                  <w:noWrap w:val="0"/>
                  <w:tcMar>
                    <w:left w:w="28" w:type="dxa"/>
                    <w:right w:w="28" w:type="dxa"/>
                  </w:tcMar>
                  <w:vAlign w:val="center"/>
                </w:tcPr>
                <w:p w14:paraId="5620A173">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非甲烷总烃</w:t>
                  </w:r>
                </w:p>
              </w:tc>
              <w:tc>
                <w:tcPr>
                  <w:tcW w:w="304" w:type="pct"/>
                  <w:noWrap w:val="0"/>
                  <w:tcMar>
                    <w:left w:w="28" w:type="dxa"/>
                    <w:right w:w="28" w:type="dxa"/>
                  </w:tcMar>
                  <w:vAlign w:val="center"/>
                </w:tcPr>
                <w:p w14:paraId="1AFD8A59">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15000</w:t>
                  </w:r>
                </w:p>
              </w:tc>
              <w:tc>
                <w:tcPr>
                  <w:tcW w:w="312" w:type="pct"/>
                  <w:noWrap w:val="0"/>
                  <w:tcMar>
                    <w:left w:w="28" w:type="dxa"/>
                    <w:right w:w="28" w:type="dxa"/>
                  </w:tcMar>
                  <w:vAlign w:val="center"/>
                </w:tcPr>
                <w:p w14:paraId="0B6DA6B0">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27.78 </w:t>
                  </w:r>
                </w:p>
              </w:tc>
              <w:tc>
                <w:tcPr>
                  <w:tcW w:w="304" w:type="pct"/>
                  <w:noWrap w:val="0"/>
                  <w:tcMar>
                    <w:left w:w="28" w:type="dxa"/>
                    <w:right w:w="28" w:type="dxa"/>
                  </w:tcMar>
                  <w:vAlign w:val="center"/>
                </w:tcPr>
                <w:p w14:paraId="19A5871B">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0.42 </w:t>
                  </w:r>
                </w:p>
              </w:tc>
              <w:tc>
                <w:tcPr>
                  <w:tcW w:w="750" w:type="dxa"/>
                  <w:noWrap w:val="0"/>
                  <w:tcMar>
                    <w:left w:w="28" w:type="dxa"/>
                    <w:right w:w="28" w:type="dxa"/>
                  </w:tcMar>
                  <w:vAlign w:val="center"/>
                </w:tcPr>
                <w:p w14:paraId="68C67FB4">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0.100 </w:t>
                  </w:r>
                </w:p>
              </w:tc>
              <w:tc>
                <w:tcPr>
                  <w:tcW w:w="282" w:type="pct"/>
                  <w:noWrap w:val="0"/>
                  <w:tcMar>
                    <w:left w:w="28" w:type="dxa"/>
                    <w:right w:w="28" w:type="dxa"/>
                  </w:tcMar>
                  <w:vAlign w:val="center"/>
                </w:tcPr>
                <w:p w14:paraId="0C123D2F">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40" w:type="pct"/>
                  <w:vMerge w:val="continue"/>
                  <w:noWrap w:val="0"/>
                  <w:tcMar>
                    <w:left w:w="28" w:type="dxa"/>
                    <w:right w:w="28" w:type="dxa"/>
                  </w:tcMar>
                  <w:vAlign w:val="center"/>
                </w:tcPr>
                <w:p w14:paraId="57C04640">
                  <w:pPr>
                    <w:jc w:val="center"/>
                    <w:rPr>
                      <w:color w:val="000000" w:themeColor="text1"/>
                      <w:sz w:val="21"/>
                      <w:szCs w:val="21"/>
                      <w:highlight w:val="none"/>
                      <w14:textFill>
                        <w14:solidFill>
                          <w14:schemeClr w14:val="tx1"/>
                        </w14:solidFill>
                      </w14:textFill>
                    </w:rPr>
                  </w:pPr>
                </w:p>
              </w:tc>
              <w:tc>
                <w:tcPr>
                  <w:tcW w:w="252" w:type="pct"/>
                  <w:noWrap w:val="0"/>
                  <w:tcMar>
                    <w:left w:w="28" w:type="dxa"/>
                    <w:right w:w="28" w:type="dxa"/>
                  </w:tcMar>
                  <w:vAlign w:val="center"/>
                </w:tcPr>
                <w:p w14:paraId="6C950737">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noWrap w:val="0"/>
                  <w:tcMar>
                    <w:left w:w="28" w:type="dxa"/>
                    <w:right w:w="28" w:type="dxa"/>
                  </w:tcMar>
                  <w:vAlign w:val="center"/>
                </w:tcPr>
                <w:p w14:paraId="48A0AD67">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c>
                <w:tcPr>
                  <w:tcW w:w="198" w:type="pct"/>
                  <w:noWrap w:val="0"/>
                  <w:tcMar>
                    <w:left w:w="28" w:type="dxa"/>
                    <w:right w:w="28" w:type="dxa"/>
                  </w:tcMar>
                  <w:vAlign w:val="center"/>
                </w:tcPr>
                <w:p w14:paraId="246B1DF1">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240</w:t>
                  </w:r>
                </w:p>
              </w:tc>
              <w:tc>
                <w:tcPr>
                  <w:tcW w:w="774" w:type="dxa"/>
                  <w:noWrap w:val="0"/>
                  <w:tcMar>
                    <w:left w:w="28" w:type="dxa"/>
                    <w:right w:w="28" w:type="dxa"/>
                  </w:tcMar>
                  <w:vAlign w:val="center"/>
                </w:tcPr>
                <w:p w14:paraId="5991BB31">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6.94 </w:t>
                  </w:r>
                </w:p>
              </w:tc>
              <w:tc>
                <w:tcPr>
                  <w:tcW w:w="698" w:type="dxa"/>
                  <w:noWrap w:val="0"/>
                  <w:tcMar>
                    <w:left w:w="28" w:type="dxa"/>
                    <w:right w:w="28" w:type="dxa"/>
                  </w:tcMar>
                  <w:vAlign w:val="center"/>
                </w:tcPr>
                <w:p w14:paraId="6679A837">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0.104 </w:t>
                  </w:r>
                </w:p>
              </w:tc>
              <w:tc>
                <w:tcPr>
                  <w:tcW w:w="291" w:type="pct"/>
                  <w:noWrap w:val="0"/>
                  <w:tcMar>
                    <w:left w:w="28" w:type="dxa"/>
                    <w:right w:w="28" w:type="dxa"/>
                  </w:tcMar>
                  <w:vAlign w:val="center"/>
                </w:tcPr>
                <w:p w14:paraId="108FA007">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0.025 </w:t>
                  </w:r>
                </w:p>
              </w:tc>
            </w:tr>
            <w:tr w14:paraId="3DCD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Merge w:val="continue"/>
                  <w:noWrap w:val="0"/>
                  <w:tcMar>
                    <w:left w:w="28" w:type="dxa"/>
                    <w:right w:w="28" w:type="dxa"/>
                  </w:tcMar>
                  <w:vAlign w:val="center"/>
                </w:tcPr>
                <w:p w14:paraId="14CEEBFE">
                  <w:pPr>
                    <w:jc w:val="center"/>
                    <w:rPr>
                      <w:color w:val="000000" w:themeColor="text1"/>
                      <w:sz w:val="21"/>
                      <w:szCs w:val="21"/>
                      <w:highlight w:val="none"/>
                      <w14:textFill>
                        <w14:solidFill>
                          <w14:schemeClr w14:val="tx1"/>
                        </w14:solidFill>
                      </w14:textFill>
                    </w:rPr>
                  </w:pPr>
                </w:p>
              </w:tc>
              <w:tc>
                <w:tcPr>
                  <w:tcW w:w="368" w:type="pct"/>
                  <w:noWrap w:val="0"/>
                  <w:tcMar>
                    <w:left w:w="28" w:type="dxa"/>
                    <w:right w:w="28" w:type="dxa"/>
                  </w:tcMar>
                  <w:vAlign w:val="center"/>
                </w:tcPr>
                <w:p w14:paraId="6BD273C6">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底漆</w:t>
                  </w:r>
                  <w:r>
                    <w:rPr>
                      <w:rFonts w:hint="eastAsia"/>
                      <w:color w:val="000000" w:themeColor="text1"/>
                      <w:kern w:val="0"/>
                      <w:sz w:val="21"/>
                      <w:szCs w:val="21"/>
                      <w:highlight w:val="none"/>
                      <w:lang w:val="en-US" w:eastAsia="zh-CN" w:bidi="ar"/>
                      <w14:textFill>
                        <w14:solidFill>
                          <w14:schemeClr w14:val="tx1"/>
                        </w14:solidFill>
                      </w14:textFill>
                    </w:rPr>
                    <w:t>烘干</w:t>
                  </w:r>
                </w:p>
              </w:tc>
              <w:tc>
                <w:tcPr>
                  <w:tcW w:w="479" w:type="pct"/>
                  <w:noWrap w:val="0"/>
                  <w:tcMar>
                    <w:left w:w="28" w:type="dxa"/>
                    <w:right w:w="28" w:type="dxa"/>
                  </w:tcMar>
                  <w:vAlign w:val="center"/>
                </w:tcPr>
                <w:p w14:paraId="2DC8F870">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非甲烷总烃</w:t>
                  </w:r>
                </w:p>
              </w:tc>
              <w:tc>
                <w:tcPr>
                  <w:tcW w:w="304" w:type="pct"/>
                  <w:noWrap w:val="0"/>
                  <w:tcMar>
                    <w:left w:w="28" w:type="dxa"/>
                    <w:right w:w="28" w:type="dxa"/>
                  </w:tcMar>
                  <w:vAlign w:val="center"/>
                </w:tcPr>
                <w:p w14:paraId="7585C075">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2000</w:t>
                  </w:r>
                </w:p>
              </w:tc>
              <w:tc>
                <w:tcPr>
                  <w:tcW w:w="312" w:type="pct"/>
                  <w:noWrap w:val="0"/>
                  <w:tcMar>
                    <w:left w:w="28" w:type="dxa"/>
                    <w:right w:w="28" w:type="dxa"/>
                  </w:tcMar>
                  <w:vAlign w:val="center"/>
                </w:tcPr>
                <w:p w14:paraId="0CED3D86">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33.00 </w:t>
                  </w:r>
                </w:p>
              </w:tc>
              <w:tc>
                <w:tcPr>
                  <w:tcW w:w="304" w:type="pct"/>
                  <w:noWrap w:val="0"/>
                  <w:tcMar>
                    <w:left w:w="28" w:type="dxa"/>
                    <w:right w:w="28" w:type="dxa"/>
                  </w:tcMar>
                  <w:vAlign w:val="center"/>
                </w:tcPr>
                <w:p w14:paraId="46C1521C">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0.07 </w:t>
                  </w:r>
                </w:p>
              </w:tc>
              <w:tc>
                <w:tcPr>
                  <w:tcW w:w="750" w:type="dxa"/>
                  <w:noWrap w:val="0"/>
                  <w:tcMar>
                    <w:left w:w="28" w:type="dxa"/>
                    <w:right w:w="28" w:type="dxa"/>
                  </w:tcMar>
                  <w:vAlign w:val="center"/>
                </w:tcPr>
                <w:p w14:paraId="511F5443">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0.033 </w:t>
                  </w:r>
                </w:p>
              </w:tc>
              <w:tc>
                <w:tcPr>
                  <w:tcW w:w="282" w:type="pct"/>
                  <w:noWrap w:val="0"/>
                  <w:tcMar>
                    <w:left w:w="28" w:type="dxa"/>
                    <w:right w:w="28" w:type="dxa"/>
                  </w:tcMar>
                  <w:vAlign w:val="center"/>
                </w:tcPr>
                <w:p w14:paraId="1FA3812C">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40" w:type="pct"/>
                  <w:vMerge w:val="continue"/>
                  <w:noWrap w:val="0"/>
                  <w:tcMar>
                    <w:left w:w="28" w:type="dxa"/>
                    <w:right w:w="28" w:type="dxa"/>
                  </w:tcMar>
                  <w:vAlign w:val="center"/>
                </w:tcPr>
                <w:p w14:paraId="50F139AC">
                  <w:pPr>
                    <w:jc w:val="center"/>
                    <w:rPr>
                      <w:color w:val="000000" w:themeColor="text1"/>
                      <w:sz w:val="21"/>
                      <w:szCs w:val="21"/>
                      <w:highlight w:val="none"/>
                      <w14:textFill>
                        <w14:solidFill>
                          <w14:schemeClr w14:val="tx1"/>
                        </w14:solidFill>
                      </w14:textFill>
                    </w:rPr>
                  </w:pPr>
                </w:p>
              </w:tc>
              <w:tc>
                <w:tcPr>
                  <w:tcW w:w="252" w:type="pct"/>
                  <w:noWrap w:val="0"/>
                  <w:tcMar>
                    <w:left w:w="28" w:type="dxa"/>
                    <w:right w:w="28" w:type="dxa"/>
                  </w:tcMar>
                  <w:vAlign w:val="center"/>
                </w:tcPr>
                <w:p w14:paraId="038361F3">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noWrap w:val="0"/>
                  <w:tcMar>
                    <w:left w:w="28" w:type="dxa"/>
                    <w:right w:w="28" w:type="dxa"/>
                  </w:tcMar>
                  <w:vAlign w:val="center"/>
                </w:tcPr>
                <w:p w14:paraId="56BF04E1">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c>
                <w:tcPr>
                  <w:tcW w:w="198" w:type="pct"/>
                  <w:noWrap w:val="0"/>
                  <w:tcMar>
                    <w:left w:w="28" w:type="dxa"/>
                    <w:right w:w="28" w:type="dxa"/>
                  </w:tcMar>
                  <w:vAlign w:val="center"/>
                </w:tcPr>
                <w:p w14:paraId="0E869749">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774" w:type="dxa"/>
                  <w:noWrap w:val="0"/>
                  <w:tcMar>
                    <w:left w:w="28" w:type="dxa"/>
                    <w:right w:w="28" w:type="dxa"/>
                  </w:tcMar>
                  <w:vAlign w:val="center"/>
                </w:tcPr>
                <w:p w14:paraId="7B2E1FD0">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8.00 </w:t>
                  </w:r>
                </w:p>
              </w:tc>
              <w:tc>
                <w:tcPr>
                  <w:tcW w:w="698" w:type="dxa"/>
                  <w:noWrap w:val="0"/>
                  <w:tcMar>
                    <w:left w:w="28" w:type="dxa"/>
                    <w:right w:w="28" w:type="dxa"/>
                  </w:tcMar>
                  <w:vAlign w:val="center"/>
                </w:tcPr>
                <w:p w14:paraId="3FBEE24F">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0.016 </w:t>
                  </w:r>
                </w:p>
              </w:tc>
              <w:tc>
                <w:tcPr>
                  <w:tcW w:w="291" w:type="pct"/>
                  <w:noWrap w:val="0"/>
                  <w:tcMar>
                    <w:left w:w="28" w:type="dxa"/>
                    <w:right w:w="28" w:type="dxa"/>
                  </w:tcMar>
                  <w:vAlign w:val="center"/>
                </w:tcPr>
                <w:p w14:paraId="7144CAF6">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0.008 </w:t>
                  </w:r>
                </w:p>
              </w:tc>
            </w:tr>
            <w:tr w14:paraId="44CC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Merge w:val="continue"/>
                  <w:noWrap w:val="0"/>
                  <w:tcMar>
                    <w:left w:w="28" w:type="dxa"/>
                    <w:right w:w="28" w:type="dxa"/>
                  </w:tcMar>
                  <w:vAlign w:val="center"/>
                </w:tcPr>
                <w:p w14:paraId="24CA88BB">
                  <w:pPr>
                    <w:jc w:val="center"/>
                    <w:rPr>
                      <w:color w:val="000000" w:themeColor="text1"/>
                      <w:sz w:val="21"/>
                      <w:szCs w:val="21"/>
                      <w:highlight w:val="none"/>
                      <w14:textFill>
                        <w14:solidFill>
                          <w14:schemeClr w14:val="tx1"/>
                        </w14:solidFill>
                      </w14:textFill>
                    </w:rPr>
                  </w:pPr>
                </w:p>
              </w:tc>
              <w:tc>
                <w:tcPr>
                  <w:tcW w:w="368" w:type="pct"/>
                  <w:vMerge w:val="restart"/>
                  <w:noWrap w:val="0"/>
                  <w:tcMar>
                    <w:left w:w="28" w:type="dxa"/>
                    <w:right w:w="28" w:type="dxa"/>
                  </w:tcMar>
                  <w:vAlign w:val="center"/>
                </w:tcPr>
                <w:p w14:paraId="339D460F">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面漆喷漆</w:t>
                  </w:r>
                </w:p>
              </w:tc>
              <w:tc>
                <w:tcPr>
                  <w:tcW w:w="479" w:type="pct"/>
                  <w:noWrap w:val="0"/>
                  <w:tcMar>
                    <w:left w:w="28" w:type="dxa"/>
                    <w:right w:w="28" w:type="dxa"/>
                  </w:tcMar>
                  <w:vAlign w:val="center"/>
                </w:tcPr>
                <w:p w14:paraId="4CF494F8">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颗粒物</w:t>
                  </w:r>
                </w:p>
              </w:tc>
              <w:tc>
                <w:tcPr>
                  <w:tcW w:w="304" w:type="pct"/>
                  <w:noWrap w:val="0"/>
                  <w:tcMar>
                    <w:left w:w="28" w:type="dxa"/>
                    <w:right w:w="28" w:type="dxa"/>
                  </w:tcMar>
                  <w:vAlign w:val="center"/>
                </w:tcPr>
                <w:p w14:paraId="19862C10">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15000</w:t>
                  </w:r>
                </w:p>
              </w:tc>
              <w:tc>
                <w:tcPr>
                  <w:tcW w:w="312" w:type="pct"/>
                  <w:noWrap w:val="0"/>
                  <w:tcMar>
                    <w:left w:w="28" w:type="dxa"/>
                    <w:right w:w="28" w:type="dxa"/>
                  </w:tcMar>
                  <w:vAlign w:val="center"/>
                </w:tcPr>
                <w:p w14:paraId="7237EFF7">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330.33 </w:t>
                  </w:r>
                </w:p>
              </w:tc>
              <w:tc>
                <w:tcPr>
                  <w:tcW w:w="304" w:type="pct"/>
                  <w:noWrap w:val="0"/>
                  <w:tcMar>
                    <w:left w:w="28" w:type="dxa"/>
                    <w:right w:w="28" w:type="dxa"/>
                  </w:tcMar>
                  <w:vAlign w:val="center"/>
                </w:tcPr>
                <w:p w14:paraId="2FEFDE35">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4.96 </w:t>
                  </w:r>
                </w:p>
              </w:tc>
              <w:tc>
                <w:tcPr>
                  <w:tcW w:w="750" w:type="dxa"/>
                  <w:noWrap w:val="0"/>
                  <w:tcMar>
                    <w:left w:w="28" w:type="dxa"/>
                    <w:right w:w="28" w:type="dxa"/>
                  </w:tcMar>
                  <w:vAlign w:val="center"/>
                </w:tcPr>
                <w:p w14:paraId="1C7987E6">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1.982 </w:t>
                  </w:r>
                </w:p>
              </w:tc>
              <w:tc>
                <w:tcPr>
                  <w:tcW w:w="282" w:type="pct"/>
                  <w:noWrap w:val="0"/>
                  <w:tcMar>
                    <w:left w:w="28" w:type="dxa"/>
                    <w:right w:w="28" w:type="dxa"/>
                  </w:tcMar>
                  <w:vAlign w:val="center"/>
                </w:tcPr>
                <w:p w14:paraId="31FAF92A">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40" w:type="pct"/>
                  <w:vMerge w:val="continue"/>
                  <w:noWrap w:val="0"/>
                  <w:tcMar>
                    <w:left w:w="28" w:type="dxa"/>
                    <w:right w:w="28" w:type="dxa"/>
                  </w:tcMar>
                  <w:vAlign w:val="center"/>
                </w:tcPr>
                <w:p w14:paraId="6D927461">
                  <w:pPr>
                    <w:jc w:val="center"/>
                    <w:rPr>
                      <w:color w:val="000000" w:themeColor="text1"/>
                      <w:sz w:val="21"/>
                      <w:szCs w:val="21"/>
                      <w:highlight w:val="none"/>
                      <w14:textFill>
                        <w14:solidFill>
                          <w14:schemeClr w14:val="tx1"/>
                        </w14:solidFill>
                      </w14:textFill>
                    </w:rPr>
                  </w:pPr>
                </w:p>
              </w:tc>
              <w:tc>
                <w:tcPr>
                  <w:tcW w:w="252" w:type="pct"/>
                  <w:noWrap w:val="0"/>
                  <w:tcMar>
                    <w:left w:w="28" w:type="dxa"/>
                    <w:right w:w="28" w:type="dxa"/>
                  </w:tcMar>
                  <w:vAlign w:val="center"/>
                </w:tcPr>
                <w:p w14:paraId="4C4F0C16">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shd w:val="clear" w:color="auto" w:fill="auto"/>
                  <w:noWrap w:val="0"/>
                  <w:tcMar>
                    <w:left w:w="28" w:type="dxa"/>
                    <w:right w:w="28" w:type="dxa"/>
                  </w:tcMar>
                  <w:vAlign w:val="center"/>
                </w:tcPr>
                <w:p w14:paraId="7A52CB34">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97</w:t>
                  </w:r>
                  <w:r>
                    <w:rPr>
                      <w:rStyle w:val="53"/>
                      <w:rFonts w:eastAsia="宋体"/>
                      <w:color w:val="000000" w:themeColor="text1"/>
                      <w:lang w:val="en-US" w:eastAsia="zh-CN" w:bidi="ar"/>
                      <w14:textFill>
                        <w14:solidFill>
                          <w14:schemeClr w14:val="tx1"/>
                        </w14:solidFill>
                      </w14:textFill>
                    </w:rPr>
                    <w:t>%</w:t>
                  </w:r>
                </w:p>
              </w:tc>
              <w:tc>
                <w:tcPr>
                  <w:tcW w:w="198" w:type="pct"/>
                  <w:noWrap w:val="0"/>
                  <w:tcMar>
                    <w:left w:w="28" w:type="dxa"/>
                    <w:right w:w="28" w:type="dxa"/>
                  </w:tcMar>
                  <w:vAlign w:val="center"/>
                </w:tcPr>
                <w:p w14:paraId="6B003423">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774" w:type="dxa"/>
                  <w:noWrap w:val="0"/>
                  <w:tcMar>
                    <w:left w:w="28" w:type="dxa"/>
                    <w:right w:w="28" w:type="dxa"/>
                  </w:tcMar>
                  <w:vAlign w:val="center"/>
                </w:tcPr>
                <w:p w14:paraId="766F516D">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9.83 </w:t>
                  </w:r>
                </w:p>
              </w:tc>
              <w:tc>
                <w:tcPr>
                  <w:tcW w:w="698" w:type="dxa"/>
                  <w:noWrap w:val="0"/>
                  <w:tcMar>
                    <w:left w:w="28" w:type="dxa"/>
                    <w:right w:w="28" w:type="dxa"/>
                  </w:tcMar>
                  <w:vAlign w:val="center"/>
                </w:tcPr>
                <w:p w14:paraId="5CE1F0EB">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0.148 </w:t>
                  </w:r>
                </w:p>
              </w:tc>
              <w:tc>
                <w:tcPr>
                  <w:tcW w:w="291" w:type="pct"/>
                  <w:noWrap w:val="0"/>
                  <w:tcMar>
                    <w:left w:w="28" w:type="dxa"/>
                    <w:right w:w="28" w:type="dxa"/>
                  </w:tcMar>
                  <w:vAlign w:val="center"/>
                </w:tcPr>
                <w:p w14:paraId="428D31B3">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0.059 </w:t>
                  </w:r>
                </w:p>
              </w:tc>
            </w:tr>
            <w:tr w14:paraId="40AD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Merge w:val="continue"/>
                  <w:noWrap w:val="0"/>
                  <w:tcMar>
                    <w:left w:w="28" w:type="dxa"/>
                    <w:right w:w="28" w:type="dxa"/>
                  </w:tcMar>
                  <w:vAlign w:val="center"/>
                </w:tcPr>
                <w:p w14:paraId="1EE2F774">
                  <w:pPr>
                    <w:jc w:val="center"/>
                    <w:rPr>
                      <w:color w:val="000000" w:themeColor="text1"/>
                      <w:sz w:val="21"/>
                      <w:szCs w:val="21"/>
                      <w:highlight w:val="none"/>
                      <w14:textFill>
                        <w14:solidFill>
                          <w14:schemeClr w14:val="tx1"/>
                        </w14:solidFill>
                      </w14:textFill>
                    </w:rPr>
                  </w:pPr>
                </w:p>
              </w:tc>
              <w:tc>
                <w:tcPr>
                  <w:tcW w:w="368" w:type="pct"/>
                  <w:vMerge w:val="continue"/>
                  <w:noWrap w:val="0"/>
                  <w:tcMar>
                    <w:left w:w="28" w:type="dxa"/>
                    <w:right w:w="28" w:type="dxa"/>
                  </w:tcMar>
                  <w:vAlign w:val="center"/>
                </w:tcPr>
                <w:p w14:paraId="6D63D152">
                  <w:pPr>
                    <w:jc w:val="center"/>
                    <w:rPr>
                      <w:color w:val="000000" w:themeColor="text1"/>
                      <w:sz w:val="21"/>
                      <w:szCs w:val="21"/>
                      <w:highlight w:val="none"/>
                      <w14:textFill>
                        <w14:solidFill>
                          <w14:schemeClr w14:val="tx1"/>
                        </w14:solidFill>
                      </w14:textFill>
                    </w:rPr>
                  </w:pPr>
                </w:p>
              </w:tc>
              <w:tc>
                <w:tcPr>
                  <w:tcW w:w="479" w:type="pct"/>
                  <w:noWrap w:val="0"/>
                  <w:tcMar>
                    <w:left w:w="28" w:type="dxa"/>
                    <w:right w:w="28" w:type="dxa"/>
                  </w:tcMar>
                  <w:vAlign w:val="center"/>
                </w:tcPr>
                <w:p w14:paraId="15B08351">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非甲烷总烃</w:t>
                  </w:r>
                </w:p>
              </w:tc>
              <w:tc>
                <w:tcPr>
                  <w:tcW w:w="304" w:type="pct"/>
                  <w:noWrap w:val="0"/>
                  <w:tcMar>
                    <w:left w:w="28" w:type="dxa"/>
                    <w:right w:w="28" w:type="dxa"/>
                  </w:tcMar>
                  <w:vAlign w:val="center"/>
                </w:tcPr>
                <w:p w14:paraId="40336E71">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15000</w:t>
                  </w:r>
                </w:p>
              </w:tc>
              <w:tc>
                <w:tcPr>
                  <w:tcW w:w="312" w:type="pct"/>
                  <w:noWrap w:val="0"/>
                  <w:tcMar>
                    <w:left w:w="28" w:type="dxa"/>
                    <w:right w:w="28" w:type="dxa"/>
                  </w:tcMar>
                  <w:vAlign w:val="center"/>
                </w:tcPr>
                <w:p w14:paraId="12E88827">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58.83 </w:t>
                  </w:r>
                </w:p>
              </w:tc>
              <w:tc>
                <w:tcPr>
                  <w:tcW w:w="304" w:type="pct"/>
                  <w:noWrap w:val="0"/>
                  <w:tcMar>
                    <w:left w:w="28" w:type="dxa"/>
                    <w:right w:w="28" w:type="dxa"/>
                  </w:tcMar>
                  <w:vAlign w:val="center"/>
                </w:tcPr>
                <w:p w14:paraId="31493413">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0.88 </w:t>
                  </w:r>
                </w:p>
              </w:tc>
              <w:tc>
                <w:tcPr>
                  <w:tcW w:w="750" w:type="dxa"/>
                  <w:noWrap w:val="0"/>
                  <w:tcMar>
                    <w:left w:w="28" w:type="dxa"/>
                    <w:right w:w="28" w:type="dxa"/>
                  </w:tcMar>
                  <w:vAlign w:val="center"/>
                </w:tcPr>
                <w:p w14:paraId="4BD41BB4">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0.353 </w:t>
                  </w:r>
                </w:p>
              </w:tc>
              <w:tc>
                <w:tcPr>
                  <w:tcW w:w="282" w:type="pct"/>
                  <w:noWrap w:val="0"/>
                  <w:tcMar>
                    <w:left w:w="28" w:type="dxa"/>
                    <w:right w:w="28" w:type="dxa"/>
                  </w:tcMar>
                  <w:vAlign w:val="center"/>
                </w:tcPr>
                <w:p w14:paraId="77DF97F8">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40" w:type="pct"/>
                  <w:vMerge w:val="continue"/>
                  <w:noWrap w:val="0"/>
                  <w:tcMar>
                    <w:left w:w="28" w:type="dxa"/>
                    <w:right w:w="28" w:type="dxa"/>
                  </w:tcMar>
                  <w:vAlign w:val="center"/>
                </w:tcPr>
                <w:p w14:paraId="2584FDBB">
                  <w:pPr>
                    <w:jc w:val="center"/>
                    <w:rPr>
                      <w:color w:val="000000" w:themeColor="text1"/>
                      <w:sz w:val="21"/>
                      <w:szCs w:val="21"/>
                      <w:highlight w:val="none"/>
                      <w14:textFill>
                        <w14:solidFill>
                          <w14:schemeClr w14:val="tx1"/>
                        </w14:solidFill>
                      </w14:textFill>
                    </w:rPr>
                  </w:pPr>
                </w:p>
              </w:tc>
              <w:tc>
                <w:tcPr>
                  <w:tcW w:w="252" w:type="pct"/>
                  <w:noWrap w:val="0"/>
                  <w:tcMar>
                    <w:left w:w="28" w:type="dxa"/>
                    <w:right w:w="28" w:type="dxa"/>
                  </w:tcMar>
                  <w:vAlign w:val="center"/>
                </w:tcPr>
                <w:p w14:paraId="5D9839C4">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shd w:val="clear" w:color="auto" w:fill="auto"/>
                  <w:noWrap w:val="0"/>
                  <w:tcMar>
                    <w:left w:w="28" w:type="dxa"/>
                    <w:right w:w="28" w:type="dxa"/>
                  </w:tcMar>
                  <w:vAlign w:val="center"/>
                </w:tcPr>
                <w:p w14:paraId="5E868DA9">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c>
                <w:tcPr>
                  <w:tcW w:w="198" w:type="pct"/>
                  <w:noWrap w:val="0"/>
                  <w:tcMar>
                    <w:left w:w="28" w:type="dxa"/>
                    <w:right w:w="28" w:type="dxa"/>
                  </w:tcMar>
                  <w:vAlign w:val="center"/>
                </w:tcPr>
                <w:p w14:paraId="2BD4F1BF">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774" w:type="dxa"/>
                  <w:noWrap w:val="0"/>
                  <w:tcMar>
                    <w:left w:w="28" w:type="dxa"/>
                    <w:right w:w="28" w:type="dxa"/>
                  </w:tcMar>
                  <w:vAlign w:val="center"/>
                </w:tcPr>
                <w:p w14:paraId="44A78BB3">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14.67 </w:t>
                  </w:r>
                </w:p>
              </w:tc>
              <w:tc>
                <w:tcPr>
                  <w:tcW w:w="698" w:type="dxa"/>
                  <w:noWrap w:val="0"/>
                  <w:tcMar>
                    <w:left w:w="28" w:type="dxa"/>
                    <w:right w:w="28" w:type="dxa"/>
                  </w:tcMar>
                  <w:vAlign w:val="center"/>
                </w:tcPr>
                <w:p w14:paraId="599C2555">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0.220 </w:t>
                  </w:r>
                </w:p>
              </w:tc>
              <w:tc>
                <w:tcPr>
                  <w:tcW w:w="291" w:type="pct"/>
                  <w:noWrap w:val="0"/>
                  <w:tcMar>
                    <w:left w:w="28" w:type="dxa"/>
                    <w:right w:w="28" w:type="dxa"/>
                  </w:tcMar>
                  <w:vAlign w:val="center"/>
                </w:tcPr>
                <w:p w14:paraId="4D7F1945">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0.088 </w:t>
                  </w:r>
                </w:p>
              </w:tc>
            </w:tr>
            <w:tr w14:paraId="29E7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Merge w:val="continue"/>
                  <w:noWrap w:val="0"/>
                  <w:tcMar>
                    <w:left w:w="28" w:type="dxa"/>
                    <w:right w:w="28" w:type="dxa"/>
                  </w:tcMar>
                  <w:vAlign w:val="center"/>
                </w:tcPr>
                <w:p w14:paraId="73E28F32">
                  <w:pPr>
                    <w:jc w:val="center"/>
                    <w:rPr>
                      <w:color w:val="000000" w:themeColor="text1"/>
                      <w:sz w:val="21"/>
                      <w:szCs w:val="21"/>
                      <w:highlight w:val="none"/>
                      <w14:textFill>
                        <w14:solidFill>
                          <w14:schemeClr w14:val="tx1"/>
                        </w14:solidFill>
                      </w14:textFill>
                    </w:rPr>
                  </w:pPr>
                </w:p>
              </w:tc>
              <w:tc>
                <w:tcPr>
                  <w:tcW w:w="368" w:type="pct"/>
                  <w:noWrap w:val="0"/>
                  <w:tcMar>
                    <w:left w:w="28" w:type="dxa"/>
                    <w:right w:w="28" w:type="dxa"/>
                  </w:tcMar>
                  <w:vAlign w:val="center"/>
                </w:tcPr>
                <w:p w14:paraId="3E5C1582">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面漆流平固化</w:t>
                  </w:r>
                </w:p>
              </w:tc>
              <w:tc>
                <w:tcPr>
                  <w:tcW w:w="479" w:type="pct"/>
                  <w:noWrap w:val="0"/>
                  <w:tcMar>
                    <w:left w:w="28" w:type="dxa"/>
                    <w:right w:w="28" w:type="dxa"/>
                  </w:tcMar>
                  <w:vAlign w:val="center"/>
                </w:tcPr>
                <w:p w14:paraId="0B6F40B8">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非甲烷总烃</w:t>
                  </w:r>
                </w:p>
              </w:tc>
              <w:tc>
                <w:tcPr>
                  <w:tcW w:w="304" w:type="pct"/>
                  <w:noWrap w:val="0"/>
                  <w:tcMar>
                    <w:left w:w="28" w:type="dxa"/>
                    <w:right w:w="28" w:type="dxa"/>
                  </w:tcMar>
                  <w:vAlign w:val="center"/>
                </w:tcPr>
                <w:p w14:paraId="6533D642">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15000</w:t>
                  </w:r>
                </w:p>
              </w:tc>
              <w:tc>
                <w:tcPr>
                  <w:tcW w:w="312" w:type="pct"/>
                  <w:noWrap w:val="0"/>
                  <w:tcMar>
                    <w:left w:w="28" w:type="dxa"/>
                    <w:right w:w="28" w:type="dxa"/>
                  </w:tcMar>
                  <w:vAlign w:val="center"/>
                </w:tcPr>
                <w:p w14:paraId="6994FBA0">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18.33 </w:t>
                  </w:r>
                </w:p>
              </w:tc>
              <w:tc>
                <w:tcPr>
                  <w:tcW w:w="304" w:type="pct"/>
                  <w:noWrap w:val="0"/>
                  <w:tcMar>
                    <w:left w:w="28" w:type="dxa"/>
                    <w:right w:w="28" w:type="dxa"/>
                  </w:tcMar>
                  <w:vAlign w:val="center"/>
                </w:tcPr>
                <w:p w14:paraId="1C9FC64A">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0.28 </w:t>
                  </w:r>
                </w:p>
              </w:tc>
              <w:tc>
                <w:tcPr>
                  <w:tcW w:w="750" w:type="dxa"/>
                  <w:noWrap w:val="0"/>
                  <w:tcMar>
                    <w:left w:w="28" w:type="dxa"/>
                    <w:right w:w="28" w:type="dxa"/>
                  </w:tcMar>
                  <w:vAlign w:val="center"/>
                </w:tcPr>
                <w:p w14:paraId="7EE99EC0">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0.066 </w:t>
                  </w:r>
                </w:p>
              </w:tc>
              <w:tc>
                <w:tcPr>
                  <w:tcW w:w="282" w:type="pct"/>
                  <w:noWrap w:val="0"/>
                  <w:tcMar>
                    <w:left w:w="28" w:type="dxa"/>
                    <w:right w:w="28" w:type="dxa"/>
                  </w:tcMar>
                  <w:vAlign w:val="center"/>
                </w:tcPr>
                <w:p w14:paraId="0E7800AC">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40" w:type="pct"/>
                  <w:vMerge w:val="continue"/>
                  <w:noWrap w:val="0"/>
                  <w:tcMar>
                    <w:left w:w="28" w:type="dxa"/>
                    <w:right w:w="28" w:type="dxa"/>
                  </w:tcMar>
                  <w:vAlign w:val="center"/>
                </w:tcPr>
                <w:p w14:paraId="5520A734">
                  <w:pPr>
                    <w:jc w:val="center"/>
                    <w:rPr>
                      <w:color w:val="000000" w:themeColor="text1"/>
                      <w:sz w:val="21"/>
                      <w:szCs w:val="21"/>
                      <w:highlight w:val="none"/>
                      <w14:textFill>
                        <w14:solidFill>
                          <w14:schemeClr w14:val="tx1"/>
                        </w14:solidFill>
                      </w14:textFill>
                    </w:rPr>
                  </w:pPr>
                </w:p>
              </w:tc>
              <w:tc>
                <w:tcPr>
                  <w:tcW w:w="252" w:type="pct"/>
                  <w:noWrap w:val="0"/>
                  <w:tcMar>
                    <w:left w:w="28" w:type="dxa"/>
                    <w:right w:w="28" w:type="dxa"/>
                  </w:tcMar>
                  <w:vAlign w:val="center"/>
                </w:tcPr>
                <w:p w14:paraId="4BD0EFF7">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shd w:val="clear" w:color="auto" w:fill="auto"/>
                  <w:noWrap w:val="0"/>
                  <w:tcMar>
                    <w:left w:w="28" w:type="dxa"/>
                    <w:right w:w="28" w:type="dxa"/>
                  </w:tcMar>
                  <w:vAlign w:val="center"/>
                </w:tcPr>
                <w:p w14:paraId="6430ACFE">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c>
                <w:tcPr>
                  <w:tcW w:w="198" w:type="pct"/>
                  <w:noWrap w:val="0"/>
                  <w:tcMar>
                    <w:left w:w="28" w:type="dxa"/>
                    <w:right w:w="28" w:type="dxa"/>
                  </w:tcMar>
                  <w:vAlign w:val="center"/>
                </w:tcPr>
                <w:p w14:paraId="7FFBA390">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240</w:t>
                  </w:r>
                </w:p>
              </w:tc>
              <w:tc>
                <w:tcPr>
                  <w:tcW w:w="774" w:type="dxa"/>
                  <w:noWrap w:val="0"/>
                  <w:tcMar>
                    <w:left w:w="28" w:type="dxa"/>
                    <w:right w:w="28" w:type="dxa"/>
                  </w:tcMar>
                  <w:vAlign w:val="center"/>
                </w:tcPr>
                <w:p w14:paraId="358B6123">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4.72 </w:t>
                  </w:r>
                </w:p>
              </w:tc>
              <w:tc>
                <w:tcPr>
                  <w:tcW w:w="698" w:type="dxa"/>
                  <w:noWrap w:val="0"/>
                  <w:tcMar>
                    <w:left w:w="28" w:type="dxa"/>
                    <w:right w:w="28" w:type="dxa"/>
                  </w:tcMar>
                  <w:vAlign w:val="center"/>
                </w:tcPr>
                <w:p w14:paraId="65C83C14">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0.071 </w:t>
                  </w:r>
                </w:p>
              </w:tc>
              <w:tc>
                <w:tcPr>
                  <w:tcW w:w="291" w:type="pct"/>
                  <w:noWrap w:val="0"/>
                  <w:tcMar>
                    <w:left w:w="28" w:type="dxa"/>
                    <w:right w:w="28" w:type="dxa"/>
                  </w:tcMar>
                  <w:vAlign w:val="center"/>
                </w:tcPr>
                <w:p w14:paraId="4A2A3A47">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0.017 </w:t>
                  </w:r>
                </w:p>
              </w:tc>
            </w:tr>
            <w:tr w14:paraId="3CC8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vMerge w:val="continue"/>
                  <w:noWrap w:val="0"/>
                  <w:tcMar>
                    <w:left w:w="28" w:type="dxa"/>
                    <w:right w:w="28" w:type="dxa"/>
                  </w:tcMar>
                  <w:vAlign w:val="center"/>
                </w:tcPr>
                <w:p w14:paraId="6F0D97C6">
                  <w:pPr>
                    <w:jc w:val="center"/>
                    <w:rPr>
                      <w:color w:val="000000" w:themeColor="text1"/>
                      <w:sz w:val="21"/>
                      <w:szCs w:val="21"/>
                      <w:highlight w:val="none"/>
                      <w14:textFill>
                        <w14:solidFill>
                          <w14:schemeClr w14:val="tx1"/>
                        </w14:solidFill>
                      </w14:textFill>
                    </w:rPr>
                  </w:pPr>
                </w:p>
              </w:tc>
              <w:tc>
                <w:tcPr>
                  <w:tcW w:w="368" w:type="pct"/>
                  <w:noWrap w:val="0"/>
                  <w:tcMar>
                    <w:left w:w="28" w:type="dxa"/>
                    <w:right w:w="28" w:type="dxa"/>
                  </w:tcMar>
                  <w:vAlign w:val="center"/>
                </w:tcPr>
                <w:p w14:paraId="1ADF57BE">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面漆</w:t>
                  </w:r>
                  <w:r>
                    <w:rPr>
                      <w:rFonts w:hint="eastAsia"/>
                      <w:color w:val="000000" w:themeColor="text1"/>
                      <w:kern w:val="0"/>
                      <w:sz w:val="21"/>
                      <w:szCs w:val="21"/>
                      <w:highlight w:val="none"/>
                      <w:lang w:val="en-US" w:eastAsia="zh-CN" w:bidi="ar"/>
                      <w14:textFill>
                        <w14:solidFill>
                          <w14:schemeClr w14:val="tx1"/>
                        </w14:solidFill>
                      </w14:textFill>
                    </w:rPr>
                    <w:t>烘干</w:t>
                  </w:r>
                </w:p>
              </w:tc>
              <w:tc>
                <w:tcPr>
                  <w:tcW w:w="479" w:type="pct"/>
                  <w:noWrap w:val="0"/>
                  <w:tcMar>
                    <w:left w:w="28" w:type="dxa"/>
                    <w:right w:w="28" w:type="dxa"/>
                  </w:tcMar>
                  <w:vAlign w:val="center"/>
                </w:tcPr>
                <w:p w14:paraId="4A3A9005">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非甲烷总烃</w:t>
                  </w:r>
                </w:p>
              </w:tc>
              <w:tc>
                <w:tcPr>
                  <w:tcW w:w="304" w:type="pct"/>
                  <w:noWrap w:val="0"/>
                  <w:tcMar>
                    <w:left w:w="28" w:type="dxa"/>
                    <w:right w:w="28" w:type="dxa"/>
                  </w:tcMar>
                  <w:vAlign w:val="center"/>
                </w:tcPr>
                <w:p w14:paraId="4827F777">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2000</w:t>
                  </w:r>
                </w:p>
              </w:tc>
              <w:tc>
                <w:tcPr>
                  <w:tcW w:w="312" w:type="pct"/>
                  <w:noWrap w:val="0"/>
                  <w:tcMar>
                    <w:left w:w="28" w:type="dxa"/>
                    <w:right w:w="28" w:type="dxa"/>
                  </w:tcMar>
                  <w:vAlign w:val="center"/>
                </w:tcPr>
                <w:p w14:paraId="0C6B0341">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22.00 </w:t>
                  </w:r>
                </w:p>
              </w:tc>
              <w:tc>
                <w:tcPr>
                  <w:tcW w:w="304" w:type="pct"/>
                  <w:noWrap w:val="0"/>
                  <w:tcMar>
                    <w:left w:w="28" w:type="dxa"/>
                    <w:right w:w="28" w:type="dxa"/>
                  </w:tcMar>
                  <w:vAlign w:val="center"/>
                </w:tcPr>
                <w:p w14:paraId="6F085EEE">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 </w:t>
                  </w:r>
                </w:p>
              </w:tc>
              <w:tc>
                <w:tcPr>
                  <w:tcW w:w="750" w:type="dxa"/>
                  <w:noWrap w:val="0"/>
                  <w:tcMar>
                    <w:left w:w="28" w:type="dxa"/>
                    <w:right w:w="28" w:type="dxa"/>
                  </w:tcMar>
                  <w:vAlign w:val="center"/>
                </w:tcPr>
                <w:p w14:paraId="10729362">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0.022 </w:t>
                  </w:r>
                </w:p>
              </w:tc>
              <w:tc>
                <w:tcPr>
                  <w:tcW w:w="282" w:type="pct"/>
                  <w:noWrap w:val="0"/>
                  <w:tcMar>
                    <w:left w:w="28" w:type="dxa"/>
                    <w:right w:w="28" w:type="dxa"/>
                  </w:tcMar>
                  <w:vAlign w:val="center"/>
                </w:tcPr>
                <w:p w14:paraId="54B61026">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40" w:type="pct"/>
                  <w:vMerge w:val="continue"/>
                  <w:noWrap w:val="0"/>
                  <w:tcMar>
                    <w:left w:w="28" w:type="dxa"/>
                    <w:right w:w="28" w:type="dxa"/>
                  </w:tcMar>
                  <w:vAlign w:val="center"/>
                </w:tcPr>
                <w:p w14:paraId="07BFC620">
                  <w:pPr>
                    <w:jc w:val="center"/>
                    <w:rPr>
                      <w:color w:val="000000" w:themeColor="text1"/>
                      <w:sz w:val="21"/>
                      <w:szCs w:val="21"/>
                      <w:highlight w:val="none"/>
                      <w14:textFill>
                        <w14:solidFill>
                          <w14:schemeClr w14:val="tx1"/>
                        </w14:solidFill>
                      </w14:textFill>
                    </w:rPr>
                  </w:pPr>
                </w:p>
              </w:tc>
              <w:tc>
                <w:tcPr>
                  <w:tcW w:w="252" w:type="pct"/>
                  <w:noWrap w:val="0"/>
                  <w:tcMar>
                    <w:left w:w="28" w:type="dxa"/>
                    <w:right w:w="28" w:type="dxa"/>
                  </w:tcMar>
                  <w:vAlign w:val="center"/>
                </w:tcPr>
                <w:p w14:paraId="39B2BFBC">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shd w:val="clear" w:color="auto" w:fill="auto"/>
                  <w:noWrap w:val="0"/>
                  <w:tcMar>
                    <w:left w:w="28" w:type="dxa"/>
                    <w:right w:w="28" w:type="dxa"/>
                  </w:tcMar>
                  <w:vAlign w:val="center"/>
                </w:tcPr>
                <w:p w14:paraId="3EE5D9CD">
                  <w:pPr>
                    <w:keepNext w:val="0"/>
                    <w:keepLines w:val="0"/>
                    <w:widowControl/>
                    <w:suppressLineNumbers w:val="0"/>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c>
                <w:tcPr>
                  <w:tcW w:w="198" w:type="pct"/>
                  <w:noWrap w:val="0"/>
                  <w:tcMar>
                    <w:left w:w="28" w:type="dxa"/>
                    <w:right w:w="28" w:type="dxa"/>
                  </w:tcMar>
                  <w:vAlign w:val="center"/>
                </w:tcPr>
                <w:p w14:paraId="48974750">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774" w:type="dxa"/>
                  <w:noWrap w:val="0"/>
                  <w:tcMar>
                    <w:left w:w="28" w:type="dxa"/>
                    <w:right w:w="28" w:type="dxa"/>
                  </w:tcMar>
                  <w:vAlign w:val="center"/>
                </w:tcPr>
                <w:p w14:paraId="12571D60">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6.00 </w:t>
                  </w:r>
                </w:p>
              </w:tc>
              <w:tc>
                <w:tcPr>
                  <w:tcW w:w="698" w:type="dxa"/>
                  <w:noWrap w:val="0"/>
                  <w:tcMar>
                    <w:left w:w="28" w:type="dxa"/>
                    <w:right w:w="28" w:type="dxa"/>
                  </w:tcMar>
                  <w:vAlign w:val="center"/>
                </w:tcPr>
                <w:p w14:paraId="7FE1407D">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0.012 </w:t>
                  </w:r>
                </w:p>
              </w:tc>
              <w:tc>
                <w:tcPr>
                  <w:tcW w:w="291" w:type="pct"/>
                  <w:noWrap w:val="0"/>
                  <w:tcMar>
                    <w:left w:w="28" w:type="dxa"/>
                    <w:right w:w="28" w:type="dxa"/>
                  </w:tcMar>
                  <w:vAlign w:val="center"/>
                </w:tcPr>
                <w:p w14:paraId="2F47C113">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0.006 </w:t>
                  </w:r>
                </w:p>
              </w:tc>
            </w:tr>
            <w:tr w14:paraId="639A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8" w:type="pct"/>
                  <w:vMerge w:val="continue"/>
                  <w:noWrap w:val="0"/>
                  <w:tcMar>
                    <w:left w:w="28" w:type="dxa"/>
                    <w:right w:w="28" w:type="dxa"/>
                  </w:tcMar>
                  <w:vAlign w:val="center"/>
                </w:tcPr>
                <w:p w14:paraId="2DD13FCE">
                  <w:pPr>
                    <w:jc w:val="center"/>
                    <w:rPr>
                      <w:color w:val="000000" w:themeColor="text1"/>
                      <w:sz w:val="21"/>
                      <w:szCs w:val="21"/>
                      <w:highlight w:val="none"/>
                      <w14:textFill>
                        <w14:solidFill>
                          <w14:schemeClr w14:val="tx1"/>
                        </w14:solidFill>
                      </w14:textFill>
                    </w:rPr>
                  </w:pPr>
                </w:p>
              </w:tc>
              <w:tc>
                <w:tcPr>
                  <w:tcW w:w="368" w:type="pct"/>
                  <w:vMerge w:val="restart"/>
                  <w:noWrap w:val="0"/>
                  <w:tcMar>
                    <w:left w:w="28" w:type="dxa"/>
                    <w:right w:w="28" w:type="dxa"/>
                  </w:tcMar>
                  <w:vAlign w:val="center"/>
                </w:tcPr>
                <w:p w14:paraId="7F7523CF">
                  <w:pPr>
                    <w:widowControl/>
                    <w:jc w:val="center"/>
                    <w:textAlignment w:val="center"/>
                    <w:rPr>
                      <w:rFonts w:hint="default" w:eastAsia="宋体"/>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天然气燃烧</w:t>
                  </w:r>
                </w:p>
              </w:tc>
              <w:tc>
                <w:tcPr>
                  <w:tcW w:w="479" w:type="pct"/>
                  <w:noWrap w:val="0"/>
                  <w:tcMar>
                    <w:left w:w="28" w:type="dxa"/>
                    <w:right w:w="28" w:type="dxa"/>
                  </w:tcMar>
                  <w:vAlign w:val="center"/>
                </w:tcPr>
                <w:p w14:paraId="02A75D31">
                  <w:pPr>
                    <w:widowControl/>
                    <w:jc w:val="center"/>
                    <w:textAlignment w:val="center"/>
                    <w:rPr>
                      <w:rFonts w:hint="default" w:eastAsia="宋体"/>
                      <w:color w:val="000000" w:themeColor="text1"/>
                      <w:kern w:val="0"/>
                      <w:sz w:val="21"/>
                      <w:szCs w:val="21"/>
                      <w:highlight w:val="none"/>
                      <w:vertAlign w:val="subscript"/>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SO</w:t>
                  </w:r>
                  <w:r>
                    <w:rPr>
                      <w:rFonts w:hint="eastAsia"/>
                      <w:color w:val="000000" w:themeColor="text1"/>
                      <w:kern w:val="0"/>
                      <w:sz w:val="21"/>
                      <w:szCs w:val="21"/>
                      <w:highlight w:val="none"/>
                      <w:vertAlign w:val="subscript"/>
                      <w:lang w:val="en-US" w:eastAsia="zh-CN" w:bidi="ar"/>
                      <w14:textFill>
                        <w14:solidFill>
                          <w14:schemeClr w14:val="tx1"/>
                        </w14:solidFill>
                      </w14:textFill>
                    </w:rPr>
                    <w:t>2</w:t>
                  </w:r>
                </w:p>
              </w:tc>
              <w:tc>
                <w:tcPr>
                  <w:tcW w:w="304" w:type="pct"/>
                  <w:noWrap w:val="0"/>
                  <w:tcMar>
                    <w:left w:w="28" w:type="dxa"/>
                    <w:right w:w="28" w:type="dxa"/>
                  </w:tcMar>
                  <w:vAlign w:val="center"/>
                </w:tcPr>
                <w:p w14:paraId="1D0ECAD0">
                  <w:pPr>
                    <w:keepNext w:val="0"/>
                    <w:keepLines w:val="0"/>
                    <w:widowControl/>
                    <w:suppressLineNumbers w:val="0"/>
                    <w:jc w:val="center"/>
                    <w:textAlignment w:val="center"/>
                    <w:rPr>
                      <w:color w:val="0000FF"/>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1020</w:t>
                  </w:r>
                </w:p>
              </w:tc>
              <w:tc>
                <w:tcPr>
                  <w:tcW w:w="312" w:type="pct"/>
                  <w:noWrap w:val="0"/>
                  <w:tcMar>
                    <w:left w:w="28" w:type="dxa"/>
                    <w:right w:w="28" w:type="dxa"/>
                  </w:tcMar>
                  <w:vAlign w:val="center"/>
                </w:tcPr>
                <w:p w14:paraId="51A835F4">
                  <w:pPr>
                    <w:keepNext w:val="0"/>
                    <w:keepLines w:val="0"/>
                    <w:widowControl/>
                    <w:suppressLineNumbers w:val="0"/>
                    <w:jc w:val="center"/>
                    <w:textAlignment w:val="center"/>
                    <w:rPr>
                      <w:color w:val="0000FF"/>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14.71 </w:t>
                  </w:r>
                </w:p>
              </w:tc>
              <w:tc>
                <w:tcPr>
                  <w:tcW w:w="304" w:type="pct"/>
                  <w:noWrap w:val="0"/>
                  <w:tcMar>
                    <w:left w:w="28" w:type="dxa"/>
                    <w:right w:w="28" w:type="dxa"/>
                  </w:tcMar>
                  <w:vAlign w:val="center"/>
                </w:tcPr>
                <w:p w14:paraId="32BB36CB">
                  <w:pPr>
                    <w:keepNext w:val="0"/>
                    <w:keepLines w:val="0"/>
                    <w:widowControl/>
                    <w:suppressLineNumbers w:val="0"/>
                    <w:jc w:val="center"/>
                    <w:textAlignment w:val="center"/>
                    <w:rPr>
                      <w:color w:val="0000FF"/>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750" w:type="dxa"/>
                  <w:noWrap w:val="0"/>
                  <w:tcMar>
                    <w:left w:w="28" w:type="dxa"/>
                    <w:right w:w="28" w:type="dxa"/>
                  </w:tcMar>
                  <w:vAlign w:val="center"/>
                </w:tcPr>
                <w:p w14:paraId="32BA397C">
                  <w:pPr>
                    <w:keepNext w:val="0"/>
                    <w:keepLines w:val="0"/>
                    <w:widowControl/>
                    <w:suppressLineNumbers w:val="0"/>
                    <w:jc w:val="center"/>
                    <w:textAlignment w:val="center"/>
                    <w:rPr>
                      <w:color w:val="0000FF"/>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0.015 </w:t>
                  </w:r>
                </w:p>
              </w:tc>
              <w:tc>
                <w:tcPr>
                  <w:tcW w:w="282" w:type="pct"/>
                  <w:noWrap w:val="0"/>
                  <w:tcMar>
                    <w:left w:w="28" w:type="dxa"/>
                    <w:right w:w="28" w:type="dxa"/>
                  </w:tcMar>
                  <w:vAlign w:val="center"/>
                </w:tcPr>
                <w:p w14:paraId="37B05207">
                  <w:pPr>
                    <w:keepNext w:val="0"/>
                    <w:keepLines w:val="0"/>
                    <w:widowControl/>
                    <w:suppressLineNumbers w:val="0"/>
                    <w:jc w:val="center"/>
                    <w:textAlignment w:val="center"/>
                    <w:rPr>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740" w:type="pct"/>
                  <w:noWrap w:val="0"/>
                  <w:tcMar>
                    <w:left w:w="28" w:type="dxa"/>
                    <w:right w:w="28" w:type="dxa"/>
                  </w:tcMar>
                  <w:vAlign w:val="center"/>
                </w:tcPr>
                <w:p w14:paraId="6F9E7D2B">
                  <w:pPr>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通过15m高排气筒排放（DA002）</w:t>
                  </w:r>
                </w:p>
              </w:tc>
              <w:tc>
                <w:tcPr>
                  <w:tcW w:w="252" w:type="pct"/>
                  <w:noWrap w:val="0"/>
                  <w:tcMar>
                    <w:left w:w="28" w:type="dxa"/>
                    <w:right w:w="28" w:type="dxa"/>
                  </w:tcMar>
                  <w:vAlign w:val="center"/>
                </w:tcPr>
                <w:p w14:paraId="688F4429">
                  <w:pPr>
                    <w:keepNext w:val="0"/>
                    <w:keepLines w:val="0"/>
                    <w:widowControl/>
                    <w:suppressLineNumbers w:val="0"/>
                    <w:jc w:val="center"/>
                    <w:textAlignment w:val="center"/>
                    <w:rPr>
                      <w:color w:val="000000" w:themeColor="text1"/>
                      <w:kern w:val="0"/>
                      <w:sz w:val="21"/>
                      <w:szCs w:val="21"/>
                      <w:highlight w:val="none"/>
                      <w:lang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280" w:type="pct"/>
                  <w:shd w:val="clear" w:color="auto" w:fill="auto"/>
                  <w:noWrap w:val="0"/>
                  <w:tcMar>
                    <w:left w:w="28" w:type="dxa"/>
                    <w:right w:w="28" w:type="dxa"/>
                  </w:tcMar>
                  <w:vAlign w:val="center"/>
                </w:tcPr>
                <w:p w14:paraId="3CC212EB">
                  <w:pPr>
                    <w:keepNext w:val="0"/>
                    <w:keepLines w:val="0"/>
                    <w:widowControl/>
                    <w:suppressLineNumbers w:val="0"/>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98" w:type="pct"/>
                  <w:noWrap w:val="0"/>
                  <w:tcMar>
                    <w:left w:w="28" w:type="dxa"/>
                    <w:right w:w="28" w:type="dxa"/>
                  </w:tcMar>
                  <w:vAlign w:val="center"/>
                </w:tcPr>
                <w:p w14:paraId="26ADBB4C">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w:t>
                  </w:r>
                </w:p>
              </w:tc>
              <w:tc>
                <w:tcPr>
                  <w:tcW w:w="309" w:type="pct"/>
                  <w:noWrap w:val="0"/>
                  <w:tcMar>
                    <w:left w:w="28" w:type="dxa"/>
                    <w:right w:w="28" w:type="dxa"/>
                  </w:tcMar>
                  <w:vAlign w:val="center"/>
                </w:tcPr>
                <w:p w14:paraId="071807C3">
                  <w:pPr>
                    <w:keepNext w:val="0"/>
                    <w:keepLines w:val="0"/>
                    <w:widowControl/>
                    <w:suppressLineNumbers w:val="0"/>
                    <w:jc w:val="center"/>
                    <w:textAlignment w:val="center"/>
                    <w:rPr>
                      <w:color w:val="0000FF"/>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14.71 </w:t>
                  </w:r>
                </w:p>
              </w:tc>
              <w:tc>
                <w:tcPr>
                  <w:tcW w:w="278" w:type="pct"/>
                  <w:noWrap w:val="0"/>
                  <w:tcMar>
                    <w:left w:w="28" w:type="dxa"/>
                    <w:right w:w="28" w:type="dxa"/>
                  </w:tcMar>
                  <w:vAlign w:val="center"/>
                </w:tcPr>
                <w:p w14:paraId="51389E95">
                  <w:pPr>
                    <w:keepNext w:val="0"/>
                    <w:keepLines w:val="0"/>
                    <w:widowControl/>
                    <w:suppressLineNumbers w:val="0"/>
                    <w:jc w:val="center"/>
                    <w:textAlignment w:val="center"/>
                    <w:rPr>
                      <w:color w:val="0000FF"/>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0.015 </w:t>
                  </w:r>
                </w:p>
              </w:tc>
              <w:tc>
                <w:tcPr>
                  <w:tcW w:w="291" w:type="pct"/>
                  <w:noWrap w:val="0"/>
                  <w:tcMar>
                    <w:left w:w="28" w:type="dxa"/>
                    <w:right w:w="28" w:type="dxa"/>
                  </w:tcMar>
                  <w:vAlign w:val="center"/>
                </w:tcPr>
                <w:p w14:paraId="56FC0280">
                  <w:pPr>
                    <w:keepNext w:val="0"/>
                    <w:keepLines w:val="0"/>
                    <w:widowControl/>
                    <w:suppressLineNumbers w:val="0"/>
                    <w:jc w:val="center"/>
                    <w:textAlignment w:val="center"/>
                    <w:rPr>
                      <w:color w:val="0000FF"/>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0.015 </w:t>
                  </w:r>
                </w:p>
              </w:tc>
            </w:tr>
            <w:tr w14:paraId="5CA7F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8" w:type="pct"/>
                  <w:vMerge w:val="continue"/>
                  <w:noWrap w:val="0"/>
                  <w:tcMar>
                    <w:left w:w="28" w:type="dxa"/>
                    <w:right w:w="28" w:type="dxa"/>
                  </w:tcMar>
                  <w:vAlign w:val="center"/>
                </w:tcPr>
                <w:p w14:paraId="37F783E0">
                  <w:pPr>
                    <w:widowControl/>
                    <w:jc w:val="center"/>
                    <w:textAlignment w:val="center"/>
                    <w:rPr>
                      <w:color w:val="000000" w:themeColor="text1"/>
                      <w:sz w:val="21"/>
                      <w:szCs w:val="21"/>
                      <w14:textFill>
                        <w14:solidFill>
                          <w14:schemeClr w14:val="tx1"/>
                        </w14:solidFill>
                      </w14:textFill>
                    </w:rPr>
                  </w:pPr>
                </w:p>
              </w:tc>
              <w:tc>
                <w:tcPr>
                  <w:tcW w:w="368" w:type="pct"/>
                  <w:vMerge w:val="continue"/>
                  <w:noWrap w:val="0"/>
                  <w:tcMar>
                    <w:left w:w="28" w:type="dxa"/>
                    <w:right w:w="28" w:type="dxa"/>
                  </w:tcMar>
                  <w:vAlign w:val="center"/>
                </w:tcPr>
                <w:p w14:paraId="6E29BD2A">
                  <w:pPr>
                    <w:widowControl/>
                    <w:jc w:val="center"/>
                    <w:textAlignment w:val="center"/>
                    <w:rPr>
                      <w:color w:val="000000" w:themeColor="text1"/>
                      <w:sz w:val="21"/>
                      <w:szCs w:val="21"/>
                      <w14:textFill>
                        <w14:solidFill>
                          <w14:schemeClr w14:val="tx1"/>
                        </w14:solidFill>
                      </w14:textFill>
                    </w:rPr>
                  </w:pPr>
                </w:p>
              </w:tc>
              <w:tc>
                <w:tcPr>
                  <w:tcW w:w="479" w:type="pct"/>
                  <w:noWrap w:val="0"/>
                  <w:tcMar>
                    <w:left w:w="28" w:type="dxa"/>
                    <w:right w:w="28" w:type="dxa"/>
                  </w:tcMar>
                  <w:vAlign w:val="center"/>
                </w:tcPr>
                <w:p w14:paraId="6CCC7DD8">
                  <w:pPr>
                    <w:widowControl/>
                    <w:jc w:val="center"/>
                    <w:textAlignment w:val="center"/>
                    <w:rPr>
                      <w:rFonts w:hint="default" w:eastAsia="宋体"/>
                      <w:color w:val="000000" w:themeColor="text1"/>
                      <w:kern w:val="0"/>
                      <w:sz w:val="21"/>
                      <w:szCs w:val="21"/>
                      <w:highlight w:val="none"/>
                      <w:vertAlign w:val="subscript"/>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NO</w:t>
                  </w:r>
                  <w:r>
                    <w:rPr>
                      <w:rFonts w:hint="eastAsia"/>
                      <w:color w:val="000000" w:themeColor="text1"/>
                      <w:kern w:val="0"/>
                      <w:sz w:val="21"/>
                      <w:szCs w:val="21"/>
                      <w:highlight w:val="none"/>
                      <w:vertAlign w:val="subscript"/>
                      <w:lang w:val="en-US" w:eastAsia="zh-CN" w:bidi="ar"/>
                      <w14:textFill>
                        <w14:solidFill>
                          <w14:schemeClr w14:val="tx1"/>
                        </w14:solidFill>
                      </w14:textFill>
                    </w:rPr>
                    <w:t>X</w:t>
                  </w:r>
                </w:p>
              </w:tc>
              <w:tc>
                <w:tcPr>
                  <w:tcW w:w="304" w:type="pct"/>
                  <w:noWrap w:val="0"/>
                  <w:tcMar>
                    <w:left w:w="28" w:type="dxa"/>
                    <w:right w:w="28" w:type="dxa"/>
                  </w:tcMar>
                  <w:vAlign w:val="center"/>
                </w:tcPr>
                <w:p w14:paraId="269C3A32">
                  <w:pPr>
                    <w:keepNext w:val="0"/>
                    <w:keepLines w:val="0"/>
                    <w:widowControl/>
                    <w:suppressLineNumbers w:val="0"/>
                    <w:jc w:val="center"/>
                    <w:textAlignment w:val="center"/>
                    <w:rPr>
                      <w:color w:val="0000FF"/>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1020</w:t>
                  </w:r>
                </w:p>
              </w:tc>
              <w:tc>
                <w:tcPr>
                  <w:tcW w:w="312" w:type="pct"/>
                  <w:noWrap w:val="0"/>
                  <w:tcMar>
                    <w:left w:w="28" w:type="dxa"/>
                    <w:right w:w="28" w:type="dxa"/>
                  </w:tcMar>
                  <w:vAlign w:val="center"/>
                </w:tcPr>
                <w:p w14:paraId="35E7CDFD">
                  <w:pPr>
                    <w:keepNext w:val="0"/>
                    <w:keepLines w:val="0"/>
                    <w:widowControl/>
                    <w:suppressLineNumbers w:val="0"/>
                    <w:jc w:val="center"/>
                    <w:textAlignment w:val="center"/>
                    <w:rPr>
                      <w:color w:val="0000FF"/>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137.50 </w:t>
                  </w:r>
                </w:p>
              </w:tc>
              <w:tc>
                <w:tcPr>
                  <w:tcW w:w="304" w:type="pct"/>
                  <w:noWrap w:val="0"/>
                  <w:tcMar>
                    <w:left w:w="28" w:type="dxa"/>
                    <w:right w:w="28" w:type="dxa"/>
                  </w:tcMar>
                  <w:vAlign w:val="center"/>
                </w:tcPr>
                <w:p w14:paraId="1FC10537">
                  <w:pPr>
                    <w:keepNext w:val="0"/>
                    <w:keepLines w:val="0"/>
                    <w:widowControl/>
                    <w:suppressLineNumbers w:val="0"/>
                    <w:jc w:val="center"/>
                    <w:textAlignment w:val="center"/>
                    <w:rPr>
                      <w:color w:val="0000FF"/>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0.14 </w:t>
                  </w:r>
                </w:p>
              </w:tc>
              <w:tc>
                <w:tcPr>
                  <w:tcW w:w="750" w:type="dxa"/>
                  <w:noWrap w:val="0"/>
                  <w:tcMar>
                    <w:left w:w="28" w:type="dxa"/>
                    <w:right w:w="28" w:type="dxa"/>
                  </w:tcMar>
                  <w:vAlign w:val="center"/>
                </w:tcPr>
                <w:p w14:paraId="21B0E3E9">
                  <w:pPr>
                    <w:keepNext w:val="0"/>
                    <w:keepLines w:val="0"/>
                    <w:widowControl/>
                    <w:suppressLineNumbers w:val="0"/>
                    <w:jc w:val="center"/>
                    <w:textAlignment w:val="center"/>
                    <w:rPr>
                      <w:color w:val="0000FF"/>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0.140 </w:t>
                  </w:r>
                </w:p>
              </w:tc>
              <w:tc>
                <w:tcPr>
                  <w:tcW w:w="282" w:type="pct"/>
                  <w:noWrap w:val="0"/>
                  <w:tcMar>
                    <w:left w:w="28" w:type="dxa"/>
                    <w:right w:w="28" w:type="dxa"/>
                  </w:tcMar>
                  <w:vAlign w:val="center"/>
                </w:tcPr>
                <w:p w14:paraId="31936326">
                  <w:pPr>
                    <w:keepNext w:val="0"/>
                    <w:keepLines w:val="0"/>
                    <w:widowControl/>
                    <w:suppressLineNumbers w:val="0"/>
                    <w:jc w:val="center"/>
                    <w:textAlignment w:val="center"/>
                    <w:rPr>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740" w:type="pct"/>
                  <w:noWrap w:val="0"/>
                  <w:tcMar>
                    <w:left w:w="28" w:type="dxa"/>
                    <w:right w:w="28" w:type="dxa"/>
                  </w:tcMar>
                  <w:vAlign w:val="center"/>
                </w:tcPr>
                <w:p w14:paraId="0341072B">
                  <w:pPr>
                    <w:widowControl/>
                    <w:jc w:val="center"/>
                    <w:textAlignment w:val="center"/>
                    <w:rPr>
                      <w:color w:val="000000" w:themeColor="text1"/>
                      <w:kern w:val="0"/>
                      <w:sz w:val="21"/>
                      <w:szCs w:val="21"/>
                      <w:highlight w:val="none"/>
                      <w:lang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采用低氮燃烧技术后通过15m高排气筒排放（DA002）</w:t>
                  </w:r>
                </w:p>
              </w:tc>
              <w:tc>
                <w:tcPr>
                  <w:tcW w:w="252" w:type="pct"/>
                  <w:shd w:val="clear" w:color="auto" w:fill="auto"/>
                  <w:noWrap w:val="0"/>
                  <w:tcMar>
                    <w:left w:w="28" w:type="dxa"/>
                    <w:right w:w="28" w:type="dxa"/>
                  </w:tcMar>
                  <w:vAlign w:val="center"/>
                </w:tcPr>
                <w:p w14:paraId="0C286AF3">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shd w:val="clear" w:color="auto" w:fill="auto"/>
                  <w:noWrap w:val="0"/>
                  <w:tcMar>
                    <w:left w:w="28" w:type="dxa"/>
                    <w:right w:w="28" w:type="dxa"/>
                  </w:tcMar>
                  <w:vAlign w:val="center"/>
                </w:tcPr>
                <w:p w14:paraId="5205611F">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98" w:type="pct"/>
                  <w:noWrap w:val="0"/>
                  <w:tcMar>
                    <w:left w:w="28" w:type="dxa"/>
                    <w:right w:w="28" w:type="dxa"/>
                  </w:tcMar>
                  <w:vAlign w:val="center"/>
                </w:tcPr>
                <w:p w14:paraId="44530230">
                  <w:pPr>
                    <w:keepNext w:val="0"/>
                    <w:keepLines w:val="0"/>
                    <w:widowControl/>
                    <w:suppressLineNumbers w:val="0"/>
                    <w:jc w:val="center"/>
                    <w:textAlignment w:val="center"/>
                    <w:rPr>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w:t>
                  </w:r>
                </w:p>
              </w:tc>
              <w:tc>
                <w:tcPr>
                  <w:tcW w:w="774" w:type="dxa"/>
                  <w:noWrap w:val="0"/>
                  <w:tcMar>
                    <w:left w:w="28" w:type="dxa"/>
                    <w:right w:w="28" w:type="dxa"/>
                  </w:tcMar>
                  <w:vAlign w:val="center"/>
                </w:tcPr>
                <w:p w14:paraId="1E09EC07">
                  <w:pPr>
                    <w:keepNext w:val="0"/>
                    <w:keepLines w:val="0"/>
                    <w:widowControl/>
                    <w:suppressLineNumbers w:val="0"/>
                    <w:jc w:val="center"/>
                    <w:textAlignment w:val="center"/>
                    <w:rPr>
                      <w:color w:val="0000FF"/>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68.75 </w:t>
                  </w:r>
                </w:p>
              </w:tc>
              <w:tc>
                <w:tcPr>
                  <w:tcW w:w="698" w:type="dxa"/>
                  <w:noWrap w:val="0"/>
                  <w:tcMar>
                    <w:left w:w="28" w:type="dxa"/>
                    <w:right w:w="28" w:type="dxa"/>
                  </w:tcMar>
                  <w:vAlign w:val="center"/>
                </w:tcPr>
                <w:p w14:paraId="61A87DE8">
                  <w:pPr>
                    <w:keepNext w:val="0"/>
                    <w:keepLines w:val="0"/>
                    <w:widowControl/>
                    <w:suppressLineNumbers w:val="0"/>
                    <w:jc w:val="center"/>
                    <w:textAlignment w:val="center"/>
                    <w:rPr>
                      <w:color w:val="0000FF"/>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0.070 </w:t>
                  </w:r>
                </w:p>
              </w:tc>
              <w:tc>
                <w:tcPr>
                  <w:tcW w:w="729" w:type="dxa"/>
                  <w:noWrap w:val="0"/>
                  <w:tcMar>
                    <w:left w:w="28" w:type="dxa"/>
                    <w:right w:w="28" w:type="dxa"/>
                  </w:tcMar>
                  <w:vAlign w:val="center"/>
                </w:tcPr>
                <w:p w14:paraId="26CDB05A">
                  <w:pPr>
                    <w:keepNext w:val="0"/>
                    <w:keepLines w:val="0"/>
                    <w:widowControl/>
                    <w:suppressLineNumbers w:val="0"/>
                    <w:jc w:val="center"/>
                    <w:textAlignment w:val="center"/>
                    <w:rPr>
                      <w:color w:val="0000FF"/>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0.070 </w:t>
                  </w:r>
                </w:p>
              </w:tc>
            </w:tr>
            <w:tr w14:paraId="04D4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8" w:type="pct"/>
                  <w:vMerge w:val="continue"/>
                  <w:noWrap w:val="0"/>
                  <w:tcMar>
                    <w:left w:w="28" w:type="dxa"/>
                    <w:right w:w="28" w:type="dxa"/>
                  </w:tcMar>
                  <w:vAlign w:val="center"/>
                </w:tcPr>
                <w:p w14:paraId="5DB5D17E">
                  <w:pPr>
                    <w:widowControl/>
                    <w:jc w:val="center"/>
                    <w:textAlignment w:val="center"/>
                    <w:rPr>
                      <w:color w:val="000000" w:themeColor="text1"/>
                      <w:kern w:val="0"/>
                      <w:sz w:val="21"/>
                      <w:szCs w:val="21"/>
                      <w:highlight w:val="none"/>
                      <w:lang w:bidi="ar"/>
                      <w14:textFill>
                        <w14:solidFill>
                          <w14:schemeClr w14:val="tx1"/>
                        </w14:solidFill>
                      </w14:textFill>
                    </w:rPr>
                  </w:pPr>
                </w:p>
              </w:tc>
              <w:tc>
                <w:tcPr>
                  <w:tcW w:w="368" w:type="pct"/>
                  <w:vMerge w:val="continue"/>
                  <w:noWrap w:val="0"/>
                  <w:tcMar>
                    <w:left w:w="28" w:type="dxa"/>
                    <w:right w:w="28" w:type="dxa"/>
                  </w:tcMar>
                  <w:vAlign w:val="center"/>
                </w:tcPr>
                <w:p w14:paraId="4B35A4E3">
                  <w:pPr>
                    <w:widowControl/>
                    <w:jc w:val="center"/>
                    <w:textAlignment w:val="center"/>
                    <w:rPr>
                      <w:color w:val="000000" w:themeColor="text1"/>
                      <w:kern w:val="0"/>
                      <w:sz w:val="21"/>
                      <w:szCs w:val="21"/>
                      <w:highlight w:val="none"/>
                      <w:lang w:bidi="ar"/>
                      <w14:textFill>
                        <w14:solidFill>
                          <w14:schemeClr w14:val="tx1"/>
                        </w14:solidFill>
                      </w14:textFill>
                    </w:rPr>
                  </w:pPr>
                </w:p>
              </w:tc>
              <w:tc>
                <w:tcPr>
                  <w:tcW w:w="479" w:type="pct"/>
                  <w:noWrap w:val="0"/>
                  <w:tcMar>
                    <w:left w:w="28" w:type="dxa"/>
                    <w:right w:w="28" w:type="dxa"/>
                  </w:tcMar>
                  <w:vAlign w:val="center"/>
                </w:tcPr>
                <w:p w14:paraId="7C9B9FBF">
                  <w:pPr>
                    <w:widowControl/>
                    <w:jc w:val="center"/>
                    <w:textAlignment w:val="center"/>
                    <w:rPr>
                      <w:rFonts w:hint="eastAsia" w:eastAsia="宋体"/>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颗粒物</w:t>
                  </w:r>
                </w:p>
              </w:tc>
              <w:tc>
                <w:tcPr>
                  <w:tcW w:w="304" w:type="pct"/>
                  <w:noWrap w:val="0"/>
                  <w:tcMar>
                    <w:left w:w="28" w:type="dxa"/>
                    <w:right w:w="28" w:type="dxa"/>
                  </w:tcMar>
                  <w:vAlign w:val="center"/>
                </w:tcPr>
                <w:p w14:paraId="36C7DA9D">
                  <w:pPr>
                    <w:keepNext w:val="0"/>
                    <w:keepLines w:val="0"/>
                    <w:widowControl/>
                    <w:suppressLineNumbers w:val="0"/>
                    <w:jc w:val="center"/>
                    <w:textAlignment w:val="center"/>
                    <w:rPr>
                      <w:color w:val="0000FF"/>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1020</w:t>
                  </w:r>
                </w:p>
              </w:tc>
              <w:tc>
                <w:tcPr>
                  <w:tcW w:w="312" w:type="pct"/>
                  <w:noWrap w:val="0"/>
                  <w:tcMar>
                    <w:left w:w="28" w:type="dxa"/>
                    <w:right w:w="28" w:type="dxa"/>
                  </w:tcMar>
                  <w:vAlign w:val="center"/>
                </w:tcPr>
                <w:p w14:paraId="6A5A20E0">
                  <w:pPr>
                    <w:keepNext w:val="0"/>
                    <w:keepLines w:val="0"/>
                    <w:widowControl/>
                    <w:suppressLineNumbers w:val="0"/>
                    <w:jc w:val="center"/>
                    <w:textAlignment w:val="center"/>
                    <w:rPr>
                      <w:color w:val="0000FF"/>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21.03 </w:t>
                  </w:r>
                </w:p>
              </w:tc>
              <w:tc>
                <w:tcPr>
                  <w:tcW w:w="304" w:type="pct"/>
                  <w:noWrap w:val="0"/>
                  <w:tcMar>
                    <w:left w:w="28" w:type="dxa"/>
                    <w:right w:w="28" w:type="dxa"/>
                  </w:tcMar>
                  <w:vAlign w:val="center"/>
                </w:tcPr>
                <w:p w14:paraId="5970510B">
                  <w:pPr>
                    <w:keepNext w:val="0"/>
                    <w:keepLines w:val="0"/>
                    <w:widowControl/>
                    <w:suppressLineNumbers w:val="0"/>
                    <w:jc w:val="center"/>
                    <w:textAlignment w:val="center"/>
                    <w:rPr>
                      <w:color w:val="0000FF"/>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750" w:type="dxa"/>
                  <w:noWrap w:val="0"/>
                  <w:tcMar>
                    <w:left w:w="28" w:type="dxa"/>
                    <w:right w:w="28" w:type="dxa"/>
                  </w:tcMar>
                  <w:vAlign w:val="center"/>
                </w:tcPr>
                <w:p w14:paraId="25CF9CB4">
                  <w:pPr>
                    <w:keepNext w:val="0"/>
                    <w:keepLines w:val="0"/>
                    <w:widowControl/>
                    <w:suppressLineNumbers w:val="0"/>
                    <w:jc w:val="center"/>
                    <w:textAlignment w:val="center"/>
                    <w:rPr>
                      <w:color w:val="0000FF"/>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0.021 </w:t>
                  </w:r>
                </w:p>
              </w:tc>
              <w:tc>
                <w:tcPr>
                  <w:tcW w:w="282" w:type="pct"/>
                  <w:noWrap w:val="0"/>
                  <w:tcMar>
                    <w:left w:w="28" w:type="dxa"/>
                    <w:right w:w="28" w:type="dxa"/>
                  </w:tcMar>
                  <w:vAlign w:val="center"/>
                </w:tcPr>
                <w:p w14:paraId="0D9E4034">
                  <w:pPr>
                    <w:keepNext w:val="0"/>
                    <w:keepLines w:val="0"/>
                    <w:widowControl/>
                    <w:suppressLineNumbers w:val="0"/>
                    <w:jc w:val="center"/>
                    <w:textAlignment w:val="center"/>
                    <w:rPr>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740" w:type="pct"/>
                  <w:noWrap w:val="0"/>
                  <w:tcMar>
                    <w:left w:w="28" w:type="dxa"/>
                    <w:right w:w="28" w:type="dxa"/>
                  </w:tcMar>
                  <w:vAlign w:val="center"/>
                </w:tcPr>
                <w:p w14:paraId="7694A0AF">
                  <w:pPr>
                    <w:widowControl/>
                    <w:jc w:val="center"/>
                    <w:textAlignment w:val="center"/>
                    <w:rPr>
                      <w:rFonts w:hint="eastAsia" w:eastAsia="宋体"/>
                      <w:color w:val="000000" w:themeColor="text1"/>
                      <w:kern w:val="0"/>
                      <w:sz w:val="2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通过15m高排气筒排放（DA002）</w:t>
                  </w:r>
                </w:p>
              </w:tc>
              <w:tc>
                <w:tcPr>
                  <w:tcW w:w="252" w:type="pct"/>
                  <w:noWrap w:val="0"/>
                  <w:tcMar>
                    <w:left w:w="28" w:type="dxa"/>
                    <w:right w:w="28" w:type="dxa"/>
                  </w:tcMar>
                  <w:vAlign w:val="center"/>
                </w:tcPr>
                <w:p w14:paraId="53A87ABC">
                  <w:pPr>
                    <w:keepNext w:val="0"/>
                    <w:keepLines w:val="0"/>
                    <w:widowControl/>
                    <w:suppressLineNumbers w:val="0"/>
                    <w:jc w:val="center"/>
                    <w:textAlignment w:val="center"/>
                    <w:rPr>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0" w:type="pct"/>
                  <w:noWrap w:val="0"/>
                  <w:tcMar>
                    <w:left w:w="28" w:type="dxa"/>
                    <w:right w:w="28" w:type="dxa"/>
                  </w:tcMar>
                  <w:vAlign w:val="center"/>
                </w:tcPr>
                <w:p w14:paraId="546D06D1">
                  <w:pPr>
                    <w:keepNext w:val="0"/>
                    <w:keepLines w:val="0"/>
                    <w:widowControl/>
                    <w:suppressLineNumbers w:val="0"/>
                    <w:jc w:val="center"/>
                    <w:textAlignment w:val="center"/>
                    <w:rPr>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98" w:type="pct"/>
                  <w:noWrap w:val="0"/>
                  <w:tcMar>
                    <w:left w:w="28" w:type="dxa"/>
                    <w:right w:w="28" w:type="dxa"/>
                  </w:tcMar>
                  <w:vAlign w:val="center"/>
                </w:tcPr>
                <w:p w14:paraId="5D776EBC">
                  <w:pPr>
                    <w:keepNext w:val="0"/>
                    <w:keepLines w:val="0"/>
                    <w:widowControl/>
                    <w:suppressLineNumbers w:val="0"/>
                    <w:jc w:val="center"/>
                    <w:textAlignment w:val="center"/>
                    <w:rPr>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w:t>
                  </w:r>
                </w:p>
              </w:tc>
              <w:tc>
                <w:tcPr>
                  <w:tcW w:w="309" w:type="pct"/>
                  <w:noWrap w:val="0"/>
                  <w:tcMar>
                    <w:left w:w="28" w:type="dxa"/>
                    <w:right w:w="28" w:type="dxa"/>
                  </w:tcMar>
                  <w:vAlign w:val="center"/>
                </w:tcPr>
                <w:p w14:paraId="1E540777">
                  <w:pPr>
                    <w:keepNext w:val="0"/>
                    <w:keepLines w:val="0"/>
                    <w:widowControl/>
                    <w:suppressLineNumbers w:val="0"/>
                    <w:jc w:val="center"/>
                    <w:textAlignment w:val="center"/>
                    <w:rPr>
                      <w:color w:val="0000FF"/>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21.03 </w:t>
                  </w:r>
                </w:p>
              </w:tc>
              <w:tc>
                <w:tcPr>
                  <w:tcW w:w="278" w:type="pct"/>
                  <w:noWrap w:val="0"/>
                  <w:tcMar>
                    <w:left w:w="28" w:type="dxa"/>
                    <w:right w:w="28" w:type="dxa"/>
                  </w:tcMar>
                  <w:vAlign w:val="center"/>
                </w:tcPr>
                <w:p w14:paraId="3F8C1067">
                  <w:pPr>
                    <w:keepNext w:val="0"/>
                    <w:keepLines w:val="0"/>
                    <w:widowControl/>
                    <w:suppressLineNumbers w:val="0"/>
                    <w:jc w:val="center"/>
                    <w:textAlignment w:val="center"/>
                    <w:rPr>
                      <w:color w:val="0000FF"/>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0.021 </w:t>
                  </w:r>
                </w:p>
              </w:tc>
              <w:tc>
                <w:tcPr>
                  <w:tcW w:w="291" w:type="pct"/>
                  <w:noWrap w:val="0"/>
                  <w:tcMar>
                    <w:left w:w="28" w:type="dxa"/>
                    <w:right w:w="28" w:type="dxa"/>
                  </w:tcMar>
                  <w:vAlign w:val="center"/>
                </w:tcPr>
                <w:p w14:paraId="6F65E720">
                  <w:pPr>
                    <w:keepNext w:val="0"/>
                    <w:keepLines w:val="0"/>
                    <w:widowControl/>
                    <w:suppressLineNumbers w:val="0"/>
                    <w:jc w:val="center"/>
                    <w:textAlignment w:val="center"/>
                    <w:rPr>
                      <w:color w:val="0000FF"/>
                      <w:kern w:val="0"/>
                      <w:sz w:val="21"/>
                      <w:szCs w:val="21"/>
                      <w:highlight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0.021 </w:t>
                  </w:r>
                </w:p>
              </w:tc>
            </w:tr>
            <w:tr w14:paraId="279C2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8" w:type="pct"/>
                  <w:vMerge w:val="continue"/>
                  <w:noWrap w:val="0"/>
                  <w:tcMar>
                    <w:left w:w="28" w:type="dxa"/>
                    <w:right w:w="28" w:type="dxa"/>
                  </w:tcMar>
                  <w:vAlign w:val="center"/>
                </w:tcPr>
                <w:p w14:paraId="23804765">
                  <w:pPr>
                    <w:widowControl/>
                    <w:jc w:val="center"/>
                    <w:textAlignment w:val="center"/>
                    <w:rPr>
                      <w:color w:val="000000" w:themeColor="text1"/>
                      <w:kern w:val="0"/>
                      <w:sz w:val="21"/>
                      <w:szCs w:val="21"/>
                      <w:highlight w:val="none"/>
                      <w:lang w:bidi="ar"/>
                      <w14:textFill>
                        <w14:solidFill>
                          <w14:schemeClr w14:val="tx1"/>
                        </w14:solidFill>
                      </w14:textFill>
                    </w:rPr>
                  </w:pPr>
                </w:p>
              </w:tc>
              <w:tc>
                <w:tcPr>
                  <w:tcW w:w="368" w:type="pct"/>
                  <w:noWrap w:val="0"/>
                  <w:tcMar>
                    <w:left w:w="28" w:type="dxa"/>
                    <w:right w:w="28" w:type="dxa"/>
                  </w:tcMar>
                  <w:vAlign w:val="center"/>
                </w:tcPr>
                <w:p w14:paraId="653D4743">
                  <w:pPr>
                    <w:widowControl/>
                    <w:jc w:val="center"/>
                    <w:textAlignment w:val="center"/>
                    <w:rPr>
                      <w:rFonts w:hint="eastAsia" w:eastAsia="宋体"/>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喷漆</w:t>
                  </w:r>
                </w:p>
              </w:tc>
              <w:tc>
                <w:tcPr>
                  <w:tcW w:w="479" w:type="pct"/>
                  <w:noWrap w:val="0"/>
                  <w:tcMar>
                    <w:left w:w="28" w:type="dxa"/>
                    <w:right w:w="28" w:type="dxa"/>
                  </w:tcMar>
                  <w:vAlign w:val="center"/>
                </w:tcPr>
                <w:p w14:paraId="66D772D5">
                  <w:pPr>
                    <w:widowControl/>
                    <w:jc w:val="center"/>
                    <w:textAlignment w:val="center"/>
                    <w:rPr>
                      <w:rFonts w:hint="default"/>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臭气浓度</w:t>
                  </w:r>
                </w:p>
              </w:tc>
              <w:tc>
                <w:tcPr>
                  <w:tcW w:w="304" w:type="pct"/>
                  <w:noWrap w:val="0"/>
                  <w:tcMar>
                    <w:left w:w="28" w:type="dxa"/>
                    <w:right w:w="28" w:type="dxa"/>
                  </w:tcMar>
                  <w:vAlign w:val="center"/>
                </w:tcPr>
                <w:p w14:paraId="75A72E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12" w:type="pct"/>
                  <w:noWrap w:val="0"/>
                  <w:tcMar>
                    <w:left w:w="28" w:type="dxa"/>
                    <w:right w:w="28" w:type="dxa"/>
                  </w:tcMar>
                  <w:vAlign w:val="center"/>
                </w:tcPr>
                <w:p w14:paraId="691892B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04" w:type="pct"/>
                  <w:noWrap w:val="0"/>
                  <w:tcMar>
                    <w:left w:w="28" w:type="dxa"/>
                    <w:right w:w="28" w:type="dxa"/>
                  </w:tcMar>
                  <w:vAlign w:val="center"/>
                </w:tcPr>
                <w:p w14:paraId="7C3BB5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99" w:type="pct"/>
                  <w:noWrap w:val="0"/>
                  <w:tcMar>
                    <w:left w:w="28" w:type="dxa"/>
                    <w:right w:w="28" w:type="dxa"/>
                  </w:tcMar>
                  <w:vAlign w:val="center"/>
                </w:tcPr>
                <w:p w14:paraId="2ECE13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82" w:type="pct"/>
                  <w:noWrap w:val="0"/>
                  <w:tcMar>
                    <w:left w:w="28" w:type="dxa"/>
                    <w:right w:w="28" w:type="dxa"/>
                  </w:tcMar>
                  <w:vAlign w:val="center"/>
                </w:tcPr>
                <w:p w14:paraId="429417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740" w:type="pct"/>
                  <w:noWrap w:val="0"/>
                  <w:tcMar>
                    <w:left w:w="28" w:type="dxa"/>
                    <w:right w:w="28" w:type="dxa"/>
                  </w:tcMar>
                  <w:vAlign w:val="center"/>
                </w:tcPr>
                <w:p w14:paraId="60D51C41">
                  <w:pPr>
                    <w:widowControl/>
                    <w:jc w:val="center"/>
                    <w:textAlignment w:val="center"/>
                    <w:rPr>
                      <w:rFonts w:hint="eastAsia" w:eastAsia="宋体"/>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w:t>
                  </w:r>
                </w:p>
              </w:tc>
              <w:tc>
                <w:tcPr>
                  <w:tcW w:w="252" w:type="pct"/>
                  <w:noWrap w:val="0"/>
                  <w:tcMar>
                    <w:left w:w="28" w:type="dxa"/>
                    <w:right w:w="28" w:type="dxa"/>
                  </w:tcMar>
                  <w:vAlign w:val="center"/>
                </w:tcPr>
                <w:p w14:paraId="1F4798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80" w:type="pct"/>
                  <w:noWrap w:val="0"/>
                  <w:tcMar>
                    <w:left w:w="28" w:type="dxa"/>
                    <w:right w:w="28" w:type="dxa"/>
                  </w:tcMar>
                  <w:vAlign w:val="center"/>
                </w:tcPr>
                <w:p w14:paraId="0999C4D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198" w:type="pct"/>
                  <w:noWrap w:val="0"/>
                  <w:tcMar>
                    <w:left w:w="28" w:type="dxa"/>
                    <w:right w:w="28" w:type="dxa"/>
                  </w:tcMar>
                  <w:vAlign w:val="center"/>
                </w:tcPr>
                <w:p w14:paraId="5BE394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09" w:type="pct"/>
                  <w:noWrap w:val="0"/>
                  <w:tcMar>
                    <w:left w:w="28" w:type="dxa"/>
                    <w:right w:w="28" w:type="dxa"/>
                  </w:tcMar>
                  <w:vAlign w:val="center"/>
                </w:tcPr>
                <w:p w14:paraId="7533358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78" w:type="pct"/>
                  <w:noWrap w:val="0"/>
                  <w:tcMar>
                    <w:left w:w="28" w:type="dxa"/>
                    <w:right w:w="28" w:type="dxa"/>
                  </w:tcMar>
                  <w:vAlign w:val="center"/>
                </w:tcPr>
                <w:p w14:paraId="55D9CD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91" w:type="pct"/>
                  <w:noWrap w:val="0"/>
                  <w:tcMar>
                    <w:left w:w="28" w:type="dxa"/>
                    <w:right w:w="28" w:type="dxa"/>
                  </w:tcMar>
                  <w:vAlign w:val="center"/>
                </w:tcPr>
                <w:p w14:paraId="52BC92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r>
            <w:tr w14:paraId="3F97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8" w:type="pct"/>
                  <w:vMerge w:val="restart"/>
                  <w:shd w:val="clear" w:color="auto" w:fill="auto"/>
                  <w:noWrap w:val="0"/>
                  <w:tcMar>
                    <w:left w:w="28" w:type="dxa"/>
                    <w:right w:w="28" w:type="dxa"/>
                  </w:tcMar>
                  <w:vAlign w:val="center"/>
                </w:tcPr>
                <w:p w14:paraId="28EB7C0A">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r>
                    <w:rPr>
                      <w:color w:val="000000" w:themeColor="text1"/>
                      <w:kern w:val="0"/>
                      <w:sz w:val="21"/>
                      <w:szCs w:val="21"/>
                      <w:highlight w:val="none"/>
                      <w:lang w:bidi="ar"/>
                      <w14:textFill>
                        <w14:solidFill>
                          <w14:schemeClr w14:val="tx1"/>
                        </w14:solidFill>
                      </w14:textFill>
                    </w:rPr>
                    <w:t>水性喷涂</w:t>
                  </w:r>
                  <w:r>
                    <w:rPr>
                      <w:rFonts w:hint="eastAsia"/>
                      <w:color w:val="000000" w:themeColor="text1"/>
                      <w:sz w:val="21"/>
                      <w:szCs w:val="21"/>
                      <w:highlight w:val="none"/>
                      <w:lang w:val="en-US" w:eastAsia="zh-CN"/>
                      <w14:textFill>
                        <w14:solidFill>
                          <w14:schemeClr w14:val="tx1"/>
                        </w14:solidFill>
                      </w14:textFill>
                    </w:rPr>
                    <w:t>生产线</w:t>
                  </w:r>
                </w:p>
              </w:tc>
              <w:tc>
                <w:tcPr>
                  <w:tcW w:w="368" w:type="pct"/>
                  <w:vMerge w:val="restart"/>
                  <w:shd w:val="clear" w:color="auto" w:fill="auto"/>
                  <w:noWrap w:val="0"/>
                  <w:tcMar>
                    <w:left w:w="28" w:type="dxa"/>
                    <w:right w:w="28" w:type="dxa"/>
                  </w:tcMar>
                  <w:vAlign w:val="center"/>
                </w:tcPr>
                <w:p w14:paraId="14814A8B">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底漆喷漆</w:t>
                  </w:r>
                </w:p>
              </w:tc>
              <w:tc>
                <w:tcPr>
                  <w:tcW w:w="479" w:type="pct"/>
                  <w:shd w:val="clear" w:color="auto" w:fill="auto"/>
                  <w:noWrap w:val="0"/>
                  <w:tcMar>
                    <w:left w:w="28" w:type="dxa"/>
                    <w:right w:w="28" w:type="dxa"/>
                  </w:tcMar>
                  <w:vAlign w:val="center"/>
                </w:tcPr>
                <w:p w14:paraId="31D97D60">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颗粒物</w:t>
                  </w:r>
                </w:p>
              </w:tc>
              <w:tc>
                <w:tcPr>
                  <w:tcW w:w="304" w:type="pct"/>
                  <w:shd w:val="clear" w:color="auto" w:fill="auto"/>
                  <w:noWrap w:val="0"/>
                  <w:tcMar>
                    <w:left w:w="28" w:type="dxa"/>
                    <w:right w:w="28" w:type="dxa"/>
                  </w:tcMar>
                  <w:vAlign w:val="center"/>
                </w:tcPr>
                <w:p w14:paraId="57563D7E">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15000</w:t>
                  </w:r>
                </w:p>
              </w:tc>
              <w:tc>
                <w:tcPr>
                  <w:tcW w:w="312" w:type="pct"/>
                  <w:shd w:val="clear" w:color="auto" w:fill="auto"/>
                  <w:noWrap w:val="0"/>
                  <w:tcMar>
                    <w:left w:w="28" w:type="dxa"/>
                    <w:right w:w="28" w:type="dxa"/>
                  </w:tcMar>
                  <w:vAlign w:val="center"/>
                </w:tcPr>
                <w:p w14:paraId="483CDD68">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495.83 </w:t>
                  </w:r>
                </w:p>
              </w:tc>
              <w:tc>
                <w:tcPr>
                  <w:tcW w:w="304" w:type="pct"/>
                  <w:shd w:val="clear" w:color="auto" w:fill="auto"/>
                  <w:noWrap w:val="0"/>
                  <w:tcMar>
                    <w:left w:w="28" w:type="dxa"/>
                    <w:right w:w="28" w:type="dxa"/>
                  </w:tcMar>
                  <w:vAlign w:val="center"/>
                </w:tcPr>
                <w:p w14:paraId="563EE60A">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7.44 </w:t>
                  </w:r>
                </w:p>
              </w:tc>
              <w:tc>
                <w:tcPr>
                  <w:tcW w:w="750" w:type="dxa"/>
                  <w:shd w:val="clear" w:color="auto" w:fill="auto"/>
                  <w:noWrap w:val="0"/>
                  <w:tcMar>
                    <w:left w:w="28" w:type="dxa"/>
                    <w:right w:w="28" w:type="dxa"/>
                  </w:tcMar>
                  <w:vAlign w:val="center"/>
                </w:tcPr>
                <w:p w14:paraId="4EA4AF52">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2.975 </w:t>
                  </w:r>
                </w:p>
              </w:tc>
              <w:tc>
                <w:tcPr>
                  <w:tcW w:w="282" w:type="pct"/>
                  <w:shd w:val="clear" w:color="auto" w:fill="auto"/>
                  <w:noWrap w:val="0"/>
                  <w:tcMar>
                    <w:left w:w="28" w:type="dxa"/>
                    <w:right w:w="28" w:type="dxa"/>
                  </w:tcMar>
                  <w:vAlign w:val="center"/>
                </w:tcPr>
                <w:p w14:paraId="2210CE09">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40" w:type="pct"/>
                  <w:vMerge w:val="restart"/>
                  <w:shd w:val="clear" w:color="auto" w:fill="auto"/>
                  <w:noWrap w:val="0"/>
                  <w:tcMar>
                    <w:left w:w="28" w:type="dxa"/>
                    <w:right w:w="28" w:type="dxa"/>
                  </w:tcMar>
                  <w:vAlign w:val="center"/>
                </w:tcPr>
                <w:p w14:paraId="2BC8BBC9">
                  <w:pPr>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eastAsia="zh-CN" w:bidi="ar"/>
                      <w14:textFill>
                        <w14:solidFill>
                          <w14:schemeClr w14:val="tx1"/>
                        </w14:solidFill>
                      </w14:textFill>
                    </w:rPr>
                    <w:t>“</w:t>
                  </w:r>
                  <w:r>
                    <w:rPr>
                      <w:color w:val="000000" w:themeColor="text1"/>
                      <w:kern w:val="0"/>
                      <w:sz w:val="21"/>
                      <w:szCs w:val="21"/>
                      <w:highlight w:val="none"/>
                      <w:lang w:bidi="ar"/>
                      <w14:textFill>
                        <w14:solidFill>
                          <w14:schemeClr w14:val="tx1"/>
                        </w14:solidFill>
                      </w14:textFill>
                    </w:rPr>
                    <w:t>水帘湿式去漆雾+</w:t>
                  </w:r>
                  <w:r>
                    <w:rPr>
                      <w:rFonts w:hint="eastAsia"/>
                      <w:color w:val="000000" w:themeColor="text1"/>
                      <w:kern w:val="0"/>
                      <w:sz w:val="21"/>
                      <w:szCs w:val="21"/>
                      <w:highlight w:val="none"/>
                      <w:lang w:val="en-US" w:eastAsia="zh-CN" w:bidi="ar"/>
                      <w14:textFill>
                        <w14:solidFill>
                          <w14:schemeClr w14:val="tx1"/>
                        </w14:solidFill>
                      </w14:textFill>
                    </w:rPr>
                    <w:t>高分子过滤盒+干式过滤棉</w:t>
                  </w:r>
                  <w:r>
                    <w:rPr>
                      <w:color w:val="000000" w:themeColor="text1"/>
                      <w:kern w:val="0"/>
                      <w:sz w:val="21"/>
                      <w:szCs w:val="21"/>
                      <w:highlight w:val="none"/>
                      <w:lang w:bidi="ar"/>
                      <w14:textFill>
                        <w14:solidFill>
                          <w14:schemeClr w14:val="tx1"/>
                        </w14:solidFill>
                      </w14:textFill>
                    </w:rPr>
                    <w:t>+二级活性炭吸附</w:t>
                  </w:r>
                  <w:r>
                    <w:rPr>
                      <w:rFonts w:hint="eastAsia"/>
                      <w:color w:val="000000" w:themeColor="text1"/>
                      <w:kern w:val="0"/>
                      <w:sz w:val="21"/>
                      <w:szCs w:val="21"/>
                      <w:highlight w:val="none"/>
                      <w:lang w:eastAsia="zh-CN" w:bidi="ar"/>
                      <w14:textFill>
                        <w14:solidFill>
                          <w14:schemeClr w14:val="tx1"/>
                        </w14:solidFill>
                      </w14:textFill>
                    </w:rPr>
                    <w:t>”</w:t>
                  </w:r>
                  <w:r>
                    <w:rPr>
                      <w:color w:val="000000" w:themeColor="text1"/>
                      <w:kern w:val="0"/>
                      <w:sz w:val="21"/>
                      <w:szCs w:val="21"/>
                      <w:highlight w:val="none"/>
                      <w:lang w:bidi="ar"/>
                      <w14:textFill>
                        <w14:solidFill>
                          <w14:schemeClr w14:val="tx1"/>
                        </w14:solidFill>
                      </w14:textFill>
                    </w:rPr>
                    <w:t>由1根15m高的排气筒（DA00</w:t>
                  </w:r>
                  <w:r>
                    <w:rPr>
                      <w:rFonts w:hint="eastAsia"/>
                      <w:color w:val="000000" w:themeColor="text1"/>
                      <w:kern w:val="0"/>
                      <w:sz w:val="21"/>
                      <w:szCs w:val="21"/>
                      <w:highlight w:val="none"/>
                      <w:lang w:val="en-US" w:eastAsia="zh-CN" w:bidi="ar"/>
                      <w14:textFill>
                        <w14:solidFill>
                          <w14:schemeClr w14:val="tx1"/>
                        </w14:solidFill>
                      </w14:textFill>
                    </w:rPr>
                    <w:t>1</w:t>
                  </w:r>
                  <w:r>
                    <w:rPr>
                      <w:color w:val="000000" w:themeColor="text1"/>
                      <w:kern w:val="0"/>
                      <w:sz w:val="21"/>
                      <w:szCs w:val="21"/>
                      <w:highlight w:val="none"/>
                      <w:lang w:bidi="ar"/>
                      <w14:textFill>
                        <w14:solidFill>
                          <w14:schemeClr w14:val="tx1"/>
                        </w14:solidFill>
                      </w14:textFill>
                    </w:rPr>
                    <w:t>）排放</w:t>
                  </w:r>
                </w:p>
              </w:tc>
              <w:tc>
                <w:tcPr>
                  <w:tcW w:w="252" w:type="pct"/>
                  <w:shd w:val="clear" w:color="auto" w:fill="auto"/>
                  <w:noWrap w:val="0"/>
                  <w:tcMar>
                    <w:left w:w="28" w:type="dxa"/>
                    <w:right w:w="28" w:type="dxa"/>
                  </w:tcMar>
                  <w:vAlign w:val="center"/>
                </w:tcPr>
                <w:p w14:paraId="797BCD73">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shd w:val="clear" w:color="auto" w:fill="auto"/>
                  <w:noWrap w:val="0"/>
                  <w:tcMar>
                    <w:left w:w="28" w:type="dxa"/>
                    <w:right w:w="28" w:type="dxa"/>
                  </w:tcMar>
                  <w:vAlign w:val="center"/>
                </w:tcPr>
                <w:p w14:paraId="02CA4046">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97</w:t>
                  </w:r>
                  <w:r>
                    <w:rPr>
                      <w:rStyle w:val="53"/>
                      <w:rFonts w:eastAsia="宋体"/>
                      <w:color w:val="000000" w:themeColor="text1"/>
                      <w:lang w:val="en-US" w:eastAsia="zh-CN" w:bidi="ar"/>
                      <w14:textFill>
                        <w14:solidFill>
                          <w14:schemeClr w14:val="tx1"/>
                        </w14:solidFill>
                      </w14:textFill>
                    </w:rPr>
                    <w:t>%</w:t>
                  </w:r>
                </w:p>
              </w:tc>
              <w:tc>
                <w:tcPr>
                  <w:tcW w:w="198" w:type="pct"/>
                  <w:shd w:val="clear" w:color="auto" w:fill="auto"/>
                  <w:noWrap w:val="0"/>
                  <w:tcMar>
                    <w:left w:w="28" w:type="dxa"/>
                    <w:right w:w="28" w:type="dxa"/>
                  </w:tcMar>
                  <w:vAlign w:val="center"/>
                </w:tcPr>
                <w:p w14:paraId="3615B5FB">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774" w:type="dxa"/>
                  <w:shd w:val="clear" w:color="auto" w:fill="auto"/>
                  <w:noWrap w:val="0"/>
                  <w:tcMar>
                    <w:left w:w="28" w:type="dxa"/>
                    <w:right w:w="28" w:type="dxa"/>
                  </w:tcMar>
                  <w:vAlign w:val="center"/>
                </w:tcPr>
                <w:p w14:paraId="499C8232">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14.83 </w:t>
                  </w:r>
                </w:p>
              </w:tc>
              <w:tc>
                <w:tcPr>
                  <w:tcW w:w="698" w:type="dxa"/>
                  <w:shd w:val="clear" w:color="auto" w:fill="auto"/>
                  <w:noWrap w:val="0"/>
                  <w:tcMar>
                    <w:left w:w="28" w:type="dxa"/>
                    <w:right w:w="28" w:type="dxa"/>
                  </w:tcMar>
                  <w:vAlign w:val="center"/>
                </w:tcPr>
                <w:p w14:paraId="5C3E3A91">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0.223 </w:t>
                  </w:r>
                </w:p>
              </w:tc>
              <w:tc>
                <w:tcPr>
                  <w:tcW w:w="291" w:type="pct"/>
                  <w:shd w:val="clear" w:color="auto" w:fill="auto"/>
                  <w:noWrap w:val="0"/>
                  <w:tcMar>
                    <w:left w:w="28" w:type="dxa"/>
                    <w:right w:w="28" w:type="dxa"/>
                  </w:tcMar>
                  <w:vAlign w:val="center"/>
                </w:tcPr>
                <w:p w14:paraId="09F411CD">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0.089 </w:t>
                  </w:r>
                </w:p>
              </w:tc>
            </w:tr>
            <w:tr w14:paraId="75EA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8" w:type="pct"/>
                  <w:vMerge w:val="continue"/>
                  <w:noWrap w:val="0"/>
                  <w:tcMar>
                    <w:left w:w="28" w:type="dxa"/>
                    <w:right w:w="28" w:type="dxa"/>
                  </w:tcMar>
                  <w:vAlign w:val="center"/>
                </w:tcPr>
                <w:p w14:paraId="51DA1537">
                  <w:pPr>
                    <w:widowControl/>
                    <w:jc w:val="center"/>
                    <w:textAlignment w:val="center"/>
                    <w:rPr>
                      <w:color w:val="000000" w:themeColor="text1"/>
                      <w:kern w:val="0"/>
                      <w:sz w:val="21"/>
                      <w:szCs w:val="21"/>
                      <w:highlight w:val="none"/>
                      <w:lang w:bidi="ar"/>
                      <w14:textFill>
                        <w14:solidFill>
                          <w14:schemeClr w14:val="tx1"/>
                        </w14:solidFill>
                      </w14:textFill>
                    </w:rPr>
                  </w:pPr>
                </w:p>
              </w:tc>
              <w:tc>
                <w:tcPr>
                  <w:tcW w:w="368" w:type="pct"/>
                  <w:vMerge w:val="continue"/>
                  <w:noWrap w:val="0"/>
                  <w:tcMar>
                    <w:left w:w="28" w:type="dxa"/>
                    <w:right w:w="28" w:type="dxa"/>
                  </w:tcMar>
                  <w:vAlign w:val="center"/>
                </w:tcPr>
                <w:p w14:paraId="7BF76D86">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p>
              </w:tc>
              <w:tc>
                <w:tcPr>
                  <w:tcW w:w="479" w:type="pct"/>
                  <w:shd w:val="clear" w:color="auto" w:fill="auto"/>
                  <w:noWrap w:val="0"/>
                  <w:tcMar>
                    <w:left w:w="28" w:type="dxa"/>
                    <w:right w:w="28" w:type="dxa"/>
                  </w:tcMar>
                  <w:vAlign w:val="center"/>
                </w:tcPr>
                <w:p w14:paraId="37F00196">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非甲烷总烃</w:t>
                  </w:r>
                </w:p>
              </w:tc>
              <w:tc>
                <w:tcPr>
                  <w:tcW w:w="304" w:type="pct"/>
                  <w:shd w:val="clear" w:color="auto" w:fill="auto"/>
                  <w:noWrap w:val="0"/>
                  <w:tcMar>
                    <w:left w:w="28" w:type="dxa"/>
                    <w:right w:w="28" w:type="dxa"/>
                  </w:tcMar>
                  <w:vAlign w:val="center"/>
                </w:tcPr>
                <w:p w14:paraId="2174B858">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15000</w:t>
                  </w:r>
                </w:p>
              </w:tc>
              <w:tc>
                <w:tcPr>
                  <w:tcW w:w="312" w:type="pct"/>
                  <w:shd w:val="clear" w:color="auto" w:fill="auto"/>
                  <w:noWrap w:val="0"/>
                  <w:tcMar>
                    <w:left w:w="28" w:type="dxa"/>
                    <w:right w:w="28" w:type="dxa"/>
                  </w:tcMar>
                  <w:vAlign w:val="center"/>
                </w:tcPr>
                <w:p w14:paraId="4B2CFA01">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88.83 </w:t>
                  </w:r>
                </w:p>
              </w:tc>
              <w:tc>
                <w:tcPr>
                  <w:tcW w:w="304" w:type="pct"/>
                  <w:shd w:val="clear" w:color="auto" w:fill="auto"/>
                  <w:noWrap w:val="0"/>
                  <w:tcMar>
                    <w:left w:w="28" w:type="dxa"/>
                    <w:right w:w="28" w:type="dxa"/>
                  </w:tcMar>
                  <w:vAlign w:val="center"/>
                </w:tcPr>
                <w:p w14:paraId="504E9C74">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1.33 </w:t>
                  </w:r>
                </w:p>
              </w:tc>
              <w:tc>
                <w:tcPr>
                  <w:tcW w:w="750" w:type="dxa"/>
                  <w:shd w:val="clear" w:color="auto" w:fill="auto"/>
                  <w:noWrap w:val="0"/>
                  <w:tcMar>
                    <w:left w:w="28" w:type="dxa"/>
                    <w:right w:w="28" w:type="dxa"/>
                  </w:tcMar>
                  <w:vAlign w:val="center"/>
                </w:tcPr>
                <w:p w14:paraId="436385A5">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0.533 </w:t>
                  </w:r>
                </w:p>
              </w:tc>
              <w:tc>
                <w:tcPr>
                  <w:tcW w:w="282" w:type="pct"/>
                  <w:shd w:val="clear" w:color="auto" w:fill="auto"/>
                  <w:noWrap w:val="0"/>
                  <w:tcMar>
                    <w:left w:w="28" w:type="dxa"/>
                    <w:right w:w="28" w:type="dxa"/>
                  </w:tcMar>
                  <w:vAlign w:val="center"/>
                </w:tcPr>
                <w:p w14:paraId="53277F9C">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40" w:type="pct"/>
                  <w:vMerge w:val="continue"/>
                  <w:noWrap w:val="0"/>
                  <w:tcMar>
                    <w:left w:w="28" w:type="dxa"/>
                    <w:right w:w="28" w:type="dxa"/>
                  </w:tcMar>
                  <w:vAlign w:val="center"/>
                </w:tcPr>
                <w:p w14:paraId="5EE74F11">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p>
              </w:tc>
              <w:tc>
                <w:tcPr>
                  <w:tcW w:w="252" w:type="pct"/>
                  <w:shd w:val="clear" w:color="auto" w:fill="auto"/>
                  <w:noWrap w:val="0"/>
                  <w:tcMar>
                    <w:left w:w="28" w:type="dxa"/>
                    <w:right w:w="28" w:type="dxa"/>
                  </w:tcMar>
                  <w:vAlign w:val="center"/>
                </w:tcPr>
                <w:p w14:paraId="27FE9082">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shd w:val="clear" w:color="auto" w:fill="auto"/>
                  <w:noWrap w:val="0"/>
                  <w:tcMar>
                    <w:left w:w="28" w:type="dxa"/>
                    <w:right w:w="28" w:type="dxa"/>
                  </w:tcMar>
                  <w:vAlign w:val="center"/>
                </w:tcPr>
                <w:p w14:paraId="6E63EA6B">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c>
                <w:tcPr>
                  <w:tcW w:w="198" w:type="pct"/>
                  <w:shd w:val="clear" w:color="auto" w:fill="auto"/>
                  <w:noWrap w:val="0"/>
                  <w:tcMar>
                    <w:left w:w="28" w:type="dxa"/>
                    <w:right w:w="28" w:type="dxa"/>
                  </w:tcMar>
                  <w:vAlign w:val="center"/>
                </w:tcPr>
                <w:p w14:paraId="7FDD7501">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774" w:type="dxa"/>
                  <w:shd w:val="clear" w:color="auto" w:fill="auto"/>
                  <w:noWrap w:val="0"/>
                  <w:tcMar>
                    <w:left w:w="28" w:type="dxa"/>
                    <w:right w:w="28" w:type="dxa"/>
                  </w:tcMar>
                  <w:vAlign w:val="center"/>
                </w:tcPr>
                <w:p w14:paraId="2F995225">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22.17 </w:t>
                  </w:r>
                </w:p>
              </w:tc>
              <w:tc>
                <w:tcPr>
                  <w:tcW w:w="698" w:type="dxa"/>
                  <w:shd w:val="clear" w:color="auto" w:fill="auto"/>
                  <w:noWrap w:val="0"/>
                  <w:tcMar>
                    <w:left w:w="28" w:type="dxa"/>
                    <w:right w:w="28" w:type="dxa"/>
                  </w:tcMar>
                  <w:vAlign w:val="center"/>
                </w:tcPr>
                <w:p w14:paraId="78252AA7">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0.333 </w:t>
                  </w:r>
                </w:p>
              </w:tc>
              <w:tc>
                <w:tcPr>
                  <w:tcW w:w="291" w:type="pct"/>
                  <w:shd w:val="clear" w:color="auto" w:fill="auto"/>
                  <w:noWrap w:val="0"/>
                  <w:tcMar>
                    <w:left w:w="28" w:type="dxa"/>
                    <w:right w:w="28" w:type="dxa"/>
                  </w:tcMar>
                  <w:vAlign w:val="center"/>
                </w:tcPr>
                <w:p w14:paraId="39342D29">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0.133 </w:t>
                  </w:r>
                </w:p>
              </w:tc>
            </w:tr>
            <w:tr w14:paraId="0123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8" w:type="pct"/>
                  <w:vMerge w:val="continue"/>
                  <w:noWrap w:val="0"/>
                  <w:tcMar>
                    <w:left w:w="28" w:type="dxa"/>
                    <w:right w:w="28" w:type="dxa"/>
                  </w:tcMar>
                  <w:vAlign w:val="center"/>
                </w:tcPr>
                <w:p w14:paraId="2F85A8BA">
                  <w:pPr>
                    <w:widowControl/>
                    <w:jc w:val="center"/>
                    <w:textAlignment w:val="center"/>
                    <w:rPr>
                      <w:color w:val="000000" w:themeColor="text1"/>
                      <w:kern w:val="0"/>
                      <w:sz w:val="21"/>
                      <w:szCs w:val="21"/>
                      <w:highlight w:val="none"/>
                      <w:lang w:bidi="ar"/>
                      <w14:textFill>
                        <w14:solidFill>
                          <w14:schemeClr w14:val="tx1"/>
                        </w14:solidFill>
                      </w14:textFill>
                    </w:rPr>
                  </w:pPr>
                </w:p>
              </w:tc>
              <w:tc>
                <w:tcPr>
                  <w:tcW w:w="368" w:type="pct"/>
                  <w:shd w:val="clear" w:color="auto" w:fill="auto"/>
                  <w:noWrap w:val="0"/>
                  <w:tcMar>
                    <w:left w:w="28" w:type="dxa"/>
                    <w:right w:w="28" w:type="dxa"/>
                  </w:tcMar>
                  <w:vAlign w:val="center"/>
                </w:tcPr>
                <w:p w14:paraId="36C3DFD7">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底漆流平固化</w:t>
                  </w:r>
                </w:p>
              </w:tc>
              <w:tc>
                <w:tcPr>
                  <w:tcW w:w="479" w:type="pct"/>
                  <w:shd w:val="clear" w:color="auto" w:fill="auto"/>
                  <w:noWrap w:val="0"/>
                  <w:tcMar>
                    <w:left w:w="28" w:type="dxa"/>
                    <w:right w:w="28" w:type="dxa"/>
                  </w:tcMar>
                  <w:vAlign w:val="center"/>
                </w:tcPr>
                <w:p w14:paraId="315193E7">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非甲烷总烃</w:t>
                  </w:r>
                </w:p>
              </w:tc>
              <w:tc>
                <w:tcPr>
                  <w:tcW w:w="304" w:type="pct"/>
                  <w:shd w:val="clear" w:color="auto" w:fill="auto"/>
                  <w:noWrap w:val="0"/>
                  <w:tcMar>
                    <w:left w:w="28" w:type="dxa"/>
                    <w:right w:w="28" w:type="dxa"/>
                  </w:tcMar>
                  <w:vAlign w:val="center"/>
                </w:tcPr>
                <w:p w14:paraId="5502E14F">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15000</w:t>
                  </w:r>
                </w:p>
              </w:tc>
              <w:tc>
                <w:tcPr>
                  <w:tcW w:w="312" w:type="pct"/>
                  <w:shd w:val="clear" w:color="auto" w:fill="auto"/>
                  <w:noWrap w:val="0"/>
                  <w:tcMar>
                    <w:left w:w="28" w:type="dxa"/>
                    <w:right w:w="28" w:type="dxa"/>
                  </w:tcMar>
                  <w:vAlign w:val="center"/>
                </w:tcPr>
                <w:p w14:paraId="66FC27E5">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27.78 </w:t>
                  </w:r>
                </w:p>
              </w:tc>
              <w:tc>
                <w:tcPr>
                  <w:tcW w:w="304" w:type="pct"/>
                  <w:shd w:val="clear" w:color="auto" w:fill="auto"/>
                  <w:noWrap w:val="0"/>
                  <w:tcMar>
                    <w:left w:w="28" w:type="dxa"/>
                    <w:right w:w="28" w:type="dxa"/>
                  </w:tcMar>
                  <w:vAlign w:val="center"/>
                </w:tcPr>
                <w:p w14:paraId="4B0FFB5D">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0.42 </w:t>
                  </w:r>
                </w:p>
              </w:tc>
              <w:tc>
                <w:tcPr>
                  <w:tcW w:w="750" w:type="dxa"/>
                  <w:shd w:val="clear" w:color="auto" w:fill="auto"/>
                  <w:noWrap w:val="0"/>
                  <w:tcMar>
                    <w:left w:w="28" w:type="dxa"/>
                    <w:right w:w="28" w:type="dxa"/>
                  </w:tcMar>
                  <w:vAlign w:val="center"/>
                </w:tcPr>
                <w:p w14:paraId="11F3C39F">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0.100 </w:t>
                  </w:r>
                </w:p>
              </w:tc>
              <w:tc>
                <w:tcPr>
                  <w:tcW w:w="282" w:type="pct"/>
                  <w:shd w:val="clear" w:color="auto" w:fill="auto"/>
                  <w:noWrap w:val="0"/>
                  <w:tcMar>
                    <w:left w:w="28" w:type="dxa"/>
                    <w:right w:w="28" w:type="dxa"/>
                  </w:tcMar>
                  <w:vAlign w:val="center"/>
                </w:tcPr>
                <w:p w14:paraId="01D7206A">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40" w:type="pct"/>
                  <w:vMerge w:val="continue"/>
                  <w:noWrap w:val="0"/>
                  <w:tcMar>
                    <w:left w:w="28" w:type="dxa"/>
                    <w:right w:w="28" w:type="dxa"/>
                  </w:tcMar>
                  <w:vAlign w:val="center"/>
                </w:tcPr>
                <w:p w14:paraId="0152E445">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p>
              </w:tc>
              <w:tc>
                <w:tcPr>
                  <w:tcW w:w="252" w:type="pct"/>
                  <w:shd w:val="clear" w:color="auto" w:fill="auto"/>
                  <w:noWrap w:val="0"/>
                  <w:tcMar>
                    <w:left w:w="28" w:type="dxa"/>
                    <w:right w:w="28" w:type="dxa"/>
                  </w:tcMar>
                  <w:vAlign w:val="center"/>
                </w:tcPr>
                <w:p w14:paraId="31612212">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shd w:val="clear" w:color="auto" w:fill="auto"/>
                  <w:noWrap w:val="0"/>
                  <w:tcMar>
                    <w:left w:w="28" w:type="dxa"/>
                    <w:right w:w="28" w:type="dxa"/>
                  </w:tcMar>
                  <w:vAlign w:val="center"/>
                </w:tcPr>
                <w:p w14:paraId="54484711">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c>
                <w:tcPr>
                  <w:tcW w:w="198" w:type="pct"/>
                  <w:shd w:val="clear" w:color="auto" w:fill="auto"/>
                  <w:noWrap w:val="0"/>
                  <w:tcMar>
                    <w:left w:w="28" w:type="dxa"/>
                    <w:right w:w="28" w:type="dxa"/>
                  </w:tcMar>
                  <w:vAlign w:val="center"/>
                </w:tcPr>
                <w:p w14:paraId="10D436D8">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240</w:t>
                  </w:r>
                </w:p>
              </w:tc>
              <w:tc>
                <w:tcPr>
                  <w:tcW w:w="774" w:type="dxa"/>
                  <w:shd w:val="clear" w:color="auto" w:fill="auto"/>
                  <w:noWrap w:val="0"/>
                  <w:tcMar>
                    <w:left w:w="28" w:type="dxa"/>
                    <w:right w:w="28" w:type="dxa"/>
                  </w:tcMar>
                  <w:vAlign w:val="center"/>
                </w:tcPr>
                <w:p w14:paraId="2B2DCFC9">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6.94 </w:t>
                  </w:r>
                </w:p>
              </w:tc>
              <w:tc>
                <w:tcPr>
                  <w:tcW w:w="698" w:type="dxa"/>
                  <w:shd w:val="clear" w:color="auto" w:fill="auto"/>
                  <w:noWrap w:val="0"/>
                  <w:tcMar>
                    <w:left w:w="28" w:type="dxa"/>
                    <w:right w:w="28" w:type="dxa"/>
                  </w:tcMar>
                  <w:vAlign w:val="center"/>
                </w:tcPr>
                <w:p w14:paraId="227589C0">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0.104 </w:t>
                  </w:r>
                </w:p>
              </w:tc>
              <w:tc>
                <w:tcPr>
                  <w:tcW w:w="291" w:type="pct"/>
                  <w:shd w:val="clear" w:color="auto" w:fill="auto"/>
                  <w:noWrap w:val="0"/>
                  <w:tcMar>
                    <w:left w:w="28" w:type="dxa"/>
                    <w:right w:w="28" w:type="dxa"/>
                  </w:tcMar>
                  <w:vAlign w:val="center"/>
                </w:tcPr>
                <w:p w14:paraId="5EE29F19">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0.025 </w:t>
                  </w:r>
                </w:p>
              </w:tc>
            </w:tr>
            <w:tr w14:paraId="5AD6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8" w:type="pct"/>
                  <w:vMerge w:val="continue"/>
                  <w:noWrap w:val="0"/>
                  <w:tcMar>
                    <w:left w:w="28" w:type="dxa"/>
                    <w:right w:w="28" w:type="dxa"/>
                  </w:tcMar>
                  <w:vAlign w:val="center"/>
                </w:tcPr>
                <w:p w14:paraId="3977BD4C">
                  <w:pPr>
                    <w:widowControl/>
                    <w:jc w:val="center"/>
                    <w:textAlignment w:val="center"/>
                    <w:rPr>
                      <w:color w:val="000000" w:themeColor="text1"/>
                      <w:kern w:val="0"/>
                      <w:sz w:val="21"/>
                      <w:szCs w:val="21"/>
                      <w:highlight w:val="none"/>
                      <w:lang w:bidi="ar"/>
                      <w14:textFill>
                        <w14:solidFill>
                          <w14:schemeClr w14:val="tx1"/>
                        </w14:solidFill>
                      </w14:textFill>
                    </w:rPr>
                  </w:pPr>
                </w:p>
              </w:tc>
              <w:tc>
                <w:tcPr>
                  <w:tcW w:w="368" w:type="pct"/>
                  <w:shd w:val="clear" w:color="auto" w:fill="auto"/>
                  <w:noWrap w:val="0"/>
                  <w:tcMar>
                    <w:left w:w="28" w:type="dxa"/>
                    <w:right w:w="28" w:type="dxa"/>
                  </w:tcMar>
                  <w:vAlign w:val="center"/>
                </w:tcPr>
                <w:p w14:paraId="6719A139">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底漆</w:t>
                  </w:r>
                  <w:r>
                    <w:rPr>
                      <w:rFonts w:hint="eastAsia"/>
                      <w:color w:val="000000" w:themeColor="text1"/>
                      <w:kern w:val="0"/>
                      <w:sz w:val="21"/>
                      <w:szCs w:val="21"/>
                      <w:highlight w:val="none"/>
                      <w:lang w:val="en-US" w:eastAsia="zh-CN" w:bidi="ar"/>
                      <w14:textFill>
                        <w14:solidFill>
                          <w14:schemeClr w14:val="tx1"/>
                        </w14:solidFill>
                      </w14:textFill>
                    </w:rPr>
                    <w:t>烘干</w:t>
                  </w:r>
                </w:p>
              </w:tc>
              <w:tc>
                <w:tcPr>
                  <w:tcW w:w="479" w:type="pct"/>
                  <w:shd w:val="clear" w:color="auto" w:fill="auto"/>
                  <w:noWrap w:val="0"/>
                  <w:tcMar>
                    <w:left w:w="28" w:type="dxa"/>
                    <w:right w:w="28" w:type="dxa"/>
                  </w:tcMar>
                  <w:vAlign w:val="center"/>
                </w:tcPr>
                <w:p w14:paraId="47175405">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非甲烷总烃</w:t>
                  </w:r>
                </w:p>
              </w:tc>
              <w:tc>
                <w:tcPr>
                  <w:tcW w:w="304" w:type="pct"/>
                  <w:shd w:val="clear" w:color="auto" w:fill="auto"/>
                  <w:noWrap w:val="0"/>
                  <w:tcMar>
                    <w:left w:w="28" w:type="dxa"/>
                    <w:right w:w="28" w:type="dxa"/>
                  </w:tcMar>
                  <w:vAlign w:val="center"/>
                </w:tcPr>
                <w:p w14:paraId="26CBDB21">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2000</w:t>
                  </w:r>
                </w:p>
              </w:tc>
              <w:tc>
                <w:tcPr>
                  <w:tcW w:w="312" w:type="pct"/>
                  <w:shd w:val="clear" w:color="auto" w:fill="auto"/>
                  <w:noWrap w:val="0"/>
                  <w:tcMar>
                    <w:left w:w="28" w:type="dxa"/>
                    <w:right w:w="28" w:type="dxa"/>
                  </w:tcMar>
                  <w:vAlign w:val="center"/>
                </w:tcPr>
                <w:p w14:paraId="4B5DE1DB">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33.00 </w:t>
                  </w:r>
                </w:p>
              </w:tc>
              <w:tc>
                <w:tcPr>
                  <w:tcW w:w="304" w:type="pct"/>
                  <w:shd w:val="clear" w:color="auto" w:fill="auto"/>
                  <w:noWrap w:val="0"/>
                  <w:tcMar>
                    <w:left w:w="28" w:type="dxa"/>
                    <w:right w:w="28" w:type="dxa"/>
                  </w:tcMar>
                  <w:vAlign w:val="center"/>
                </w:tcPr>
                <w:p w14:paraId="5A67F226">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0.07 </w:t>
                  </w:r>
                </w:p>
              </w:tc>
              <w:tc>
                <w:tcPr>
                  <w:tcW w:w="750" w:type="dxa"/>
                  <w:shd w:val="clear" w:color="auto" w:fill="auto"/>
                  <w:noWrap w:val="0"/>
                  <w:tcMar>
                    <w:left w:w="28" w:type="dxa"/>
                    <w:right w:w="28" w:type="dxa"/>
                  </w:tcMar>
                  <w:vAlign w:val="center"/>
                </w:tcPr>
                <w:p w14:paraId="1F094AF7">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0.033 </w:t>
                  </w:r>
                </w:p>
              </w:tc>
              <w:tc>
                <w:tcPr>
                  <w:tcW w:w="282" w:type="pct"/>
                  <w:shd w:val="clear" w:color="auto" w:fill="auto"/>
                  <w:noWrap w:val="0"/>
                  <w:tcMar>
                    <w:left w:w="28" w:type="dxa"/>
                    <w:right w:w="28" w:type="dxa"/>
                  </w:tcMar>
                  <w:vAlign w:val="center"/>
                </w:tcPr>
                <w:p w14:paraId="5676929B">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40" w:type="pct"/>
                  <w:vMerge w:val="continue"/>
                  <w:noWrap w:val="0"/>
                  <w:tcMar>
                    <w:left w:w="28" w:type="dxa"/>
                    <w:right w:w="28" w:type="dxa"/>
                  </w:tcMar>
                  <w:vAlign w:val="center"/>
                </w:tcPr>
                <w:p w14:paraId="770B789F">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p>
              </w:tc>
              <w:tc>
                <w:tcPr>
                  <w:tcW w:w="252" w:type="pct"/>
                  <w:shd w:val="clear" w:color="auto" w:fill="auto"/>
                  <w:noWrap w:val="0"/>
                  <w:tcMar>
                    <w:left w:w="28" w:type="dxa"/>
                    <w:right w:w="28" w:type="dxa"/>
                  </w:tcMar>
                  <w:vAlign w:val="center"/>
                </w:tcPr>
                <w:p w14:paraId="7B08BA57">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shd w:val="clear" w:color="auto" w:fill="auto"/>
                  <w:noWrap w:val="0"/>
                  <w:tcMar>
                    <w:left w:w="28" w:type="dxa"/>
                    <w:right w:w="28" w:type="dxa"/>
                  </w:tcMar>
                  <w:vAlign w:val="center"/>
                </w:tcPr>
                <w:p w14:paraId="50668827">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c>
                <w:tcPr>
                  <w:tcW w:w="198" w:type="pct"/>
                  <w:shd w:val="clear" w:color="auto" w:fill="auto"/>
                  <w:noWrap w:val="0"/>
                  <w:tcMar>
                    <w:left w:w="28" w:type="dxa"/>
                    <w:right w:w="28" w:type="dxa"/>
                  </w:tcMar>
                  <w:vAlign w:val="center"/>
                </w:tcPr>
                <w:p w14:paraId="7E16DF9A">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774" w:type="dxa"/>
                  <w:shd w:val="clear" w:color="auto" w:fill="auto"/>
                  <w:noWrap w:val="0"/>
                  <w:tcMar>
                    <w:left w:w="28" w:type="dxa"/>
                    <w:right w:w="28" w:type="dxa"/>
                  </w:tcMar>
                  <w:vAlign w:val="center"/>
                </w:tcPr>
                <w:p w14:paraId="74446789">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8.00 </w:t>
                  </w:r>
                </w:p>
              </w:tc>
              <w:tc>
                <w:tcPr>
                  <w:tcW w:w="698" w:type="dxa"/>
                  <w:shd w:val="clear" w:color="auto" w:fill="auto"/>
                  <w:noWrap w:val="0"/>
                  <w:tcMar>
                    <w:left w:w="28" w:type="dxa"/>
                    <w:right w:w="28" w:type="dxa"/>
                  </w:tcMar>
                  <w:vAlign w:val="center"/>
                </w:tcPr>
                <w:p w14:paraId="1B9EF203">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0.016 </w:t>
                  </w:r>
                </w:p>
              </w:tc>
              <w:tc>
                <w:tcPr>
                  <w:tcW w:w="291" w:type="pct"/>
                  <w:shd w:val="clear" w:color="auto" w:fill="auto"/>
                  <w:noWrap w:val="0"/>
                  <w:tcMar>
                    <w:left w:w="28" w:type="dxa"/>
                    <w:right w:w="28" w:type="dxa"/>
                  </w:tcMar>
                  <w:vAlign w:val="center"/>
                </w:tcPr>
                <w:p w14:paraId="479A2085">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0.008 </w:t>
                  </w:r>
                </w:p>
              </w:tc>
            </w:tr>
            <w:tr w14:paraId="3EA7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8" w:type="pct"/>
                  <w:vMerge w:val="continue"/>
                  <w:noWrap w:val="0"/>
                  <w:tcMar>
                    <w:left w:w="28" w:type="dxa"/>
                    <w:right w:w="28" w:type="dxa"/>
                  </w:tcMar>
                  <w:vAlign w:val="center"/>
                </w:tcPr>
                <w:p w14:paraId="7F69F1C8">
                  <w:pPr>
                    <w:widowControl/>
                    <w:jc w:val="center"/>
                    <w:textAlignment w:val="center"/>
                    <w:rPr>
                      <w:color w:val="000000" w:themeColor="text1"/>
                      <w:kern w:val="0"/>
                      <w:sz w:val="21"/>
                      <w:szCs w:val="21"/>
                      <w:highlight w:val="none"/>
                      <w:lang w:bidi="ar"/>
                      <w14:textFill>
                        <w14:solidFill>
                          <w14:schemeClr w14:val="tx1"/>
                        </w14:solidFill>
                      </w14:textFill>
                    </w:rPr>
                  </w:pPr>
                </w:p>
              </w:tc>
              <w:tc>
                <w:tcPr>
                  <w:tcW w:w="368" w:type="pct"/>
                  <w:vMerge w:val="restart"/>
                  <w:shd w:val="clear" w:color="auto" w:fill="auto"/>
                  <w:noWrap w:val="0"/>
                  <w:tcMar>
                    <w:left w:w="28" w:type="dxa"/>
                    <w:right w:w="28" w:type="dxa"/>
                  </w:tcMar>
                  <w:vAlign w:val="center"/>
                </w:tcPr>
                <w:p w14:paraId="0BA5635D">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面漆喷漆</w:t>
                  </w:r>
                </w:p>
              </w:tc>
              <w:tc>
                <w:tcPr>
                  <w:tcW w:w="479" w:type="pct"/>
                  <w:shd w:val="clear" w:color="auto" w:fill="auto"/>
                  <w:noWrap w:val="0"/>
                  <w:tcMar>
                    <w:left w:w="28" w:type="dxa"/>
                    <w:right w:w="28" w:type="dxa"/>
                  </w:tcMar>
                  <w:vAlign w:val="center"/>
                </w:tcPr>
                <w:p w14:paraId="0DBDE25D">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颗粒物</w:t>
                  </w:r>
                </w:p>
              </w:tc>
              <w:tc>
                <w:tcPr>
                  <w:tcW w:w="304" w:type="pct"/>
                  <w:shd w:val="clear" w:color="auto" w:fill="auto"/>
                  <w:noWrap w:val="0"/>
                  <w:tcMar>
                    <w:left w:w="28" w:type="dxa"/>
                    <w:right w:w="28" w:type="dxa"/>
                  </w:tcMar>
                  <w:vAlign w:val="center"/>
                </w:tcPr>
                <w:p w14:paraId="60A46091">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15000</w:t>
                  </w:r>
                </w:p>
              </w:tc>
              <w:tc>
                <w:tcPr>
                  <w:tcW w:w="312" w:type="pct"/>
                  <w:shd w:val="clear" w:color="auto" w:fill="auto"/>
                  <w:noWrap w:val="0"/>
                  <w:tcMar>
                    <w:left w:w="28" w:type="dxa"/>
                    <w:right w:w="28" w:type="dxa"/>
                  </w:tcMar>
                  <w:vAlign w:val="center"/>
                </w:tcPr>
                <w:p w14:paraId="3B2C6AEA">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330.33 </w:t>
                  </w:r>
                </w:p>
              </w:tc>
              <w:tc>
                <w:tcPr>
                  <w:tcW w:w="304" w:type="pct"/>
                  <w:shd w:val="clear" w:color="auto" w:fill="auto"/>
                  <w:noWrap w:val="0"/>
                  <w:tcMar>
                    <w:left w:w="28" w:type="dxa"/>
                    <w:right w:w="28" w:type="dxa"/>
                  </w:tcMar>
                  <w:vAlign w:val="center"/>
                </w:tcPr>
                <w:p w14:paraId="06FC5594">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4.96 </w:t>
                  </w:r>
                </w:p>
              </w:tc>
              <w:tc>
                <w:tcPr>
                  <w:tcW w:w="750" w:type="dxa"/>
                  <w:shd w:val="clear" w:color="auto" w:fill="auto"/>
                  <w:noWrap w:val="0"/>
                  <w:tcMar>
                    <w:left w:w="28" w:type="dxa"/>
                    <w:right w:w="28" w:type="dxa"/>
                  </w:tcMar>
                  <w:vAlign w:val="center"/>
                </w:tcPr>
                <w:p w14:paraId="139179C0">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1.982 </w:t>
                  </w:r>
                </w:p>
              </w:tc>
              <w:tc>
                <w:tcPr>
                  <w:tcW w:w="282" w:type="pct"/>
                  <w:shd w:val="clear" w:color="auto" w:fill="auto"/>
                  <w:noWrap w:val="0"/>
                  <w:tcMar>
                    <w:left w:w="28" w:type="dxa"/>
                    <w:right w:w="28" w:type="dxa"/>
                  </w:tcMar>
                  <w:vAlign w:val="center"/>
                </w:tcPr>
                <w:p w14:paraId="095BE32A">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40" w:type="pct"/>
                  <w:vMerge w:val="continue"/>
                  <w:noWrap w:val="0"/>
                  <w:tcMar>
                    <w:left w:w="28" w:type="dxa"/>
                    <w:right w:w="28" w:type="dxa"/>
                  </w:tcMar>
                  <w:vAlign w:val="center"/>
                </w:tcPr>
                <w:p w14:paraId="1A34335A">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p>
              </w:tc>
              <w:tc>
                <w:tcPr>
                  <w:tcW w:w="252" w:type="pct"/>
                  <w:shd w:val="clear" w:color="auto" w:fill="auto"/>
                  <w:noWrap w:val="0"/>
                  <w:tcMar>
                    <w:left w:w="28" w:type="dxa"/>
                    <w:right w:w="28" w:type="dxa"/>
                  </w:tcMar>
                  <w:vAlign w:val="center"/>
                </w:tcPr>
                <w:p w14:paraId="4FE56561">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shd w:val="clear" w:color="auto" w:fill="auto"/>
                  <w:noWrap w:val="0"/>
                  <w:tcMar>
                    <w:left w:w="28" w:type="dxa"/>
                    <w:right w:w="28" w:type="dxa"/>
                  </w:tcMar>
                  <w:vAlign w:val="center"/>
                </w:tcPr>
                <w:p w14:paraId="12FD7107">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97</w:t>
                  </w:r>
                  <w:r>
                    <w:rPr>
                      <w:rStyle w:val="53"/>
                      <w:rFonts w:eastAsia="宋体"/>
                      <w:color w:val="000000" w:themeColor="text1"/>
                      <w:lang w:val="en-US" w:eastAsia="zh-CN" w:bidi="ar"/>
                      <w14:textFill>
                        <w14:solidFill>
                          <w14:schemeClr w14:val="tx1"/>
                        </w14:solidFill>
                      </w14:textFill>
                    </w:rPr>
                    <w:t>%</w:t>
                  </w:r>
                </w:p>
              </w:tc>
              <w:tc>
                <w:tcPr>
                  <w:tcW w:w="198" w:type="pct"/>
                  <w:shd w:val="clear" w:color="auto" w:fill="auto"/>
                  <w:noWrap w:val="0"/>
                  <w:tcMar>
                    <w:left w:w="28" w:type="dxa"/>
                    <w:right w:w="28" w:type="dxa"/>
                  </w:tcMar>
                  <w:vAlign w:val="center"/>
                </w:tcPr>
                <w:p w14:paraId="3B92E3C1">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774" w:type="dxa"/>
                  <w:shd w:val="clear" w:color="auto" w:fill="auto"/>
                  <w:noWrap w:val="0"/>
                  <w:tcMar>
                    <w:left w:w="28" w:type="dxa"/>
                    <w:right w:w="28" w:type="dxa"/>
                  </w:tcMar>
                  <w:vAlign w:val="center"/>
                </w:tcPr>
                <w:p w14:paraId="700723BB">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9.83 </w:t>
                  </w:r>
                </w:p>
              </w:tc>
              <w:tc>
                <w:tcPr>
                  <w:tcW w:w="698" w:type="dxa"/>
                  <w:shd w:val="clear" w:color="auto" w:fill="auto"/>
                  <w:noWrap w:val="0"/>
                  <w:tcMar>
                    <w:left w:w="28" w:type="dxa"/>
                    <w:right w:w="28" w:type="dxa"/>
                  </w:tcMar>
                  <w:vAlign w:val="center"/>
                </w:tcPr>
                <w:p w14:paraId="5F19F18F">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0.148 </w:t>
                  </w:r>
                </w:p>
              </w:tc>
              <w:tc>
                <w:tcPr>
                  <w:tcW w:w="291" w:type="pct"/>
                  <w:shd w:val="clear" w:color="auto" w:fill="auto"/>
                  <w:noWrap w:val="0"/>
                  <w:tcMar>
                    <w:left w:w="28" w:type="dxa"/>
                    <w:right w:w="28" w:type="dxa"/>
                  </w:tcMar>
                  <w:vAlign w:val="center"/>
                </w:tcPr>
                <w:p w14:paraId="047AF652">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0.059 </w:t>
                  </w:r>
                </w:p>
              </w:tc>
            </w:tr>
            <w:tr w14:paraId="27AA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8" w:type="pct"/>
                  <w:vMerge w:val="continue"/>
                  <w:noWrap w:val="0"/>
                  <w:tcMar>
                    <w:left w:w="28" w:type="dxa"/>
                    <w:right w:w="28" w:type="dxa"/>
                  </w:tcMar>
                  <w:vAlign w:val="center"/>
                </w:tcPr>
                <w:p w14:paraId="5EAEE0B4">
                  <w:pPr>
                    <w:widowControl/>
                    <w:jc w:val="center"/>
                    <w:textAlignment w:val="center"/>
                    <w:rPr>
                      <w:color w:val="000000" w:themeColor="text1"/>
                      <w:kern w:val="0"/>
                      <w:sz w:val="21"/>
                      <w:szCs w:val="21"/>
                      <w:highlight w:val="none"/>
                      <w:lang w:bidi="ar"/>
                      <w14:textFill>
                        <w14:solidFill>
                          <w14:schemeClr w14:val="tx1"/>
                        </w14:solidFill>
                      </w14:textFill>
                    </w:rPr>
                  </w:pPr>
                </w:p>
              </w:tc>
              <w:tc>
                <w:tcPr>
                  <w:tcW w:w="368" w:type="pct"/>
                  <w:vMerge w:val="continue"/>
                  <w:noWrap w:val="0"/>
                  <w:tcMar>
                    <w:left w:w="28" w:type="dxa"/>
                    <w:right w:w="28" w:type="dxa"/>
                  </w:tcMar>
                  <w:vAlign w:val="center"/>
                </w:tcPr>
                <w:p w14:paraId="2B02391B">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p>
              </w:tc>
              <w:tc>
                <w:tcPr>
                  <w:tcW w:w="479" w:type="pct"/>
                  <w:shd w:val="clear" w:color="auto" w:fill="auto"/>
                  <w:noWrap w:val="0"/>
                  <w:tcMar>
                    <w:left w:w="28" w:type="dxa"/>
                    <w:right w:w="28" w:type="dxa"/>
                  </w:tcMar>
                  <w:vAlign w:val="center"/>
                </w:tcPr>
                <w:p w14:paraId="1B1AF4E4">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非甲烷总烃</w:t>
                  </w:r>
                </w:p>
              </w:tc>
              <w:tc>
                <w:tcPr>
                  <w:tcW w:w="304" w:type="pct"/>
                  <w:shd w:val="clear" w:color="auto" w:fill="auto"/>
                  <w:noWrap w:val="0"/>
                  <w:tcMar>
                    <w:left w:w="28" w:type="dxa"/>
                    <w:right w:w="28" w:type="dxa"/>
                  </w:tcMar>
                  <w:vAlign w:val="center"/>
                </w:tcPr>
                <w:p w14:paraId="4907C056">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15000</w:t>
                  </w:r>
                </w:p>
              </w:tc>
              <w:tc>
                <w:tcPr>
                  <w:tcW w:w="312" w:type="pct"/>
                  <w:shd w:val="clear" w:color="auto" w:fill="auto"/>
                  <w:noWrap w:val="0"/>
                  <w:tcMar>
                    <w:left w:w="28" w:type="dxa"/>
                    <w:right w:w="28" w:type="dxa"/>
                  </w:tcMar>
                  <w:vAlign w:val="center"/>
                </w:tcPr>
                <w:p w14:paraId="6674D632">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58.83 </w:t>
                  </w:r>
                </w:p>
              </w:tc>
              <w:tc>
                <w:tcPr>
                  <w:tcW w:w="304" w:type="pct"/>
                  <w:shd w:val="clear" w:color="auto" w:fill="auto"/>
                  <w:noWrap w:val="0"/>
                  <w:tcMar>
                    <w:left w:w="28" w:type="dxa"/>
                    <w:right w:w="28" w:type="dxa"/>
                  </w:tcMar>
                  <w:vAlign w:val="center"/>
                </w:tcPr>
                <w:p w14:paraId="0DA4BCC3">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0.88 </w:t>
                  </w:r>
                </w:p>
              </w:tc>
              <w:tc>
                <w:tcPr>
                  <w:tcW w:w="750" w:type="dxa"/>
                  <w:shd w:val="clear" w:color="auto" w:fill="auto"/>
                  <w:noWrap w:val="0"/>
                  <w:tcMar>
                    <w:left w:w="28" w:type="dxa"/>
                    <w:right w:w="28" w:type="dxa"/>
                  </w:tcMar>
                  <w:vAlign w:val="center"/>
                </w:tcPr>
                <w:p w14:paraId="34805B04">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0.353 </w:t>
                  </w:r>
                </w:p>
              </w:tc>
              <w:tc>
                <w:tcPr>
                  <w:tcW w:w="282" w:type="pct"/>
                  <w:shd w:val="clear" w:color="auto" w:fill="auto"/>
                  <w:noWrap w:val="0"/>
                  <w:tcMar>
                    <w:left w:w="28" w:type="dxa"/>
                    <w:right w:w="28" w:type="dxa"/>
                  </w:tcMar>
                  <w:vAlign w:val="center"/>
                </w:tcPr>
                <w:p w14:paraId="1A3BF508">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40" w:type="pct"/>
                  <w:vMerge w:val="continue"/>
                  <w:noWrap w:val="0"/>
                  <w:tcMar>
                    <w:left w:w="28" w:type="dxa"/>
                    <w:right w:w="28" w:type="dxa"/>
                  </w:tcMar>
                  <w:vAlign w:val="center"/>
                </w:tcPr>
                <w:p w14:paraId="69E82B70">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p>
              </w:tc>
              <w:tc>
                <w:tcPr>
                  <w:tcW w:w="252" w:type="pct"/>
                  <w:shd w:val="clear" w:color="auto" w:fill="auto"/>
                  <w:noWrap w:val="0"/>
                  <w:tcMar>
                    <w:left w:w="28" w:type="dxa"/>
                    <w:right w:w="28" w:type="dxa"/>
                  </w:tcMar>
                  <w:vAlign w:val="center"/>
                </w:tcPr>
                <w:p w14:paraId="6BF9DDEF">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shd w:val="clear" w:color="auto" w:fill="auto"/>
                  <w:noWrap w:val="0"/>
                  <w:tcMar>
                    <w:left w:w="28" w:type="dxa"/>
                    <w:right w:w="28" w:type="dxa"/>
                  </w:tcMar>
                  <w:vAlign w:val="center"/>
                </w:tcPr>
                <w:p w14:paraId="00860250">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c>
                <w:tcPr>
                  <w:tcW w:w="198" w:type="pct"/>
                  <w:shd w:val="clear" w:color="auto" w:fill="auto"/>
                  <w:noWrap w:val="0"/>
                  <w:tcMar>
                    <w:left w:w="28" w:type="dxa"/>
                    <w:right w:w="28" w:type="dxa"/>
                  </w:tcMar>
                  <w:vAlign w:val="center"/>
                </w:tcPr>
                <w:p w14:paraId="3E5A0C7E">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774" w:type="dxa"/>
                  <w:shd w:val="clear" w:color="auto" w:fill="auto"/>
                  <w:noWrap w:val="0"/>
                  <w:tcMar>
                    <w:left w:w="28" w:type="dxa"/>
                    <w:right w:w="28" w:type="dxa"/>
                  </w:tcMar>
                  <w:vAlign w:val="center"/>
                </w:tcPr>
                <w:p w14:paraId="30D99197">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14.67 </w:t>
                  </w:r>
                </w:p>
              </w:tc>
              <w:tc>
                <w:tcPr>
                  <w:tcW w:w="698" w:type="dxa"/>
                  <w:shd w:val="clear" w:color="auto" w:fill="auto"/>
                  <w:noWrap w:val="0"/>
                  <w:tcMar>
                    <w:left w:w="28" w:type="dxa"/>
                    <w:right w:w="28" w:type="dxa"/>
                  </w:tcMar>
                  <w:vAlign w:val="center"/>
                </w:tcPr>
                <w:p w14:paraId="4CCCD78F">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0.220 </w:t>
                  </w:r>
                </w:p>
              </w:tc>
              <w:tc>
                <w:tcPr>
                  <w:tcW w:w="291" w:type="pct"/>
                  <w:shd w:val="clear" w:color="auto" w:fill="auto"/>
                  <w:noWrap w:val="0"/>
                  <w:tcMar>
                    <w:left w:w="28" w:type="dxa"/>
                    <w:right w:w="28" w:type="dxa"/>
                  </w:tcMar>
                  <w:vAlign w:val="center"/>
                </w:tcPr>
                <w:p w14:paraId="3FBB98D1">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0.088 </w:t>
                  </w:r>
                </w:p>
              </w:tc>
            </w:tr>
            <w:tr w14:paraId="4A8A6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8" w:type="pct"/>
                  <w:vMerge w:val="continue"/>
                  <w:noWrap w:val="0"/>
                  <w:tcMar>
                    <w:left w:w="28" w:type="dxa"/>
                    <w:right w:w="28" w:type="dxa"/>
                  </w:tcMar>
                  <w:vAlign w:val="center"/>
                </w:tcPr>
                <w:p w14:paraId="208FF1A9">
                  <w:pPr>
                    <w:widowControl/>
                    <w:jc w:val="center"/>
                    <w:textAlignment w:val="center"/>
                    <w:rPr>
                      <w:color w:val="000000" w:themeColor="text1"/>
                      <w:kern w:val="0"/>
                      <w:sz w:val="21"/>
                      <w:szCs w:val="21"/>
                      <w:highlight w:val="none"/>
                      <w:lang w:bidi="ar"/>
                      <w14:textFill>
                        <w14:solidFill>
                          <w14:schemeClr w14:val="tx1"/>
                        </w14:solidFill>
                      </w14:textFill>
                    </w:rPr>
                  </w:pPr>
                </w:p>
              </w:tc>
              <w:tc>
                <w:tcPr>
                  <w:tcW w:w="368" w:type="pct"/>
                  <w:shd w:val="clear" w:color="auto" w:fill="auto"/>
                  <w:noWrap w:val="0"/>
                  <w:tcMar>
                    <w:left w:w="28" w:type="dxa"/>
                    <w:right w:w="28" w:type="dxa"/>
                  </w:tcMar>
                  <w:vAlign w:val="center"/>
                </w:tcPr>
                <w:p w14:paraId="60B649F7">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面漆流平固化</w:t>
                  </w:r>
                </w:p>
              </w:tc>
              <w:tc>
                <w:tcPr>
                  <w:tcW w:w="479" w:type="pct"/>
                  <w:shd w:val="clear" w:color="auto" w:fill="auto"/>
                  <w:noWrap w:val="0"/>
                  <w:tcMar>
                    <w:left w:w="28" w:type="dxa"/>
                    <w:right w:w="28" w:type="dxa"/>
                  </w:tcMar>
                  <w:vAlign w:val="center"/>
                </w:tcPr>
                <w:p w14:paraId="6F096B94">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非甲烷总烃</w:t>
                  </w:r>
                </w:p>
              </w:tc>
              <w:tc>
                <w:tcPr>
                  <w:tcW w:w="304" w:type="pct"/>
                  <w:shd w:val="clear" w:color="auto" w:fill="auto"/>
                  <w:noWrap w:val="0"/>
                  <w:tcMar>
                    <w:left w:w="28" w:type="dxa"/>
                    <w:right w:w="28" w:type="dxa"/>
                  </w:tcMar>
                  <w:vAlign w:val="center"/>
                </w:tcPr>
                <w:p w14:paraId="3D3BCC30">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15000</w:t>
                  </w:r>
                </w:p>
              </w:tc>
              <w:tc>
                <w:tcPr>
                  <w:tcW w:w="312" w:type="pct"/>
                  <w:shd w:val="clear" w:color="auto" w:fill="auto"/>
                  <w:noWrap w:val="0"/>
                  <w:tcMar>
                    <w:left w:w="28" w:type="dxa"/>
                    <w:right w:w="28" w:type="dxa"/>
                  </w:tcMar>
                  <w:vAlign w:val="center"/>
                </w:tcPr>
                <w:p w14:paraId="08C2E347">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18.33 </w:t>
                  </w:r>
                </w:p>
              </w:tc>
              <w:tc>
                <w:tcPr>
                  <w:tcW w:w="304" w:type="pct"/>
                  <w:shd w:val="clear" w:color="auto" w:fill="auto"/>
                  <w:noWrap w:val="0"/>
                  <w:tcMar>
                    <w:left w:w="28" w:type="dxa"/>
                    <w:right w:w="28" w:type="dxa"/>
                  </w:tcMar>
                  <w:vAlign w:val="center"/>
                </w:tcPr>
                <w:p w14:paraId="7A104C82">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0.28 </w:t>
                  </w:r>
                </w:p>
              </w:tc>
              <w:tc>
                <w:tcPr>
                  <w:tcW w:w="750" w:type="dxa"/>
                  <w:shd w:val="clear" w:color="auto" w:fill="auto"/>
                  <w:noWrap w:val="0"/>
                  <w:tcMar>
                    <w:left w:w="28" w:type="dxa"/>
                    <w:right w:w="28" w:type="dxa"/>
                  </w:tcMar>
                  <w:vAlign w:val="center"/>
                </w:tcPr>
                <w:p w14:paraId="14B251A3">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0.066 </w:t>
                  </w:r>
                </w:p>
              </w:tc>
              <w:tc>
                <w:tcPr>
                  <w:tcW w:w="282" w:type="pct"/>
                  <w:shd w:val="clear" w:color="auto" w:fill="auto"/>
                  <w:noWrap w:val="0"/>
                  <w:tcMar>
                    <w:left w:w="28" w:type="dxa"/>
                    <w:right w:w="28" w:type="dxa"/>
                  </w:tcMar>
                  <w:vAlign w:val="center"/>
                </w:tcPr>
                <w:p w14:paraId="744BF457">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40" w:type="pct"/>
                  <w:vMerge w:val="continue"/>
                  <w:noWrap w:val="0"/>
                  <w:tcMar>
                    <w:left w:w="28" w:type="dxa"/>
                    <w:right w:w="28" w:type="dxa"/>
                  </w:tcMar>
                  <w:vAlign w:val="center"/>
                </w:tcPr>
                <w:p w14:paraId="7ECCD41B">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p>
              </w:tc>
              <w:tc>
                <w:tcPr>
                  <w:tcW w:w="252" w:type="pct"/>
                  <w:shd w:val="clear" w:color="auto" w:fill="auto"/>
                  <w:noWrap w:val="0"/>
                  <w:tcMar>
                    <w:left w:w="28" w:type="dxa"/>
                    <w:right w:w="28" w:type="dxa"/>
                  </w:tcMar>
                  <w:vAlign w:val="center"/>
                </w:tcPr>
                <w:p w14:paraId="7586D377">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shd w:val="clear" w:color="auto" w:fill="auto"/>
                  <w:noWrap w:val="0"/>
                  <w:tcMar>
                    <w:left w:w="28" w:type="dxa"/>
                    <w:right w:w="28" w:type="dxa"/>
                  </w:tcMar>
                  <w:vAlign w:val="center"/>
                </w:tcPr>
                <w:p w14:paraId="773B66CF">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c>
                <w:tcPr>
                  <w:tcW w:w="198" w:type="pct"/>
                  <w:shd w:val="clear" w:color="auto" w:fill="auto"/>
                  <w:noWrap w:val="0"/>
                  <w:tcMar>
                    <w:left w:w="28" w:type="dxa"/>
                    <w:right w:w="28" w:type="dxa"/>
                  </w:tcMar>
                  <w:vAlign w:val="center"/>
                </w:tcPr>
                <w:p w14:paraId="3867782F">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240</w:t>
                  </w:r>
                </w:p>
              </w:tc>
              <w:tc>
                <w:tcPr>
                  <w:tcW w:w="774" w:type="dxa"/>
                  <w:shd w:val="clear" w:color="auto" w:fill="auto"/>
                  <w:noWrap w:val="0"/>
                  <w:tcMar>
                    <w:left w:w="28" w:type="dxa"/>
                    <w:right w:w="28" w:type="dxa"/>
                  </w:tcMar>
                  <w:vAlign w:val="center"/>
                </w:tcPr>
                <w:p w14:paraId="266274C8">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4.72 </w:t>
                  </w:r>
                </w:p>
              </w:tc>
              <w:tc>
                <w:tcPr>
                  <w:tcW w:w="698" w:type="dxa"/>
                  <w:shd w:val="clear" w:color="auto" w:fill="auto"/>
                  <w:noWrap w:val="0"/>
                  <w:tcMar>
                    <w:left w:w="28" w:type="dxa"/>
                    <w:right w:w="28" w:type="dxa"/>
                  </w:tcMar>
                  <w:vAlign w:val="center"/>
                </w:tcPr>
                <w:p w14:paraId="7E1F5D3A">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0.071 </w:t>
                  </w:r>
                </w:p>
              </w:tc>
              <w:tc>
                <w:tcPr>
                  <w:tcW w:w="291" w:type="pct"/>
                  <w:shd w:val="clear" w:color="auto" w:fill="auto"/>
                  <w:noWrap w:val="0"/>
                  <w:tcMar>
                    <w:left w:w="28" w:type="dxa"/>
                    <w:right w:w="28" w:type="dxa"/>
                  </w:tcMar>
                  <w:vAlign w:val="center"/>
                </w:tcPr>
                <w:p w14:paraId="02532C40">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0.017 </w:t>
                  </w:r>
                </w:p>
              </w:tc>
            </w:tr>
            <w:tr w14:paraId="3886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8" w:type="pct"/>
                  <w:vMerge w:val="continue"/>
                  <w:noWrap w:val="0"/>
                  <w:tcMar>
                    <w:left w:w="28" w:type="dxa"/>
                    <w:right w:w="28" w:type="dxa"/>
                  </w:tcMar>
                  <w:vAlign w:val="center"/>
                </w:tcPr>
                <w:p w14:paraId="7D256C4A">
                  <w:pPr>
                    <w:widowControl/>
                    <w:jc w:val="center"/>
                    <w:textAlignment w:val="center"/>
                    <w:rPr>
                      <w:color w:val="000000" w:themeColor="text1"/>
                      <w:kern w:val="0"/>
                      <w:sz w:val="21"/>
                      <w:szCs w:val="21"/>
                      <w:highlight w:val="none"/>
                      <w:lang w:bidi="ar"/>
                      <w14:textFill>
                        <w14:solidFill>
                          <w14:schemeClr w14:val="tx1"/>
                        </w14:solidFill>
                      </w14:textFill>
                    </w:rPr>
                  </w:pPr>
                </w:p>
              </w:tc>
              <w:tc>
                <w:tcPr>
                  <w:tcW w:w="368" w:type="pct"/>
                  <w:shd w:val="clear" w:color="auto" w:fill="auto"/>
                  <w:noWrap w:val="0"/>
                  <w:tcMar>
                    <w:left w:w="28" w:type="dxa"/>
                    <w:right w:w="28" w:type="dxa"/>
                  </w:tcMar>
                  <w:vAlign w:val="center"/>
                </w:tcPr>
                <w:p w14:paraId="16E0E371">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面漆</w:t>
                  </w:r>
                  <w:r>
                    <w:rPr>
                      <w:rFonts w:hint="eastAsia"/>
                      <w:color w:val="000000" w:themeColor="text1"/>
                      <w:kern w:val="0"/>
                      <w:sz w:val="21"/>
                      <w:szCs w:val="21"/>
                      <w:highlight w:val="none"/>
                      <w:lang w:val="en-US" w:eastAsia="zh-CN" w:bidi="ar"/>
                      <w14:textFill>
                        <w14:solidFill>
                          <w14:schemeClr w14:val="tx1"/>
                        </w14:solidFill>
                      </w14:textFill>
                    </w:rPr>
                    <w:t>烘干</w:t>
                  </w:r>
                </w:p>
              </w:tc>
              <w:tc>
                <w:tcPr>
                  <w:tcW w:w="479" w:type="pct"/>
                  <w:shd w:val="clear" w:color="auto" w:fill="auto"/>
                  <w:noWrap w:val="0"/>
                  <w:tcMar>
                    <w:left w:w="28" w:type="dxa"/>
                    <w:right w:w="28" w:type="dxa"/>
                  </w:tcMar>
                  <w:vAlign w:val="center"/>
                </w:tcPr>
                <w:p w14:paraId="2BBB4A73">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非甲烷总烃</w:t>
                  </w:r>
                </w:p>
              </w:tc>
              <w:tc>
                <w:tcPr>
                  <w:tcW w:w="304" w:type="pct"/>
                  <w:shd w:val="clear" w:color="auto" w:fill="auto"/>
                  <w:noWrap w:val="0"/>
                  <w:tcMar>
                    <w:left w:w="28" w:type="dxa"/>
                    <w:right w:w="28" w:type="dxa"/>
                  </w:tcMar>
                  <w:vAlign w:val="center"/>
                </w:tcPr>
                <w:p w14:paraId="4E8C5472">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2000</w:t>
                  </w:r>
                </w:p>
              </w:tc>
              <w:tc>
                <w:tcPr>
                  <w:tcW w:w="312" w:type="pct"/>
                  <w:shd w:val="clear" w:color="auto" w:fill="auto"/>
                  <w:noWrap w:val="0"/>
                  <w:tcMar>
                    <w:left w:w="28" w:type="dxa"/>
                    <w:right w:w="28" w:type="dxa"/>
                  </w:tcMar>
                  <w:vAlign w:val="center"/>
                </w:tcPr>
                <w:p w14:paraId="79737CAB">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22.00 </w:t>
                  </w:r>
                </w:p>
              </w:tc>
              <w:tc>
                <w:tcPr>
                  <w:tcW w:w="304" w:type="pct"/>
                  <w:shd w:val="clear" w:color="auto" w:fill="auto"/>
                  <w:noWrap w:val="0"/>
                  <w:tcMar>
                    <w:left w:w="28" w:type="dxa"/>
                    <w:right w:w="28" w:type="dxa"/>
                  </w:tcMar>
                  <w:vAlign w:val="center"/>
                </w:tcPr>
                <w:p w14:paraId="5302B02B">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0.04 </w:t>
                  </w:r>
                </w:p>
              </w:tc>
              <w:tc>
                <w:tcPr>
                  <w:tcW w:w="750" w:type="dxa"/>
                  <w:shd w:val="clear" w:color="auto" w:fill="auto"/>
                  <w:noWrap w:val="0"/>
                  <w:tcMar>
                    <w:left w:w="28" w:type="dxa"/>
                    <w:right w:w="28" w:type="dxa"/>
                  </w:tcMar>
                  <w:vAlign w:val="center"/>
                </w:tcPr>
                <w:p w14:paraId="54EDBB78">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0.022 </w:t>
                  </w:r>
                </w:p>
              </w:tc>
              <w:tc>
                <w:tcPr>
                  <w:tcW w:w="282" w:type="pct"/>
                  <w:shd w:val="clear" w:color="auto" w:fill="auto"/>
                  <w:noWrap w:val="0"/>
                  <w:tcMar>
                    <w:left w:w="28" w:type="dxa"/>
                    <w:right w:w="28" w:type="dxa"/>
                  </w:tcMar>
                  <w:vAlign w:val="center"/>
                </w:tcPr>
                <w:p w14:paraId="5E1F6ACA">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90%</w:t>
                  </w:r>
                </w:p>
              </w:tc>
              <w:tc>
                <w:tcPr>
                  <w:tcW w:w="740" w:type="pct"/>
                  <w:vMerge w:val="continue"/>
                  <w:noWrap w:val="0"/>
                  <w:tcMar>
                    <w:left w:w="28" w:type="dxa"/>
                    <w:right w:w="28" w:type="dxa"/>
                  </w:tcMar>
                  <w:vAlign w:val="center"/>
                </w:tcPr>
                <w:p w14:paraId="2FA725D6">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p>
              </w:tc>
              <w:tc>
                <w:tcPr>
                  <w:tcW w:w="252" w:type="pct"/>
                  <w:shd w:val="clear" w:color="auto" w:fill="auto"/>
                  <w:noWrap w:val="0"/>
                  <w:tcMar>
                    <w:left w:w="28" w:type="dxa"/>
                    <w:right w:w="28" w:type="dxa"/>
                  </w:tcMar>
                  <w:vAlign w:val="center"/>
                </w:tcPr>
                <w:p w14:paraId="1EC48FF8">
                  <w:pPr>
                    <w:widowControl/>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280" w:type="pct"/>
                  <w:shd w:val="clear" w:color="auto" w:fill="auto"/>
                  <w:noWrap w:val="0"/>
                  <w:tcMar>
                    <w:left w:w="28" w:type="dxa"/>
                    <w:right w:w="28" w:type="dxa"/>
                  </w:tcMar>
                  <w:vAlign w:val="center"/>
                </w:tcPr>
                <w:p w14:paraId="7AB963BE">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75%</w:t>
                  </w:r>
                </w:p>
              </w:tc>
              <w:tc>
                <w:tcPr>
                  <w:tcW w:w="198" w:type="pct"/>
                  <w:shd w:val="clear" w:color="auto" w:fill="auto"/>
                  <w:noWrap w:val="0"/>
                  <w:tcMar>
                    <w:left w:w="28" w:type="dxa"/>
                    <w:right w:w="28" w:type="dxa"/>
                  </w:tcMar>
                  <w:vAlign w:val="center"/>
                </w:tcPr>
                <w:p w14:paraId="0D1FB5D9">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500</w:t>
                  </w:r>
                </w:p>
              </w:tc>
              <w:tc>
                <w:tcPr>
                  <w:tcW w:w="774" w:type="dxa"/>
                  <w:shd w:val="clear" w:color="auto" w:fill="auto"/>
                  <w:noWrap w:val="0"/>
                  <w:tcMar>
                    <w:left w:w="28" w:type="dxa"/>
                    <w:right w:w="28" w:type="dxa"/>
                  </w:tcMar>
                  <w:vAlign w:val="center"/>
                </w:tcPr>
                <w:p w14:paraId="01768D67">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6.00 </w:t>
                  </w:r>
                </w:p>
              </w:tc>
              <w:tc>
                <w:tcPr>
                  <w:tcW w:w="698" w:type="dxa"/>
                  <w:shd w:val="clear" w:color="auto" w:fill="auto"/>
                  <w:noWrap w:val="0"/>
                  <w:tcMar>
                    <w:left w:w="28" w:type="dxa"/>
                    <w:right w:w="28" w:type="dxa"/>
                  </w:tcMar>
                  <w:vAlign w:val="center"/>
                </w:tcPr>
                <w:p w14:paraId="4BA80721">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0.012 </w:t>
                  </w:r>
                </w:p>
              </w:tc>
              <w:tc>
                <w:tcPr>
                  <w:tcW w:w="291" w:type="pct"/>
                  <w:shd w:val="clear" w:color="auto" w:fill="auto"/>
                  <w:noWrap w:val="0"/>
                  <w:tcMar>
                    <w:left w:w="28" w:type="dxa"/>
                    <w:right w:w="28" w:type="dxa"/>
                  </w:tcMar>
                  <w:vAlign w:val="center"/>
                </w:tcPr>
                <w:p w14:paraId="27768A69">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0.006 </w:t>
                  </w:r>
                </w:p>
              </w:tc>
            </w:tr>
            <w:tr w14:paraId="7248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8" w:type="pct"/>
                  <w:vMerge w:val="continue"/>
                  <w:noWrap w:val="0"/>
                  <w:tcMar>
                    <w:left w:w="28" w:type="dxa"/>
                    <w:right w:w="28" w:type="dxa"/>
                  </w:tcMar>
                  <w:vAlign w:val="center"/>
                </w:tcPr>
                <w:p w14:paraId="1B265C6C">
                  <w:pPr>
                    <w:widowControl/>
                    <w:jc w:val="center"/>
                    <w:textAlignment w:val="center"/>
                    <w:rPr>
                      <w:color w:val="000000" w:themeColor="text1"/>
                      <w:kern w:val="0"/>
                      <w:sz w:val="21"/>
                      <w:szCs w:val="21"/>
                      <w:highlight w:val="none"/>
                      <w:lang w:bidi="ar"/>
                      <w14:textFill>
                        <w14:solidFill>
                          <w14:schemeClr w14:val="tx1"/>
                        </w14:solidFill>
                      </w14:textFill>
                    </w:rPr>
                  </w:pPr>
                </w:p>
              </w:tc>
              <w:tc>
                <w:tcPr>
                  <w:tcW w:w="368" w:type="pct"/>
                  <w:vMerge w:val="restart"/>
                  <w:shd w:val="clear" w:color="auto" w:fill="auto"/>
                  <w:noWrap w:val="0"/>
                  <w:tcMar>
                    <w:left w:w="28" w:type="dxa"/>
                    <w:right w:w="28" w:type="dxa"/>
                  </w:tcMar>
                  <w:vAlign w:val="center"/>
                </w:tcPr>
                <w:p w14:paraId="08A03FA7">
                  <w:pPr>
                    <w:widowControl/>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天然气燃烧</w:t>
                  </w:r>
                </w:p>
              </w:tc>
              <w:tc>
                <w:tcPr>
                  <w:tcW w:w="479" w:type="pct"/>
                  <w:shd w:val="clear" w:color="auto" w:fill="auto"/>
                  <w:noWrap w:val="0"/>
                  <w:tcMar>
                    <w:left w:w="28" w:type="dxa"/>
                    <w:right w:w="28" w:type="dxa"/>
                  </w:tcMar>
                  <w:vAlign w:val="center"/>
                </w:tcPr>
                <w:p w14:paraId="411FF15C">
                  <w:pPr>
                    <w:widowControl/>
                    <w:jc w:val="center"/>
                    <w:textAlignment w:val="center"/>
                    <w:rPr>
                      <w:rFonts w:hint="eastAsia" w:ascii="Times New Roman" w:hAnsi="Times New Roman" w:eastAsia="宋体" w:cs="Times New Roman"/>
                      <w:color w:val="000000" w:themeColor="text1"/>
                      <w:kern w:val="0"/>
                      <w:sz w:val="21"/>
                      <w:szCs w:val="21"/>
                      <w:highlight w:val="none"/>
                      <w:vertAlign w:val="subscript"/>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SO</w:t>
                  </w:r>
                  <w:r>
                    <w:rPr>
                      <w:rFonts w:hint="eastAsia"/>
                      <w:color w:val="000000" w:themeColor="text1"/>
                      <w:kern w:val="0"/>
                      <w:sz w:val="21"/>
                      <w:szCs w:val="21"/>
                      <w:highlight w:val="none"/>
                      <w:vertAlign w:val="subscript"/>
                      <w:lang w:val="en-US" w:eastAsia="zh-CN" w:bidi="ar"/>
                      <w14:textFill>
                        <w14:solidFill>
                          <w14:schemeClr w14:val="tx1"/>
                        </w14:solidFill>
                      </w14:textFill>
                    </w:rPr>
                    <w:t>2</w:t>
                  </w:r>
                </w:p>
              </w:tc>
              <w:tc>
                <w:tcPr>
                  <w:tcW w:w="304" w:type="pct"/>
                  <w:shd w:val="clear" w:color="auto" w:fill="auto"/>
                  <w:noWrap w:val="0"/>
                  <w:tcMar>
                    <w:left w:w="28" w:type="dxa"/>
                    <w:right w:w="28" w:type="dxa"/>
                  </w:tcMar>
                  <w:vAlign w:val="center"/>
                </w:tcPr>
                <w:p w14:paraId="4A5D0404">
                  <w:pPr>
                    <w:keepNext w:val="0"/>
                    <w:keepLines w:val="0"/>
                    <w:widowControl/>
                    <w:suppressLineNumbers w:val="0"/>
                    <w:jc w:val="center"/>
                    <w:textAlignment w:val="center"/>
                    <w:rPr>
                      <w:rFonts w:hint="eastAsia"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1020</w:t>
                  </w:r>
                </w:p>
              </w:tc>
              <w:tc>
                <w:tcPr>
                  <w:tcW w:w="312" w:type="pct"/>
                  <w:shd w:val="clear" w:color="auto" w:fill="auto"/>
                  <w:noWrap w:val="0"/>
                  <w:tcMar>
                    <w:left w:w="28" w:type="dxa"/>
                    <w:right w:w="28" w:type="dxa"/>
                  </w:tcMar>
                  <w:vAlign w:val="center"/>
                </w:tcPr>
                <w:p w14:paraId="19C1A2EB">
                  <w:pPr>
                    <w:keepNext w:val="0"/>
                    <w:keepLines w:val="0"/>
                    <w:widowControl/>
                    <w:suppressLineNumbers w:val="0"/>
                    <w:jc w:val="center"/>
                    <w:textAlignment w:val="center"/>
                    <w:rPr>
                      <w:rFonts w:hint="eastAsia"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14.71 </w:t>
                  </w:r>
                </w:p>
              </w:tc>
              <w:tc>
                <w:tcPr>
                  <w:tcW w:w="304" w:type="pct"/>
                  <w:shd w:val="clear" w:color="auto" w:fill="auto"/>
                  <w:noWrap w:val="0"/>
                  <w:tcMar>
                    <w:left w:w="28" w:type="dxa"/>
                    <w:right w:w="28" w:type="dxa"/>
                  </w:tcMar>
                  <w:vAlign w:val="center"/>
                </w:tcPr>
                <w:p w14:paraId="175D675C">
                  <w:pPr>
                    <w:keepNext w:val="0"/>
                    <w:keepLines w:val="0"/>
                    <w:widowControl/>
                    <w:suppressLineNumbers w:val="0"/>
                    <w:jc w:val="center"/>
                    <w:textAlignment w:val="center"/>
                    <w:rPr>
                      <w:rFonts w:hint="eastAsia"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750" w:type="dxa"/>
                  <w:shd w:val="clear" w:color="auto" w:fill="auto"/>
                  <w:noWrap w:val="0"/>
                  <w:tcMar>
                    <w:left w:w="28" w:type="dxa"/>
                    <w:right w:w="28" w:type="dxa"/>
                  </w:tcMar>
                  <w:vAlign w:val="center"/>
                </w:tcPr>
                <w:p w14:paraId="3AF9297B">
                  <w:pPr>
                    <w:keepNext w:val="0"/>
                    <w:keepLines w:val="0"/>
                    <w:widowControl/>
                    <w:suppressLineNumbers w:val="0"/>
                    <w:jc w:val="center"/>
                    <w:textAlignment w:val="center"/>
                    <w:rPr>
                      <w:rFonts w:hint="eastAsia"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0.015 </w:t>
                  </w:r>
                </w:p>
              </w:tc>
              <w:tc>
                <w:tcPr>
                  <w:tcW w:w="282" w:type="pct"/>
                  <w:shd w:val="clear" w:color="auto" w:fill="auto"/>
                  <w:noWrap w:val="0"/>
                  <w:tcMar>
                    <w:left w:w="28" w:type="dxa"/>
                    <w:right w:w="28" w:type="dxa"/>
                  </w:tcMar>
                  <w:vAlign w:val="center"/>
                </w:tcPr>
                <w:p w14:paraId="555DB898">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740" w:type="pct"/>
                  <w:shd w:val="clear" w:color="auto" w:fill="auto"/>
                  <w:noWrap w:val="0"/>
                  <w:tcMar>
                    <w:left w:w="28" w:type="dxa"/>
                    <w:right w:w="28" w:type="dxa"/>
                  </w:tcMar>
                  <w:vAlign w:val="center"/>
                </w:tcPr>
                <w:p w14:paraId="78B69E4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通过15m高排气筒排放（DA002）</w:t>
                  </w:r>
                </w:p>
              </w:tc>
              <w:tc>
                <w:tcPr>
                  <w:tcW w:w="252" w:type="pct"/>
                  <w:shd w:val="clear" w:color="auto" w:fill="auto"/>
                  <w:noWrap w:val="0"/>
                  <w:tcMar>
                    <w:left w:w="28" w:type="dxa"/>
                    <w:right w:w="28" w:type="dxa"/>
                  </w:tcMar>
                  <w:vAlign w:val="center"/>
                </w:tcPr>
                <w:p w14:paraId="2C22384A">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280" w:type="pct"/>
                  <w:shd w:val="clear" w:color="auto" w:fill="auto"/>
                  <w:noWrap w:val="0"/>
                  <w:tcMar>
                    <w:left w:w="28" w:type="dxa"/>
                    <w:right w:w="28" w:type="dxa"/>
                  </w:tcMar>
                  <w:vAlign w:val="center"/>
                </w:tcPr>
                <w:p w14:paraId="3CF3CAAA">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98" w:type="pct"/>
                  <w:shd w:val="clear" w:color="auto" w:fill="auto"/>
                  <w:noWrap w:val="0"/>
                  <w:tcMar>
                    <w:left w:w="28" w:type="dxa"/>
                    <w:right w:w="28" w:type="dxa"/>
                  </w:tcMar>
                  <w:vAlign w:val="center"/>
                </w:tcPr>
                <w:p w14:paraId="43C082E1">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w:t>
                  </w:r>
                </w:p>
              </w:tc>
              <w:tc>
                <w:tcPr>
                  <w:tcW w:w="309" w:type="pct"/>
                  <w:shd w:val="clear" w:color="auto" w:fill="auto"/>
                  <w:noWrap w:val="0"/>
                  <w:tcMar>
                    <w:left w:w="28" w:type="dxa"/>
                    <w:right w:w="28" w:type="dxa"/>
                  </w:tcMar>
                  <w:vAlign w:val="center"/>
                </w:tcPr>
                <w:p w14:paraId="32221F9E">
                  <w:pPr>
                    <w:keepNext w:val="0"/>
                    <w:keepLines w:val="0"/>
                    <w:widowControl/>
                    <w:suppressLineNumbers w:val="0"/>
                    <w:jc w:val="center"/>
                    <w:textAlignment w:val="center"/>
                    <w:rPr>
                      <w:rFonts w:hint="eastAsia"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14.71 </w:t>
                  </w:r>
                </w:p>
              </w:tc>
              <w:tc>
                <w:tcPr>
                  <w:tcW w:w="278" w:type="pct"/>
                  <w:shd w:val="clear" w:color="auto" w:fill="auto"/>
                  <w:noWrap w:val="0"/>
                  <w:tcMar>
                    <w:left w:w="28" w:type="dxa"/>
                    <w:right w:w="28" w:type="dxa"/>
                  </w:tcMar>
                  <w:vAlign w:val="center"/>
                </w:tcPr>
                <w:p w14:paraId="04175617">
                  <w:pPr>
                    <w:keepNext w:val="0"/>
                    <w:keepLines w:val="0"/>
                    <w:widowControl/>
                    <w:suppressLineNumbers w:val="0"/>
                    <w:jc w:val="center"/>
                    <w:textAlignment w:val="center"/>
                    <w:rPr>
                      <w:rFonts w:hint="eastAsia"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0.015 </w:t>
                  </w:r>
                </w:p>
              </w:tc>
              <w:tc>
                <w:tcPr>
                  <w:tcW w:w="291" w:type="pct"/>
                  <w:shd w:val="clear" w:color="auto" w:fill="auto"/>
                  <w:noWrap w:val="0"/>
                  <w:tcMar>
                    <w:left w:w="28" w:type="dxa"/>
                    <w:right w:w="28" w:type="dxa"/>
                  </w:tcMar>
                  <w:vAlign w:val="center"/>
                </w:tcPr>
                <w:p w14:paraId="4825934C">
                  <w:pPr>
                    <w:keepNext w:val="0"/>
                    <w:keepLines w:val="0"/>
                    <w:widowControl/>
                    <w:suppressLineNumbers w:val="0"/>
                    <w:jc w:val="center"/>
                    <w:textAlignment w:val="center"/>
                    <w:rPr>
                      <w:rFonts w:hint="eastAsia"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0.015 </w:t>
                  </w:r>
                </w:p>
              </w:tc>
            </w:tr>
            <w:tr w14:paraId="2D85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8" w:type="pct"/>
                  <w:vMerge w:val="continue"/>
                  <w:noWrap w:val="0"/>
                  <w:tcMar>
                    <w:left w:w="28" w:type="dxa"/>
                    <w:right w:w="28" w:type="dxa"/>
                  </w:tcMar>
                  <w:vAlign w:val="center"/>
                </w:tcPr>
                <w:p w14:paraId="28EFA21A">
                  <w:pPr>
                    <w:widowControl/>
                    <w:jc w:val="center"/>
                    <w:textAlignment w:val="center"/>
                    <w:rPr>
                      <w:color w:val="000000" w:themeColor="text1"/>
                      <w:kern w:val="0"/>
                      <w:sz w:val="21"/>
                      <w:szCs w:val="21"/>
                      <w:highlight w:val="none"/>
                      <w:lang w:bidi="ar"/>
                      <w14:textFill>
                        <w14:solidFill>
                          <w14:schemeClr w14:val="tx1"/>
                        </w14:solidFill>
                      </w14:textFill>
                    </w:rPr>
                  </w:pPr>
                </w:p>
              </w:tc>
              <w:tc>
                <w:tcPr>
                  <w:tcW w:w="368" w:type="pct"/>
                  <w:vMerge w:val="continue"/>
                  <w:noWrap w:val="0"/>
                  <w:tcMar>
                    <w:left w:w="28" w:type="dxa"/>
                    <w:right w:w="28" w:type="dxa"/>
                  </w:tcMar>
                  <w:vAlign w:val="center"/>
                </w:tcPr>
                <w:p w14:paraId="79684A0D">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p>
              </w:tc>
              <w:tc>
                <w:tcPr>
                  <w:tcW w:w="479" w:type="pct"/>
                  <w:shd w:val="clear" w:color="auto" w:fill="auto"/>
                  <w:noWrap w:val="0"/>
                  <w:tcMar>
                    <w:left w:w="28" w:type="dxa"/>
                    <w:right w:w="28" w:type="dxa"/>
                  </w:tcMar>
                  <w:vAlign w:val="center"/>
                </w:tcPr>
                <w:p w14:paraId="781893B5">
                  <w:pPr>
                    <w:widowControl/>
                    <w:jc w:val="center"/>
                    <w:textAlignment w:val="center"/>
                    <w:rPr>
                      <w:rFonts w:hint="eastAsia" w:ascii="Times New Roman" w:hAnsi="Times New Roman" w:eastAsia="宋体" w:cs="Times New Roman"/>
                      <w:color w:val="000000" w:themeColor="text1"/>
                      <w:kern w:val="0"/>
                      <w:sz w:val="21"/>
                      <w:szCs w:val="21"/>
                      <w:highlight w:val="none"/>
                      <w:vertAlign w:val="subscript"/>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NO</w:t>
                  </w:r>
                  <w:r>
                    <w:rPr>
                      <w:rFonts w:hint="eastAsia"/>
                      <w:color w:val="000000" w:themeColor="text1"/>
                      <w:kern w:val="0"/>
                      <w:sz w:val="21"/>
                      <w:szCs w:val="21"/>
                      <w:highlight w:val="none"/>
                      <w:vertAlign w:val="subscript"/>
                      <w:lang w:val="en-US" w:eastAsia="zh-CN" w:bidi="ar"/>
                      <w14:textFill>
                        <w14:solidFill>
                          <w14:schemeClr w14:val="tx1"/>
                        </w14:solidFill>
                      </w14:textFill>
                    </w:rPr>
                    <w:t>X</w:t>
                  </w:r>
                </w:p>
              </w:tc>
              <w:tc>
                <w:tcPr>
                  <w:tcW w:w="304" w:type="pct"/>
                  <w:shd w:val="clear" w:color="auto" w:fill="auto"/>
                  <w:noWrap w:val="0"/>
                  <w:tcMar>
                    <w:left w:w="28" w:type="dxa"/>
                    <w:right w:w="28" w:type="dxa"/>
                  </w:tcMar>
                  <w:vAlign w:val="center"/>
                </w:tcPr>
                <w:p w14:paraId="2BB206D6">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1020</w:t>
                  </w:r>
                </w:p>
              </w:tc>
              <w:tc>
                <w:tcPr>
                  <w:tcW w:w="312" w:type="pct"/>
                  <w:shd w:val="clear" w:color="auto" w:fill="auto"/>
                  <w:noWrap w:val="0"/>
                  <w:tcMar>
                    <w:left w:w="28" w:type="dxa"/>
                    <w:right w:w="28" w:type="dxa"/>
                  </w:tcMar>
                  <w:vAlign w:val="center"/>
                </w:tcPr>
                <w:p w14:paraId="15DA6415">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137.50 </w:t>
                  </w:r>
                </w:p>
              </w:tc>
              <w:tc>
                <w:tcPr>
                  <w:tcW w:w="304" w:type="pct"/>
                  <w:shd w:val="clear" w:color="auto" w:fill="auto"/>
                  <w:noWrap w:val="0"/>
                  <w:tcMar>
                    <w:left w:w="28" w:type="dxa"/>
                    <w:right w:w="28" w:type="dxa"/>
                  </w:tcMar>
                  <w:vAlign w:val="center"/>
                </w:tcPr>
                <w:p w14:paraId="756988E7">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0.14 </w:t>
                  </w:r>
                </w:p>
              </w:tc>
              <w:tc>
                <w:tcPr>
                  <w:tcW w:w="750" w:type="dxa"/>
                  <w:shd w:val="clear" w:color="auto" w:fill="auto"/>
                  <w:noWrap w:val="0"/>
                  <w:tcMar>
                    <w:left w:w="28" w:type="dxa"/>
                    <w:right w:w="28" w:type="dxa"/>
                  </w:tcMar>
                  <w:vAlign w:val="center"/>
                </w:tcPr>
                <w:p w14:paraId="7262979A">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0.140 </w:t>
                  </w:r>
                </w:p>
              </w:tc>
              <w:tc>
                <w:tcPr>
                  <w:tcW w:w="282" w:type="pct"/>
                  <w:shd w:val="clear" w:color="auto" w:fill="auto"/>
                  <w:noWrap w:val="0"/>
                  <w:tcMar>
                    <w:left w:w="28" w:type="dxa"/>
                    <w:right w:w="28" w:type="dxa"/>
                  </w:tcMar>
                  <w:vAlign w:val="center"/>
                </w:tcPr>
                <w:p w14:paraId="24C2CE0F">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1853" w:type="dxa"/>
                  <w:noWrap w:val="0"/>
                  <w:tcMar>
                    <w:left w:w="28" w:type="dxa"/>
                    <w:right w:w="28" w:type="dxa"/>
                  </w:tcMar>
                  <w:vAlign w:val="center"/>
                </w:tcPr>
                <w:p w14:paraId="031CC933">
                  <w:pPr>
                    <w:widowControl/>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采用低氮燃烧技术后通过15m高排气筒排放（DA002）</w:t>
                  </w:r>
                </w:p>
              </w:tc>
              <w:tc>
                <w:tcPr>
                  <w:tcW w:w="633" w:type="dxa"/>
                  <w:noWrap w:val="0"/>
                  <w:tcMar>
                    <w:left w:w="28" w:type="dxa"/>
                    <w:right w:w="28" w:type="dxa"/>
                  </w:tcMar>
                  <w:vAlign w:val="center"/>
                </w:tcPr>
                <w:p w14:paraId="4026F4B7">
                  <w:pPr>
                    <w:widowControl/>
                    <w:jc w:val="center"/>
                    <w:textAlignment w:val="center"/>
                    <w:rPr>
                      <w:rFonts w:hint="eastAsia"/>
                      <w:color w:val="000000" w:themeColor="text1"/>
                      <w:sz w:val="21"/>
                      <w:szCs w:val="21"/>
                      <w:highlight w:val="none"/>
                      <w:lang w:val="en-US" w:eastAsia="zh-CN"/>
                      <w14:textFill>
                        <w14:solidFill>
                          <w14:schemeClr w14:val="tx1"/>
                        </w14:solidFill>
                      </w14:textFill>
                    </w:rPr>
                  </w:pPr>
                  <w:r>
                    <w:rPr>
                      <w:color w:val="000000" w:themeColor="text1"/>
                      <w:kern w:val="0"/>
                      <w:sz w:val="21"/>
                      <w:szCs w:val="21"/>
                      <w:highlight w:val="none"/>
                      <w:lang w:bidi="ar"/>
                      <w14:textFill>
                        <w14:solidFill>
                          <w14:schemeClr w14:val="tx1"/>
                        </w14:solidFill>
                      </w14:textFill>
                    </w:rPr>
                    <w:t>是</w:t>
                  </w:r>
                </w:p>
              </w:tc>
              <w:tc>
                <w:tcPr>
                  <w:tcW w:w="701" w:type="dxa"/>
                  <w:noWrap w:val="0"/>
                  <w:tcMar>
                    <w:left w:w="28" w:type="dxa"/>
                    <w:right w:w="28" w:type="dxa"/>
                  </w:tcMar>
                  <w:vAlign w:val="center"/>
                </w:tcPr>
                <w:p w14:paraId="7AB0647A">
                  <w:pPr>
                    <w:keepNext w:val="0"/>
                    <w:keepLines w:val="0"/>
                    <w:widowControl/>
                    <w:suppressLineNumbers w:val="0"/>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98" w:type="pct"/>
                  <w:shd w:val="clear" w:color="auto" w:fill="auto"/>
                  <w:noWrap w:val="0"/>
                  <w:tcMar>
                    <w:left w:w="28" w:type="dxa"/>
                    <w:right w:w="28" w:type="dxa"/>
                  </w:tcMar>
                  <w:vAlign w:val="center"/>
                </w:tcPr>
                <w:p w14:paraId="27D3D54B">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w:t>
                  </w:r>
                </w:p>
              </w:tc>
              <w:tc>
                <w:tcPr>
                  <w:tcW w:w="774" w:type="dxa"/>
                  <w:shd w:val="clear" w:color="auto" w:fill="auto"/>
                  <w:noWrap w:val="0"/>
                  <w:tcMar>
                    <w:left w:w="28" w:type="dxa"/>
                    <w:right w:w="28" w:type="dxa"/>
                  </w:tcMar>
                  <w:vAlign w:val="center"/>
                </w:tcPr>
                <w:p w14:paraId="7E9D98CF">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68.75 </w:t>
                  </w:r>
                </w:p>
              </w:tc>
              <w:tc>
                <w:tcPr>
                  <w:tcW w:w="698" w:type="dxa"/>
                  <w:shd w:val="clear" w:color="auto" w:fill="auto"/>
                  <w:noWrap w:val="0"/>
                  <w:tcMar>
                    <w:left w:w="28" w:type="dxa"/>
                    <w:right w:w="28" w:type="dxa"/>
                  </w:tcMar>
                  <w:vAlign w:val="center"/>
                </w:tcPr>
                <w:p w14:paraId="2D589A58">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0.070 </w:t>
                  </w:r>
                </w:p>
              </w:tc>
              <w:tc>
                <w:tcPr>
                  <w:tcW w:w="729" w:type="dxa"/>
                  <w:shd w:val="clear" w:color="auto" w:fill="auto"/>
                  <w:noWrap w:val="0"/>
                  <w:tcMar>
                    <w:left w:w="28" w:type="dxa"/>
                    <w:right w:w="28" w:type="dxa"/>
                  </w:tcMar>
                  <w:vAlign w:val="center"/>
                </w:tcPr>
                <w:p w14:paraId="5ACD8C43">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0.070 </w:t>
                  </w:r>
                </w:p>
              </w:tc>
            </w:tr>
            <w:tr w14:paraId="7C59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8" w:type="pct"/>
                  <w:vMerge w:val="continue"/>
                  <w:noWrap w:val="0"/>
                  <w:tcMar>
                    <w:left w:w="28" w:type="dxa"/>
                    <w:right w:w="28" w:type="dxa"/>
                  </w:tcMar>
                  <w:vAlign w:val="center"/>
                </w:tcPr>
                <w:p w14:paraId="40A260AA">
                  <w:pPr>
                    <w:widowControl/>
                    <w:jc w:val="center"/>
                    <w:textAlignment w:val="center"/>
                    <w:rPr>
                      <w:color w:val="000000" w:themeColor="text1"/>
                      <w:kern w:val="0"/>
                      <w:sz w:val="21"/>
                      <w:szCs w:val="21"/>
                      <w:highlight w:val="none"/>
                      <w:lang w:bidi="ar"/>
                      <w14:textFill>
                        <w14:solidFill>
                          <w14:schemeClr w14:val="tx1"/>
                        </w14:solidFill>
                      </w14:textFill>
                    </w:rPr>
                  </w:pPr>
                </w:p>
              </w:tc>
              <w:tc>
                <w:tcPr>
                  <w:tcW w:w="368" w:type="pct"/>
                  <w:vMerge w:val="continue"/>
                  <w:noWrap w:val="0"/>
                  <w:tcMar>
                    <w:left w:w="28" w:type="dxa"/>
                    <w:right w:w="28" w:type="dxa"/>
                  </w:tcMar>
                  <w:vAlign w:val="center"/>
                </w:tcPr>
                <w:p w14:paraId="478F729B">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p>
              </w:tc>
              <w:tc>
                <w:tcPr>
                  <w:tcW w:w="479" w:type="pct"/>
                  <w:shd w:val="clear" w:color="auto" w:fill="auto"/>
                  <w:noWrap w:val="0"/>
                  <w:tcMar>
                    <w:left w:w="28" w:type="dxa"/>
                    <w:right w:w="28" w:type="dxa"/>
                  </w:tcMar>
                  <w:vAlign w:val="center"/>
                </w:tcPr>
                <w:p w14:paraId="006FA8A9">
                  <w:pPr>
                    <w:widowControl/>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颗粒物</w:t>
                  </w:r>
                </w:p>
              </w:tc>
              <w:tc>
                <w:tcPr>
                  <w:tcW w:w="304" w:type="pct"/>
                  <w:shd w:val="clear" w:color="auto" w:fill="auto"/>
                  <w:noWrap w:val="0"/>
                  <w:tcMar>
                    <w:left w:w="28" w:type="dxa"/>
                    <w:right w:w="28" w:type="dxa"/>
                  </w:tcMar>
                  <w:vAlign w:val="center"/>
                </w:tcPr>
                <w:p w14:paraId="55A7ED90">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1020</w:t>
                  </w:r>
                </w:p>
              </w:tc>
              <w:tc>
                <w:tcPr>
                  <w:tcW w:w="312" w:type="pct"/>
                  <w:shd w:val="clear" w:color="auto" w:fill="auto"/>
                  <w:noWrap w:val="0"/>
                  <w:tcMar>
                    <w:left w:w="28" w:type="dxa"/>
                    <w:right w:w="28" w:type="dxa"/>
                  </w:tcMar>
                  <w:vAlign w:val="center"/>
                </w:tcPr>
                <w:p w14:paraId="1D83C7B7">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21.03 </w:t>
                  </w:r>
                </w:p>
              </w:tc>
              <w:tc>
                <w:tcPr>
                  <w:tcW w:w="304" w:type="pct"/>
                  <w:shd w:val="clear" w:color="auto" w:fill="auto"/>
                  <w:noWrap w:val="0"/>
                  <w:tcMar>
                    <w:left w:w="28" w:type="dxa"/>
                    <w:right w:w="28" w:type="dxa"/>
                  </w:tcMar>
                  <w:vAlign w:val="center"/>
                </w:tcPr>
                <w:p w14:paraId="29463232">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750" w:type="dxa"/>
                  <w:shd w:val="clear" w:color="auto" w:fill="auto"/>
                  <w:noWrap w:val="0"/>
                  <w:tcMar>
                    <w:left w:w="28" w:type="dxa"/>
                    <w:right w:w="28" w:type="dxa"/>
                  </w:tcMar>
                  <w:vAlign w:val="center"/>
                </w:tcPr>
                <w:p w14:paraId="5A14F374">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0.021 </w:t>
                  </w:r>
                </w:p>
              </w:tc>
              <w:tc>
                <w:tcPr>
                  <w:tcW w:w="282" w:type="pct"/>
                  <w:shd w:val="clear" w:color="auto" w:fill="auto"/>
                  <w:noWrap w:val="0"/>
                  <w:tcMar>
                    <w:left w:w="28" w:type="dxa"/>
                    <w:right w:w="28" w:type="dxa"/>
                  </w:tcMar>
                  <w:vAlign w:val="center"/>
                </w:tcPr>
                <w:p w14:paraId="181ADED9">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w:t>
                  </w:r>
                </w:p>
              </w:tc>
              <w:tc>
                <w:tcPr>
                  <w:tcW w:w="740" w:type="pct"/>
                  <w:noWrap w:val="0"/>
                  <w:tcMar>
                    <w:left w:w="28" w:type="dxa"/>
                    <w:right w:w="28" w:type="dxa"/>
                  </w:tcMar>
                  <w:vAlign w:val="center"/>
                </w:tcPr>
                <w:p w14:paraId="786F9DBB">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通过15m高排气筒排放（DA002）</w:t>
                  </w:r>
                </w:p>
              </w:tc>
              <w:tc>
                <w:tcPr>
                  <w:tcW w:w="252" w:type="pct"/>
                  <w:shd w:val="clear" w:color="auto" w:fill="auto"/>
                  <w:noWrap w:val="0"/>
                  <w:tcMar>
                    <w:left w:w="28" w:type="dxa"/>
                    <w:right w:w="28" w:type="dxa"/>
                  </w:tcMar>
                  <w:vAlign w:val="center"/>
                </w:tcPr>
                <w:p w14:paraId="693C7B66">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0" w:type="pct"/>
                  <w:shd w:val="clear" w:color="auto" w:fill="auto"/>
                  <w:noWrap w:val="0"/>
                  <w:tcMar>
                    <w:left w:w="28" w:type="dxa"/>
                    <w:right w:w="28" w:type="dxa"/>
                  </w:tcMar>
                  <w:vAlign w:val="center"/>
                </w:tcPr>
                <w:p w14:paraId="72E453D1">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98" w:type="pct"/>
                  <w:shd w:val="clear" w:color="auto" w:fill="auto"/>
                  <w:noWrap w:val="0"/>
                  <w:tcMar>
                    <w:left w:w="28" w:type="dxa"/>
                    <w:right w:w="28" w:type="dxa"/>
                  </w:tcMar>
                  <w:vAlign w:val="center"/>
                </w:tcPr>
                <w:p w14:paraId="4578EADD">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w:t>
                  </w:r>
                </w:p>
              </w:tc>
              <w:tc>
                <w:tcPr>
                  <w:tcW w:w="309" w:type="pct"/>
                  <w:shd w:val="clear" w:color="auto" w:fill="auto"/>
                  <w:noWrap w:val="0"/>
                  <w:tcMar>
                    <w:left w:w="28" w:type="dxa"/>
                    <w:right w:w="28" w:type="dxa"/>
                  </w:tcMar>
                  <w:vAlign w:val="center"/>
                </w:tcPr>
                <w:p w14:paraId="49736A84">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21.03 </w:t>
                  </w:r>
                </w:p>
              </w:tc>
              <w:tc>
                <w:tcPr>
                  <w:tcW w:w="278" w:type="pct"/>
                  <w:shd w:val="clear" w:color="auto" w:fill="auto"/>
                  <w:noWrap w:val="0"/>
                  <w:tcMar>
                    <w:left w:w="28" w:type="dxa"/>
                    <w:right w:w="28" w:type="dxa"/>
                  </w:tcMar>
                  <w:vAlign w:val="center"/>
                </w:tcPr>
                <w:p w14:paraId="0F02BA8E">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0.021 </w:t>
                  </w:r>
                </w:p>
              </w:tc>
              <w:tc>
                <w:tcPr>
                  <w:tcW w:w="291" w:type="pct"/>
                  <w:shd w:val="clear" w:color="auto" w:fill="auto"/>
                  <w:noWrap w:val="0"/>
                  <w:tcMar>
                    <w:left w:w="28" w:type="dxa"/>
                    <w:right w:w="28" w:type="dxa"/>
                  </w:tcMar>
                  <w:vAlign w:val="center"/>
                </w:tcPr>
                <w:p w14:paraId="05A0EF50">
                  <w:pPr>
                    <w:keepNext w:val="0"/>
                    <w:keepLines w:val="0"/>
                    <w:widowControl/>
                    <w:suppressLineNumbers w:val="0"/>
                    <w:jc w:val="center"/>
                    <w:textAlignment w:val="center"/>
                    <w:rPr>
                      <w:rFonts w:hint="eastAsia" w:ascii="Times New Roman" w:hAnsi="Times New Roman" w:eastAsia="宋体" w:cs="Times New Roman"/>
                      <w:color w:val="0000FF"/>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0.021 </w:t>
                  </w:r>
                </w:p>
              </w:tc>
            </w:tr>
            <w:tr w14:paraId="4A345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298" w:type="pct"/>
                  <w:vMerge w:val="continue"/>
                  <w:noWrap w:val="0"/>
                  <w:tcMar>
                    <w:left w:w="28" w:type="dxa"/>
                    <w:right w:w="28" w:type="dxa"/>
                  </w:tcMar>
                  <w:vAlign w:val="center"/>
                </w:tcPr>
                <w:p w14:paraId="21F44668">
                  <w:pPr>
                    <w:widowControl/>
                    <w:jc w:val="center"/>
                    <w:textAlignment w:val="center"/>
                    <w:rPr>
                      <w:color w:val="000000" w:themeColor="text1"/>
                      <w:kern w:val="0"/>
                      <w:sz w:val="21"/>
                      <w:szCs w:val="21"/>
                      <w:highlight w:val="none"/>
                      <w:lang w:bidi="ar"/>
                      <w14:textFill>
                        <w14:solidFill>
                          <w14:schemeClr w14:val="tx1"/>
                        </w14:solidFill>
                      </w14:textFill>
                    </w:rPr>
                  </w:pPr>
                </w:p>
              </w:tc>
              <w:tc>
                <w:tcPr>
                  <w:tcW w:w="368" w:type="pct"/>
                  <w:shd w:val="clear" w:color="auto" w:fill="auto"/>
                  <w:noWrap w:val="0"/>
                  <w:tcMar>
                    <w:left w:w="28" w:type="dxa"/>
                    <w:right w:w="28" w:type="dxa"/>
                  </w:tcMar>
                  <w:vAlign w:val="center"/>
                </w:tcPr>
                <w:p w14:paraId="1AC2DE27">
                  <w:pPr>
                    <w:widowControl/>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喷漆</w:t>
                  </w:r>
                </w:p>
              </w:tc>
              <w:tc>
                <w:tcPr>
                  <w:tcW w:w="479" w:type="pct"/>
                  <w:shd w:val="clear" w:color="auto" w:fill="auto"/>
                  <w:noWrap w:val="0"/>
                  <w:tcMar>
                    <w:left w:w="28" w:type="dxa"/>
                    <w:right w:w="28" w:type="dxa"/>
                  </w:tcMar>
                  <w:vAlign w:val="center"/>
                </w:tcPr>
                <w:p w14:paraId="566F8F24">
                  <w:pPr>
                    <w:widowControl/>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臭气浓度</w:t>
                  </w:r>
                </w:p>
              </w:tc>
              <w:tc>
                <w:tcPr>
                  <w:tcW w:w="304" w:type="pct"/>
                  <w:shd w:val="clear" w:color="auto" w:fill="auto"/>
                  <w:noWrap w:val="0"/>
                  <w:tcMar>
                    <w:left w:w="28" w:type="dxa"/>
                    <w:right w:w="28" w:type="dxa"/>
                  </w:tcMar>
                  <w:vAlign w:val="center"/>
                </w:tcPr>
                <w:p w14:paraId="0A49C40A">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12" w:type="pct"/>
                  <w:shd w:val="clear" w:color="auto" w:fill="auto"/>
                  <w:noWrap w:val="0"/>
                  <w:tcMar>
                    <w:left w:w="28" w:type="dxa"/>
                    <w:right w:w="28" w:type="dxa"/>
                  </w:tcMar>
                  <w:vAlign w:val="center"/>
                </w:tcPr>
                <w:p w14:paraId="7E06F680">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04" w:type="pct"/>
                  <w:shd w:val="clear" w:color="auto" w:fill="auto"/>
                  <w:noWrap w:val="0"/>
                  <w:tcMar>
                    <w:left w:w="28" w:type="dxa"/>
                    <w:right w:w="28" w:type="dxa"/>
                  </w:tcMar>
                  <w:vAlign w:val="center"/>
                </w:tcPr>
                <w:p w14:paraId="0BC1B805">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99" w:type="pct"/>
                  <w:shd w:val="clear" w:color="auto" w:fill="auto"/>
                  <w:noWrap w:val="0"/>
                  <w:tcMar>
                    <w:left w:w="28" w:type="dxa"/>
                    <w:right w:w="28" w:type="dxa"/>
                  </w:tcMar>
                  <w:vAlign w:val="center"/>
                </w:tcPr>
                <w:p w14:paraId="63A04FEA">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82" w:type="pct"/>
                  <w:shd w:val="clear" w:color="auto" w:fill="auto"/>
                  <w:noWrap w:val="0"/>
                  <w:tcMar>
                    <w:left w:w="28" w:type="dxa"/>
                    <w:right w:w="28" w:type="dxa"/>
                  </w:tcMar>
                  <w:vAlign w:val="center"/>
                </w:tcPr>
                <w:p w14:paraId="461B503C">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740" w:type="pct"/>
                  <w:shd w:val="clear" w:color="auto" w:fill="auto"/>
                  <w:noWrap w:val="0"/>
                  <w:tcMar>
                    <w:left w:w="28" w:type="dxa"/>
                    <w:right w:w="28" w:type="dxa"/>
                  </w:tcMar>
                  <w:vAlign w:val="center"/>
                </w:tcPr>
                <w:p w14:paraId="0A609628">
                  <w:pPr>
                    <w:widowControl/>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w:t>
                  </w:r>
                </w:p>
              </w:tc>
              <w:tc>
                <w:tcPr>
                  <w:tcW w:w="252" w:type="pct"/>
                  <w:shd w:val="clear" w:color="auto" w:fill="auto"/>
                  <w:noWrap w:val="0"/>
                  <w:tcMar>
                    <w:left w:w="28" w:type="dxa"/>
                    <w:right w:w="28" w:type="dxa"/>
                  </w:tcMar>
                  <w:vAlign w:val="center"/>
                </w:tcPr>
                <w:p w14:paraId="4B30DBB8">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80" w:type="pct"/>
                  <w:shd w:val="clear" w:color="auto" w:fill="auto"/>
                  <w:noWrap w:val="0"/>
                  <w:tcMar>
                    <w:left w:w="28" w:type="dxa"/>
                    <w:right w:w="28" w:type="dxa"/>
                  </w:tcMar>
                  <w:vAlign w:val="center"/>
                </w:tcPr>
                <w:p w14:paraId="1E0C8A68">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198" w:type="pct"/>
                  <w:shd w:val="clear" w:color="auto" w:fill="auto"/>
                  <w:noWrap w:val="0"/>
                  <w:tcMar>
                    <w:left w:w="28" w:type="dxa"/>
                    <w:right w:w="28" w:type="dxa"/>
                  </w:tcMar>
                  <w:vAlign w:val="center"/>
                </w:tcPr>
                <w:p w14:paraId="69095FE9">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09" w:type="pct"/>
                  <w:shd w:val="clear" w:color="auto" w:fill="auto"/>
                  <w:noWrap w:val="0"/>
                  <w:tcMar>
                    <w:left w:w="28" w:type="dxa"/>
                    <w:right w:w="28" w:type="dxa"/>
                  </w:tcMar>
                  <w:vAlign w:val="center"/>
                </w:tcPr>
                <w:p w14:paraId="4EB6C7D2">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78" w:type="pct"/>
                  <w:shd w:val="clear" w:color="auto" w:fill="auto"/>
                  <w:noWrap w:val="0"/>
                  <w:tcMar>
                    <w:left w:w="28" w:type="dxa"/>
                    <w:right w:w="28" w:type="dxa"/>
                  </w:tcMar>
                  <w:vAlign w:val="center"/>
                </w:tcPr>
                <w:p w14:paraId="1F6D8DD5">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91" w:type="pct"/>
                  <w:shd w:val="clear" w:color="auto" w:fill="auto"/>
                  <w:noWrap w:val="0"/>
                  <w:tcMar>
                    <w:left w:w="28" w:type="dxa"/>
                    <w:right w:w="28" w:type="dxa"/>
                  </w:tcMar>
                  <w:vAlign w:val="center"/>
                </w:tcPr>
                <w:p w14:paraId="730427B9">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r>
            <w:tr w14:paraId="3C192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66" w:type="pct"/>
                  <w:gridSpan w:val="2"/>
                  <w:vMerge w:val="restart"/>
                  <w:noWrap w:val="0"/>
                  <w:tcMar>
                    <w:left w:w="28" w:type="dxa"/>
                    <w:right w:w="28" w:type="dxa"/>
                  </w:tcMar>
                  <w:vAlign w:val="center"/>
                </w:tcPr>
                <w:p w14:paraId="3FA68A81">
                  <w:pPr>
                    <w:widowControl/>
                    <w:jc w:val="center"/>
                    <w:textAlignment w:val="center"/>
                    <w:rPr>
                      <w:rFonts w:hint="default" w:eastAsia="宋体"/>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DA001合计</w:t>
                  </w:r>
                  <w:r>
                    <w:rPr>
                      <w:rFonts w:hint="eastAsia"/>
                      <w:color w:val="000000" w:themeColor="text1"/>
                      <w:kern w:val="0"/>
                      <w:sz w:val="21"/>
                      <w:szCs w:val="21"/>
                      <w:highlight w:val="none"/>
                      <w:lang w:val="en-US" w:eastAsia="zh-CN" w:bidi="ar"/>
                      <w14:textFill>
                        <w14:solidFill>
                          <w14:schemeClr w14:val="tx1"/>
                        </w14:solidFill>
                      </w14:textFill>
                    </w:rPr>
                    <w:br w:type="textWrapping"/>
                  </w:r>
                  <w:r>
                    <w:rPr>
                      <w:rFonts w:hint="eastAsia"/>
                      <w:color w:val="000000" w:themeColor="text1"/>
                      <w:kern w:val="0"/>
                      <w:sz w:val="21"/>
                      <w:szCs w:val="21"/>
                      <w:highlight w:val="none"/>
                      <w:lang w:val="en-US" w:eastAsia="zh-CN" w:bidi="ar"/>
                      <w14:textFill>
                        <w14:solidFill>
                          <w14:schemeClr w14:val="tx1"/>
                        </w14:solidFill>
                      </w14:textFill>
                    </w:rPr>
                    <w:t>同时喷底漆*</w:t>
                  </w:r>
                </w:p>
              </w:tc>
              <w:tc>
                <w:tcPr>
                  <w:tcW w:w="479" w:type="pct"/>
                  <w:shd w:val="clear" w:color="auto" w:fill="auto"/>
                  <w:noWrap w:val="0"/>
                  <w:tcMar>
                    <w:left w:w="28" w:type="dxa"/>
                    <w:right w:w="28" w:type="dxa"/>
                  </w:tcMar>
                  <w:vAlign w:val="center"/>
                </w:tcPr>
                <w:p w14:paraId="2820934B">
                  <w:pPr>
                    <w:keepNext w:val="0"/>
                    <w:keepLines w:val="0"/>
                    <w:widowControl/>
                    <w:suppressLineNumbers w:val="0"/>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非甲烷总烃</w:t>
                  </w:r>
                </w:p>
              </w:tc>
              <w:tc>
                <w:tcPr>
                  <w:tcW w:w="304" w:type="pct"/>
                  <w:noWrap w:val="0"/>
                  <w:tcMar>
                    <w:left w:w="28" w:type="dxa"/>
                    <w:right w:w="28" w:type="dxa"/>
                  </w:tcMar>
                  <w:vAlign w:val="center"/>
                </w:tcPr>
                <w:p w14:paraId="76697F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30000</w:t>
                  </w:r>
                </w:p>
              </w:tc>
              <w:tc>
                <w:tcPr>
                  <w:tcW w:w="312" w:type="pct"/>
                  <w:noWrap w:val="0"/>
                  <w:tcMar>
                    <w:left w:w="28" w:type="dxa"/>
                    <w:right w:w="28" w:type="dxa"/>
                  </w:tcMar>
                  <w:vAlign w:val="center"/>
                </w:tcPr>
                <w:p w14:paraId="7B4D04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4" w:type="pct"/>
                  <w:noWrap w:val="0"/>
                  <w:tcMar>
                    <w:left w:w="28" w:type="dxa"/>
                    <w:right w:w="28" w:type="dxa"/>
                  </w:tcMar>
                  <w:vAlign w:val="center"/>
                </w:tcPr>
                <w:p w14:paraId="615B62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99" w:type="pct"/>
                  <w:noWrap w:val="0"/>
                  <w:tcMar>
                    <w:left w:w="28" w:type="dxa"/>
                    <w:right w:w="28" w:type="dxa"/>
                  </w:tcMar>
                  <w:vAlign w:val="center"/>
                </w:tcPr>
                <w:p w14:paraId="630DF7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2" w:type="pct"/>
                  <w:noWrap w:val="0"/>
                  <w:tcMar>
                    <w:left w:w="28" w:type="dxa"/>
                    <w:right w:w="28" w:type="dxa"/>
                  </w:tcMar>
                  <w:vAlign w:val="center"/>
                </w:tcPr>
                <w:p w14:paraId="276B6E62">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40" w:type="pct"/>
                  <w:noWrap w:val="0"/>
                  <w:tcMar>
                    <w:left w:w="28" w:type="dxa"/>
                    <w:right w:w="28" w:type="dxa"/>
                  </w:tcMar>
                  <w:vAlign w:val="center"/>
                </w:tcPr>
                <w:p w14:paraId="49C7B97B">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52" w:type="pct"/>
                  <w:noWrap w:val="0"/>
                  <w:tcMar>
                    <w:left w:w="28" w:type="dxa"/>
                    <w:right w:w="28" w:type="dxa"/>
                  </w:tcMar>
                  <w:vAlign w:val="center"/>
                </w:tcPr>
                <w:p w14:paraId="568DFF50">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0" w:type="pct"/>
                  <w:noWrap w:val="0"/>
                  <w:tcMar>
                    <w:left w:w="28" w:type="dxa"/>
                    <w:right w:w="28" w:type="dxa"/>
                  </w:tcMar>
                  <w:vAlign w:val="center"/>
                </w:tcPr>
                <w:p w14:paraId="092B6063">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98" w:type="pct"/>
                  <w:noWrap w:val="0"/>
                  <w:tcMar>
                    <w:left w:w="28" w:type="dxa"/>
                    <w:right w:w="28" w:type="dxa"/>
                  </w:tcMar>
                  <w:vAlign w:val="center"/>
                </w:tcPr>
                <w:p w14:paraId="5CCD17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400 </w:t>
                  </w:r>
                </w:p>
              </w:tc>
              <w:tc>
                <w:tcPr>
                  <w:tcW w:w="309" w:type="pct"/>
                  <w:noWrap w:val="0"/>
                  <w:tcMar>
                    <w:left w:w="28" w:type="dxa"/>
                    <w:right w:w="28" w:type="dxa"/>
                  </w:tcMar>
                  <w:vAlign w:val="center"/>
                </w:tcPr>
                <w:p w14:paraId="292FC5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22.17 </w:t>
                  </w:r>
                </w:p>
              </w:tc>
              <w:tc>
                <w:tcPr>
                  <w:tcW w:w="278" w:type="pct"/>
                  <w:noWrap w:val="0"/>
                  <w:tcMar>
                    <w:left w:w="28" w:type="dxa"/>
                    <w:right w:w="28" w:type="dxa"/>
                  </w:tcMar>
                  <w:vAlign w:val="center"/>
                </w:tcPr>
                <w:p w14:paraId="1BC982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0.665 </w:t>
                  </w:r>
                </w:p>
              </w:tc>
              <w:tc>
                <w:tcPr>
                  <w:tcW w:w="291" w:type="pct"/>
                  <w:noWrap w:val="0"/>
                  <w:tcMar>
                    <w:left w:w="28" w:type="dxa"/>
                    <w:right w:w="28" w:type="dxa"/>
                  </w:tcMar>
                  <w:vAlign w:val="center"/>
                </w:tcPr>
                <w:p w14:paraId="157F1A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0.266 </w:t>
                  </w:r>
                </w:p>
              </w:tc>
            </w:tr>
            <w:tr w14:paraId="5DB8F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66" w:type="pct"/>
                  <w:gridSpan w:val="2"/>
                  <w:vMerge w:val="continue"/>
                  <w:noWrap w:val="0"/>
                  <w:tcMar>
                    <w:left w:w="28" w:type="dxa"/>
                    <w:right w:w="28" w:type="dxa"/>
                  </w:tcMar>
                  <w:vAlign w:val="center"/>
                </w:tcPr>
                <w:p w14:paraId="4B879EAA">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p>
              </w:tc>
              <w:tc>
                <w:tcPr>
                  <w:tcW w:w="479" w:type="pct"/>
                  <w:shd w:val="clear" w:color="auto" w:fill="auto"/>
                  <w:noWrap w:val="0"/>
                  <w:tcMar>
                    <w:left w:w="28" w:type="dxa"/>
                    <w:right w:w="28" w:type="dxa"/>
                  </w:tcMar>
                  <w:vAlign w:val="center"/>
                </w:tcPr>
                <w:p w14:paraId="6D36FE7A">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颗粒物</w:t>
                  </w:r>
                </w:p>
              </w:tc>
              <w:tc>
                <w:tcPr>
                  <w:tcW w:w="304" w:type="pct"/>
                  <w:shd w:val="clear" w:color="auto" w:fill="auto"/>
                  <w:noWrap w:val="0"/>
                  <w:tcMar>
                    <w:left w:w="28" w:type="dxa"/>
                    <w:right w:w="28" w:type="dxa"/>
                  </w:tcMar>
                  <w:vAlign w:val="center"/>
                </w:tcPr>
                <w:p w14:paraId="3D89CA4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30000</w:t>
                  </w:r>
                </w:p>
              </w:tc>
              <w:tc>
                <w:tcPr>
                  <w:tcW w:w="312" w:type="pct"/>
                  <w:shd w:val="clear" w:color="auto" w:fill="auto"/>
                  <w:noWrap w:val="0"/>
                  <w:tcMar>
                    <w:left w:w="28" w:type="dxa"/>
                    <w:right w:w="28" w:type="dxa"/>
                  </w:tcMar>
                  <w:vAlign w:val="center"/>
                </w:tcPr>
                <w:p w14:paraId="6A1745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4" w:type="pct"/>
                  <w:shd w:val="clear" w:color="auto" w:fill="auto"/>
                  <w:noWrap w:val="0"/>
                  <w:tcMar>
                    <w:left w:w="28" w:type="dxa"/>
                    <w:right w:w="28" w:type="dxa"/>
                  </w:tcMar>
                  <w:vAlign w:val="center"/>
                </w:tcPr>
                <w:p w14:paraId="2D1AF7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99" w:type="pct"/>
                  <w:shd w:val="clear" w:color="auto" w:fill="auto"/>
                  <w:noWrap w:val="0"/>
                  <w:tcMar>
                    <w:left w:w="28" w:type="dxa"/>
                    <w:right w:w="28" w:type="dxa"/>
                  </w:tcMar>
                  <w:vAlign w:val="center"/>
                </w:tcPr>
                <w:p w14:paraId="62A040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2" w:type="pct"/>
                  <w:shd w:val="clear" w:color="auto" w:fill="auto"/>
                  <w:noWrap w:val="0"/>
                  <w:tcMar>
                    <w:left w:w="28" w:type="dxa"/>
                    <w:right w:w="28" w:type="dxa"/>
                  </w:tcMar>
                  <w:vAlign w:val="center"/>
                </w:tcPr>
                <w:p w14:paraId="210E9D8B">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40" w:type="pct"/>
                  <w:shd w:val="clear" w:color="auto" w:fill="auto"/>
                  <w:noWrap w:val="0"/>
                  <w:tcMar>
                    <w:left w:w="28" w:type="dxa"/>
                    <w:right w:w="28" w:type="dxa"/>
                  </w:tcMar>
                  <w:vAlign w:val="center"/>
                </w:tcPr>
                <w:p w14:paraId="46B4F365">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52" w:type="pct"/>
                  <w:shd w:val="clear" w:color="auto" w:fill="auto"/>
                  <w:noWrap w:val="0"/>
                  <w:tcMar>
                    <w:left w:w="28" w:type="dxa"/>
                    <w:right w:w="28" w:type="dxa"/>
                  </w:tcMar>
                  <w:vAlign w:val="center"/>
                </w:tcPr>
                <w:p w14:paraId="41D8561C">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0" w:type="pct"/>
                  <w:shd w:val="clear" w:color="auto" w:fill="auto"/>
                  <w:noWrap w:val="0"/>
                  <w:tcMar>
                    <w:left w:w="28" w:type="dxa"/>
                    <w:right w:w="28" w:type="dxa"/>
                  </w:tcMar>
                  <w:vAlign w:val="center"/>
                </w:tcPr>
                <w:p w14:paraId="0B03046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98" w:type="pct"/>
                  <w:shd w:val="clear" w:color="auto" w:fill="auto"/>
                  <w:noWrap w:val="0"/>
                  <w:tcMar>
                    <w:left w:w="28" w:type="dxa"/>
                    <w:right w:w="28" w:type="dxa"/>
                  </w:tcMar>
                  <w:vAlign w:val="center"/>
                </w:tcPr>
                <w:p w14:paraId="3D5D32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400 </w:t>
                  </w:r>
                </w:p>
              </w:tc>
              <w:tc>
                <w:tcPr>
                  <w:tcW w:w="309" w:type="pct"/>
                  <w:shd w:val="clear" w:color="auto" w:fill="auto"/>
                  <w:noWrap w:val="0"/>
                  <w:tcMar>
                    <w:left w:w="28" w:type="dxa"/>
                    <w:right w:w="28" w:type="dxa"/>
                  </w:tcMar>
                  <w:vAlign w:val="center"/>
                </w:tcPr>
                <w:p w14:paraId="0E2A83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14.83 </w:t>
                  </w:r>
                </w:p>
              </w:tc>
              <w:tc>
                <w:tcPr>
                  <w:tcW w:w="278" w:type="pct"/>
                  <w:shd w:val="clear" w:color="auto" w:fill="auto"/>
                  <w:noWrap w:val="0"/>
                  <w:tcMar>
                    <w:left w:w="28" w:type="dxa"/>
                    <w:right w:w="28" w:type="dxa"/>
                  </w:tcMar>
                  <w:vAlign w:val="center"/>
                </w:tcPr>
                <w:p w14:paraId="203D67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0.445 </w:t>
                  </w:r>
                </w:p>
              </w:tc>
              <w:tc>
                <w:tcPr>
                  <w:tcW w:w="291" w:type="pct"/>
                  <w:shd w:val="clear" w:color="auto" w:fill="auto"/>
                  <w:noWrap w:val="0"/>
                  <w:tcMar>
                    <w:left w:w="28" w:type="dxa"/>
                    <w:right w:w="28" w:type="dxa"/>
                  </w:tcMar>
                  <w:vAlign w:val="center"/>
                </w:tcPr>
                <w:p w14:paraId="770111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0.178 </w:t>
                  </w:r>
                </w:p>
              </w:tc>
            </w:tr>
            <w:tr w14:paraId="0D07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66" w:type="pct"/>
                  <w:gridSpan w:val="2"/>
                  <w:vMerge w:val="restart"/>
                  <w:noWrap w:val="0"/>
                  <w:tcMar>
                    <w:left w:w="28" w:type="dxa"/>
                    <w:right w:w="28" w:type="dxa"/>
                  </w:tcMar>
                  <w:vAlign w:val="center"/>
                </w:tcPr>
                <w:p w14:paraId="536261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DA001合计</w:t>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同时喷面漆*</w:t>
                  </w:r>
                </w:p>
              </w:tc>
              <w:tc>
                <w:tcPr>
                  <w:tcW w:w="479" w:type="pct"/>
                  <w:shd w:val="clear" w:color="auto" w:fill="auto"/>
                  <w:noWrap w:val="0"/>
                  <w:tcMar>
                    <w:left w:w="28" w:type="dxa"/>
                    <w:right w:w="28" w:type="dxa"/>
                  </w:tcMar>
                  <w:vAlign w:val="center"/>
                </w:tcPr>
                <w:p w14:paraId="0AC021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非甲烷总烃</w:t>
                  </w:r>
                </w:p>
              </w:tc>
              <w:tc>
                <w:tcPr>
                  <w:tcW w:w="304" w:type="pct"/>
                  <w:shd w:val="clear" w:color="auto" w:fill="auto"/>
                  <w:noWrap w:val="0"/>
                  <w:tcMar>
                    <w:left w:w="28" w:type="dxa"/>
                    <w:right w:w="28" w:type="dxa"/>
                  </w:tcMar>
                  <w:vAlign w:val="center"/>
                </w:tcPr>
                <w:p w14:paraId="2120B3B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30000</w:t>
                  </w:r>
                </w:p>
              </w:tc>
              <w:tc>
                <w:tcPr>
                  <w:tcW w:w="312" w:type="pct"/>
                  <w:shd w:val="clear" w:color="auto" w:fill="auto"/>
                  <w:noWrap w:val="0"/>
                  <w:tcMar>
                    <w:left w:w="28" w:type="dxa"/>
                    <w:right w:w="28" w:type="dxa"/>
                  </w:tcMar>
                  <w:vAlign w:val="center"/>
                </w:tcPr>
                <w:p w14:paraId="2940B0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4" w:type="pct"/>
                  <w:shd w:val="clear" w:color="auto" w:fill="auto"/>
                  <w:noWrap w:val="0"/>
                  <w:tcMar>
                    <w:left w:w="28" w:type="dxa"/>
                    <w:right w:w="28" w:type="dxa"/>
                  </w:tcMar>
                  <w:vAlign w:val="center"/>
                </w:tcPr>
                <w:p w14:paraId="545DA3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99" w:type="pct"/>
                  <w:shd w:val="clear" w:color="auto" w:fill="auto"/>
                  <w:noWrap w:val="0"/>
                  <w:tcMar>
                    <w:left w:w="28" w:type="dxa"/>
                    <w:right w:w="28" w:type="dxa"/>
                  </w:tcMar>
                  <w:vAlign w:val="center"/>
                </w:tcPr>
                <w:p w14:paraId="187E377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2" w:type="pct"/>
                  <w:shd w:val="clear" w:color="auto" w:fill="auto"/>
                  <w:noWrap w:val="0"/>
                  <w:tcMar>
                    <w:left w:w="28" w:type="dxa"/>
                    <w:right w:w="28" w:type="dxa"/>
                  </w:tcMar>
                  <w:vAlign w:val="center"/>
                </w:tcPr>
                <w:p w14:paraId="28B44AE5">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40" w:type="pct"/>
                  <w:shd w:val="clear" w:color="auto" w:fill="auto"/>
                  <w:noWrap w:val="0"/>
                  <w:tcMar>
                    <w:left w:w="28" w:type="dxa"/>
                    <w:right w:w="28" w:type="dxa"/>
                  </w:tcMar>
                  <w:vAlign w:val="center"/>
                </w:tcPr>
                <w:p w14:paraId="2BA1C254">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52" w:type="pct"/>
                  <w:shd w:val="clear" w:color="auto" w:fill="auto"/>
                  <w:noWrap w:val="0"/>
                  <w:tcMar>
                    <w:left w:w="28" w:type="dxa"/>
                    <w:right w:w="28" w:type="dxa"/>
                  </w:tcMar>
                  <w:vAlign w:val="center"/>
                </w:tcPr>
                <w:p w14:paraId="5EB4F22C">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0" w:type="pct"/>
                  <w:shd w:val="clear" w:color="auto" w:fill="auto"/>
                  <w:noWrap w:val="0"/>
                  <w:tcMar>
                    <w:left w:w="28" w:type="dxa"/>
                    <w:right w:w="28" w:type="dxa"/>
                  </w:tcMar>
                  <w:vAlign w:val="center"/>
                </w:tcPr>
                <w:p w14:paraId="1A21AEA3">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98" w:type="pct"/>
                  <w:shd w:val="clear" w:color="auto" w:fill="auto"/>
                  <w:noWrap w:val="0"/>
                  <w:tcMar>
                    <w:left w:w="28" w:type="dxa"/>
                    <w:right w:w="28" w:type="dxa"/>
                  </w:tcMar>
                  <w:vAlign w:val="center"/>
                </w:tcPr>
                <w:p w14:paraId="0D12FB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400 </w:t>
                  </w:r>
                </w:p>
              </w:tc>
              <w:tc>
                <w:tcPr>
                  <w:tcW w:w="309" w:type="pct"/>
                  <w:shd w:val="clear" w:color="auto" w:fill="auto"/>
                  <w:noWrap w:val="0"/>
                  <w:tcMar>
                    <w:left w:w="28" w:type="dxa"/>
                    <w:right w:w="28" w:type="dxa"/>
                  </w:tcMar>
                  <w:vAlign w:val="center"/>
                </w:tcPr>
                <w:p w14:paraId="435822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14.67 </w:t>
                  </w:r>
                </w:p>
              </w:tc>
              <w:tc>
                <w:tcPr>
                  <w:tcW w:w="278" w:type="pct"/>
                  <w:shd w:val="clear" w:color="auto" w:fill="auto"/>
                  <w:noWrap w:val="0"/>
                  <w:tcMar>
                    <w:left w:w="28" w:type="dxa"/>
                    <w:right w:w="28" w:type="dxa"/>
                  </w:tcMar>
                  <w:vAlign w:val="center"/>
                </w:tcPr>
                <w:p w14:paraId="426B84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0.440 </w:t>
                  </w:r>
                </w:p>
              </w:tc>
              <w:tc>
                <w:tcPr>
                  <w:tcW w:w="291" w:type="pct"/>
                  <w:shd w:val="clear" w:color="auto" w:fill="auto"/>
                  <w:noWrap w:val="0"/>
                  <w:tcMar>
                    <w:left w:w="28" w:type="dxa"/>
                    <w:right w:w="28" w:type="dxa"/>
                  </w:tcMar>
                  <w:vAlign w:val="center"/>
                </w:tcPr>
                <w:p w14:paraId="115ABF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0.176 </w:t>
                  </w:r>
                </w:p>
              </w:tc>
            </w:tr>
            <w:tr w14:paraId="775A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666" w:type="pct"/>
                  <w:gridSpan w:val="2"/>
                  <w:vMerge w:val="continue"/>
                  <w:noWrap w:val="0"/>
                  <w:tcMar>
                    <w:left w:w="28" w:type="dxa"/>
                    <w:right w:w="28" w:type="dxa"/>
                  </w:tcMar>
                  <w:vAlign w:val="center"/>
                </w:tcPr>
                <w:p w14:paraId="0B4B09AB">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p>
              </w:tc>
              <w:tc>
                <w:tcPr>
                  <w:tcW w:w="479" w:type="pct"/>
                  <w:shd w:val="clear" w:color="auto" w:fill="auto"/>
                  <w:noWrap w:val="0"/>
                  <w:tcMar>
                    <w:left w:w="28" w:type="dxa"/>
                    <w:right w:w="28" w:type="dxa"/>
                  </w:tcMar>
                  <w:vAlign w:val="center"/>
                </w:tcPr>
                <w:p w14:paraId="71012E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颗粒物</w:t>
                  </w:r>
                </w:p>
              </w:tc>
              <w:tc>
                <w:tcPr>
                  <w:tcW w:w="304" w:type="pct"/>
                  <w:shd w:val="clear" w:color="auto" w:fill="auto"/>
                  <w:noWrap w:val="0"/>
                  <w:tcMar>
                    <w:left w:w="28" w:type="dxa"/>
                    <w:right w:w="28" w:type="dxa"/>
                  </w:tcMar>
                  <w:vAlign w:val="center"/>
                </w:tcPr>
                <w:p w14:paraId="194D4F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30000</w:t>
                  </w:r>
                </w:p>
              </w:tc>
              <w:tc>
                <w:tcPr>
                  <w:tcW w:w="312" w:type="pct"/>
                  <w:shd w:val="clear" w:color="auto" w:fill="auto"/>
                  <w:noWrap w:val="0"/>
                  <w:tcMar>
                    <w:left w:w="28" w:type="dxa"/>
                    <w:right w:w="28" w:type="dxa"/>
                  </w:tcMar>
                  <w:vAlign w:val="center"/>
                </w:tcPr>
                <w:p w14:paraId="32467C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4" w:type="pct"/>
                  <w:shd w:val="clear" w:color="auto" w:fill="auto"/>
                  <w:noWrap w:val="0"/>
                  <w:tcMar>
                    <w:left w:w="28" w:type="dxa"/>
                    <w:right w:w="28" w:type="dxa"/>
                  </w:tcMar>
                  <w:vAlign w:val="center"/>
                </w:tcPr>
                <w:p w14:paraId="4F1EB5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99" w:type="pct"/>
                  <w:shd w:val="clear" w:color="auto" w:fill="auto"/>
                  <w:noWrap w:val="0"/>
                  <w:tcMar>
                    <w:left w:w="28" w:type="dxa"/>
                    <w:right w:w="28" w:type="dxa"/>
                  </w:tcMar>
                  <w:vAlign w:val="center"/>
                </w:tcPr>
                <w:p w14:paraId="0F4964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2" w:type="pct"/>
                  <w:shd w:val="clear" w:color="auto" w:fill="auto"/>
                  <w:noWrap w:val="0"/>
                  <w:tcMar>
                    <w:left w:w="28" w:type="dxa"/>
                    <w:right w:w="28" w:type="dxa"/>
                  </w:tcMar>
                  <w:vAlign w:val="center"/>
                </w:tcPr>
                <w:p w14:paraId="1B196EDB">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40" w:type="pct"/>
                  <w:shd w:val="clear" w:color="auto" w:fill="auto"/>
                  <w:noWrap w:val="0"/>
                  <w:tcMar>
                    <w:left w:w="28" w:type="dxa"/>
                    <w:right w:w="28" w:type="dxa"/>
                  </w:tcMar>
                  <w:vAlign w:val="center"/>
                </w:tcPr>
                <w:p w14:paraId="7DC711DC">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52" w:type="pct"/>
                  <w:shd w:val="clear" w:color="auto" w:fill="auto"/>
                  <w:noWrap w:val="0"/>
                  <w:tcMar>
                    <w:left w:w="28" w:type="dxa"/>
                    <w:right w:w="28" w:type="dxa"/>
                  </w:tcMar>
                  <w:vAlign w:val="center"/>
                </w:tcPr>
                <w:p w14:paraId="266A4210">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0" w:type="pct"/>
                  <w:shd w:val="clear" w:color="auto" w:fill="auto"/>
                  <w:noWrap w:val="0"/>
                  <w:tcMar>
                    <w:left w:w="28" w:type="dxa"/>
                    <w:right w:w="28" w:type="dxa"/>
                  </w:tcMar>
                  <w:vAlign w:val="center"/>
                </w:tcPr>
                <w:p w14:paraId="53BD59D9">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98" w:type="pct"/>
                  <w:shd w:val="clear" w:color="auto" w:fill="auto"/>
                  <w:noWrap w:val="0"/>
                  <w:tcMar>
                    <w:left w:w="28" w:type="dxa"/>
                    <w:right w:w="28" w:type="dxa"/>
                  </w:tcMar>
                  <w:vAlign w:val="center"/>
                </w:tcPr>
                <w:p w14:paraId="7D9E3F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400 </w:t>
                  </w:r>
                </w:p>
              </w:tc>
              <w:tc>
                <w:tcPr>
                  <w:tcW w:w="309" w:type="pct"/>
                  <w:shd w:val="clear" w:color="auto" w:fill="auto"/>
                  <w:noWrap w:val="0"/>
                  <w:tcMar>
                    <w:left w:w="28" w:type="dxa"/>
                    <w:right w:w="28" w:type="dxa"/>
                  </w:tcMar>
                  <w:vAlign w:val="center"/>
                </w:tcPr>
                <w:p w14:paraId="210DE4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9.83 </w:t>
                  </w:r>
                </w:p>
              </w:tc>
              <w:tc>
                <w:tcPr>
                  <w:tcW w:w="278" w:type="pct"/>
                  <w:shd w:val="clear" w:color="auto" w:fill="auto"/>
                  <w:noWrap w:val="0"/>
                  <w:tcMar>
                    <w:left w:w="28" w:type="dxa"/>
                    <w:right w:w="28" w:type="dxa"/>
                  </w:tcMar>
                  <w:vAlign w:val="center"/>
                </w:tcPr>
                <w:p w14:paraId="4FC18E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0.295 </w:t>
                  </w:r>
                </w:p>
              </w:tc>
              <w:tc>
                <w:tcPr>
                  <w:tcW w:w="291" w:type="pct"/>
                  <w:shd w:val="clear" w:color="auto" w:fill="auto"/>
                  <w:noWrap w:val="0"/>
                  <w:tcMar>
                    <w:left w:w="28" w:type="dxa"/>
                    <w:right w:w="28" w:type="dxa"/>
                  </w:tcMar>
                  <w:vAlign w:val="center"/>
                </w:tcPr>
                <w:p w14:paraId="084D53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0.118 </w:t>
                  </w:r>
                </w:p>
              </w:tc>
            </w:tr>
            <w:tr w14:paraId="122B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6" w:type="pct"/>
                  <w:gridSpan w:val="2"/>
                  <w:vMerge w:val="restart"/>
                  <w:shd w:val="clear" w:color="auto" w:fill="auto"/>
                  <w:noWrap w:val="0"/>
                  <w:tcMar>
                    <w:left w:w="28" w:type="dxa"/>
                    <w:right w:w="28" w:type="dxa"/>
                  </w:tcMar>
                  <w:vAlign w:val="center"/>
                </w:tcPr>
                <w:p w14:paraId="55C292F5">
                  <w:pPr>
                    <w:widowControl/>
                    <w:jc w:val="center"/>
                    <w:textAlignment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DA002合计</w:t>
                  </w:r>
                </w:p>
              </w:tc>
              <w:tc>
                <w:tcPr>
                  <w:tcW w:w="479" w:type="pct"/>
                  <w:shd w:val="clear" w:color="auto" w:fill="auto"/>
                  <w:noWrap w:val="0"/>
                  <w:tcMar>
                    <w:left w:w="28" w:type="dxa"/>
                    <w:right w:w="28" w:type="dxa"/>
                  </w:tcMar>
                  <w:vAlign w:val="center"/>
                </w:tcPr>
                <w:p w14:paraId="13927D36">
                  <w:pPr>
                    <w:widowControl/>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SO</w:t>
                  </w:r>
                  <w:r>
                    <w:rPr>
                      <w:rFonts w:hint="eastAsia"/>
                      <w:color w:val="000000" w:themeColor="text1"/>
                      <w:kern w:val="0"/>
                      <w:sz w:val="21"/>
                      <w:szCs w:val="21"/>
                      <w:highlight w:val="none"/>
                      <w:vertAlign w:val="subscript"/>
                      <w:lang w:val="en-US" w:eastAsia="zh-CN" w:bidi="ar"/>
                      <w14:textFill>
                        <w14:solidFill>
                          <w14:schemeClr w14:val="tx1"/>
                        </w14:solidFill>
                      </w14:textFill>
                    </w:rPr>
                    <w:t>2</w:t>
                  </w:r>
                </w:p>
              </w:tc>
              <w:tc>
                <w:tcPr>
                  <w:tcW w:w="304" w:type="pct"/>
                  <w:noWrap w:val="0"/>
                  <w:tcMar>
                    <w:left w:w="28" w:type="dxa"/>
                    <w:right w:w="28" w:type="dxa"/>
                  </w:tcMar>
                  <w:vAlign w:val="center"/>
                </w:tcPr>
                <w:p w14:paraId="3A3850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2040</w:t>
                  </w:r>
                </w:p>
              </w:tc>
              <w:tc>
                <w:tcPr>
                  <w:tcW w:w="312" w:type="pct"/>
                  <w:noWrap w:val="0"/>
                  <w:tcMar>
                    <w:left w:w="28" w:type="dxa"/>
                    <w:right w:w="28" w:type="dxa"/>
                  </w:tcMar>
                  <w:vAlign w:val="center"/>
                </w:tcPr>
                <w:p w14:paraId="3BDEBCD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4" w:type="pct"/>
                  <w:noWrap w:val="0"/>
                  <w:tcMar>
                    <w:left w:w="28" w:type="dxa"/>
                    <w:right w:w="28" w:type="dxa"/>
                  </w:tcMar>
                  <w:vAlign w:val="center"/>
                </w:tcPr>
                <w:p w14:paraId="12CCA1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99" w:type="pct"/>
                  <w:noWrap w:val="0"/>
                  <w:tcMar>
                    <w:left w:w="28" w:type="dxa"/>
                    <w:right w:w="28" w:type="dxa"/>
                  </w:tcMar>
                  <w:vAlign w:val="center"/>
                </w:tcPr>
                <w:p w14:paraId="2898A8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2" w:type="pct"/>
                  <w:shd w:val="clear" w:color="auto" w:fill="auto"/>
                  <w:noWrap w:val="0"/>
                  <w:tcMar>
                    <w:left w:w="28" w:type="dxa"/>
                    <w:right w:w="28" w:type="dxa"/>
                  </w:tcMar>
                  <w:vAlign w:val="center"/>
                </w:tcPr>
                <w:p w14:paraId="2B119F79">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40" w:type="pct"/>
                  <w:noWrap w:val="0"/>
                  <w:tcMar>
                    <w:left w:w="28" w:type="dxa"/>
                    <w:right w:w="28" w:type="dxa"/>
                  </w:tcMar>
                  <w:vAlign w:val="center"/>
                </w:tcPr>
                <w:p w14:paraId="5201A973">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52" w:type="pct"/>
                  <w:noWrap w:val="0"/>
                  <w:tcMar>
                    <w:left w:w="28" w:type="dxa"/>
                    <w:right w:w="28" w:type="dxa"/>
                  </w:tcMar>
                  <w:vAlign w:val="center"/>
                </w:tcPr>
                <w:p w14:paraId="0ACEFD67">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0" w:type="pct"/>
                  <w:noWrap w:val="0"/>
                  <w:tcMar>
                    <w:left w:w="28" w:type="dxa"/>
                    <w:right w:w="28" w:type="dxa"/>
                  </w:tcMar>
                  <w:vAlign w:val="center"/>
                </w:tcPr>
                <w:p w14:paraId="2EB0B919">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98" w:type="pct"/>
                  <w:noWrap w:val="0"/>
                  <w:tcMar>
                    <w:left w:w="28" w:type="dxa"/>
                    <w:right w:w="28" w:type="dxa"/>
                  </w:tcMar>
                  <w:vAlign w:val="center"/>
                </w:tcPr>
                <w:p w14:paraId="4C615D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w:t>
                  </w:r>
                </w:p>
              </w:tc>
              <w:tc>
                <w:tcPr>
                  <w:tcW w:w="309" w:type="pct"/>
                  <w:noWrap w:val="0"/>
                  <w:tcMar>
                    <w:left w:w="28" w:type="dxa"/>
                    <w:right w:w="28" w:type="dxa"/>
                  </w:tcMar>
                  <w:vAlign w:val="center"/>
                </w:tcPr>
                <w:p w14:paraId="339B91C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14.71 </w:t>
                  </w:r>
                </w:p>
              </w:tc>
              <w:tc>
                <w:tcPr>
                  <w:tcW w:w="278" w:type="pct"/>
                  <w:noWrap w:val="0"/>
                  <w:tcMar>
                    <w:left w:w="28" w:type="dxa"/>
                    <w:right w:w="28" w:type="dxa"/>
                  </w:tcMar>
                  <w:vAlign w:val="center"/>
                </w:tcPr>
                <w:p w14:paraId="2B937F4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0.030 </w:t>
                  </w:r>
                </w:p>
              </w:tc>
              <w:tc>
                <w:tcPr>
                  <w:tcW w:w="291" w:type="pct"/>
                  <w:noWrap w:val="0"/>
                  <w:tcMar>
                    <w:left w:w="28" w:type="dxa"/>
                    <w:right w:w="28" w:type="dxa"/>
                  </w:tcMar>
                  <w:vAlign w:val="center"/>
                </w:tcPr>
                <w:p w14:paraId="68B509F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0.030 </w:t>
                  </w:r>
                </w:p>
              </w:tc>
            </w:tr>
            <w:tr w14:paraId="4DD3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6" w:type="pct"/>
                  <w:gridSpan w:val="2"/>
                  <w:vMerge w:val="continue"/>
                  <w:shd w:val="clear" w:color="auto" w:fill="auto"/>
                  <w:noWrap w:val="0"/>
                  <w:tcMar>
                    <w:left w:w="28" w:type="dxa"/>
                    <w:right w:w="28" w:type="dxa"/>
                  </w:tcMar>
                  <w:vAlign w:val="center"/>
                </w:tcPr>
                <w:p w14:paraId="2A0D9C37">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p>
              </w:tc>
              <w:tc>
                <w:tcPr>
                  <w:tcW w:w="479" w:type="pct"/>
                  <w:shd w:val="clear" w:color="auto" w:fill="auto"/>
                  <w:noWrap w:val="0"/>
                  <w:tcMar>
                    <w:left w:w="28" w:type="dxa"/>
                    <w:right w:w="28" w:type="dxa"/>
                  </w:tcMar>
                  <w:vAlign w:val="center"/>
                </w:tcPr>
                <w:p w14:paraId="05DCF2D1">
                  <w:pPr>
                    <w:widowControl/>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NO</w:t>
                  </w:r>
                  <w:r>
                    <w:rPr>
                      <w:rFonts w:hint="eastAsia"/>
                      <w:color w:val="000000" w:themeColor="text1"/>
                      <w:kern w:val="0"/>
                      <w:sz w:val="21"/>
                      <w:szCs w:val="21"/>
                      <w:highlight w:val="none"/>
                      <w:vertAlign w:val="subscript"/>
                      <w:lang w:val="en-US" w:eastAsia="zh-CN" w:bidi="ar"/>
                      <w14:textFill>
                        <w14:solidFill>
                          <w14:schemeClr w14:val="tx1"/>
                        </w14:solidFill>
                      </w14:textFill>
                    </w:rPr>
                    <w:t>X</w:t>
                  </w:r>
                </w:p>
              </w:tc>
              <w:tc>
                <w:tcPr>
                  <w:tcW w:w="304" w:type="pct"/>
                  <w:noWrap w:val="0"/>
                  <w:tcMar>
                    <w:left w:w="28" w:type="dxa"/>
                    <w:right w:w="28" w:type="dxa"/>
                  </w:tcMar>
                  <w:vAlign w:val="center"/>
                </w:tcPr>
                <w:p w14:paraId="3910B9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2040</w:t>
                  </w:r>
                </w:p>
              </w:tc>
              <w:tc>
                <w:tcPr>
                  <w:tcW w:w="312" w:type="pct"/>
                  <w:noWrap w:val="0"/>
                  <w:tcMar>
                    <w:left w:w="28" w:type="dxa"/>
                    <w:right w:w="28" w:type="dxa"/>
                  </w:tcMar>
                  <w:vAlign w:val="center"/>
                </w:tcPr>
                <w:p w14:paraId="204816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4" w:type="pct"/>
                  <w:noWrap w:val="0"/>
                  <w:tcMar>
                    <w:left w:w="28" w:type="dxa"/>
                    <w:right w:w="28" w:type="dxa"/>
                  </w:tcMar>
                  <w:vAlign w:val="center"/>
                </w:tcPr>
                <w:p w14:paraId="343BA6F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99" w:type="pct"/>
                  <w:noWrap w:val="0"/>
                  <w:tcMar>
                    <w:left w:w="28" w:type="dxa"/>
                    <w:right w:w="28" w:type="dxa"/>
                  </w:tcMar>
                  <w:vAlign w:val="center"/>
                </w:tcPr>
                <w:p w14:paraId="3994B9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2" w:type="pct"/>
                  <w:shd w:val="clear" w:color="auto" w:fill="auto"/>
                  <w:noWrap w:val="0"/>
                  <w:tcMar>
                    <w:left w:w="28" w:type="dxa"/>
                    <w:right w:w="28" w:type="dxa"/>
                  </w:tcMar>
                  <w:vAlign w:val="center"/>
                </w:tcPr>
                <w:p w14:paraId="70BA4B66">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40" w:type="pct"/>
                  <w:noWrap w:val="0"/>
                  <w:tcMar>
                    <w:left w:w="28" w:type="dxa"/>
                    <w:right w:w="28" w:type="dxa"/>
                  </w:tcMar>
                  <w:vAlign w:val="center"/>
                </w:tcPr>
                <w:p w14:paraId="427A383C">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52" w:type="pct"/>
                  <w:noWrap w:val="0"/>
                  <w:tcMar>
                    <w:left w:w="28" w:type="dxa"/>
                    <w:right w:w="28" w:type="dxa"/>
                  </w:tcMar>
                  <w:vAlign w:val="center"/>
                </w:tcPr>
                <w:p w14:paraId="310D9A05">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0" w:type="pct"/>
                  <w:noWrap w:val="0"/>
                  <w:tcMar>
                    <w:left w:w="28" w:type="dxa"/>
                    <w:right w:w="28" w:type="dxa"/>
                  </w:tcMar>
                  <w:vAlign w:val="center"/>
                </w:tcPr>
                <w:p w14:paraId="0E0A3A11">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98" w:type="pct"/>
                  <w:noWrap w:val="0"/>
                  <w:tcMar>
                    <w:left w:w="28" w:type="dxa"/>
                    <w:right w:w="28" w:type="dxa"/>
                  </w:tcMar>
                  <w:vAlign w:val="center"/>
                </w:tcPr>
                <w:p w14:paraId="7079AB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1000 </w:t>
                  </w:r>
                </w:p>
              </w:tc>
              <w:tc>
                <w:tcPr>
                  <w:tcW w:w="774" w:type="dxa"/>
                  <w:noWrap w:val="0"/>
                  <w:tcMar>
                    <w:left w:w="28" w:type="dxa"/>
                    <w:right w:w="28" w:type="dxa"/>
                  </w:tcMar>
                  <w:vAlign w:val="center"/>
                </w:tcPr>
                <w:p w14:paraId="206AAA6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68.75 </w:t>
                  </w:r>
                </w:p>
              </w:tc>
              <w:tc>
                <w:tcPr>
                  <w:tcW w:w="698" w:type="dxa"/>
                  <w:noWrap w:val="0"/>
                  <w:tcMar>
                    <w:left w:w="28" w:type="dxa"/>
                    <w:right w:w="28" w:type="dxa"/>
                  </w:tcMar>
                  <w:vAlign w:val="center"/>
                </w:tcPr>
                <w:p w14:paraId="00B821F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0.140 </w:t>
                  </w:r>
                </w:p>
              </w:tc>
              <w:tc>
                <w:tcPr>
                  <w:tcW w:w="729" w:type="dxa"/>
                  <w:noWrap w:val="0"/>
                  <w:tcMar>
                    <w:left w:w="28" w:type="dxa"/>
                    <w:right w:w="28" w:type="dxa"/>
                  </w:tcMar>
                  <w:vAlign w:val="center"/>
                </w:tcPr>
                <w:p w14:paraId="2EFB4BA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0.140 </w:t>
                  </w:r>
                </w:p>
              </w:tc>
            </w:tr>
            <w:tr w14:paraId="5E61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66" w:type="pct"/>
                  <w:gridSpan w:val="2"/>
                  <w:vMerge w:val="continue"/>
                  <w:noWrap w:val="0"/>
                  <w:tcMar>
                    <w:left w:w="28" w:type="dxa"/>
                    <w:right w:w="28" w:type="dxa"/>
                  </w:tcMar>
                  <w:vAlign w:val="center"/>
                </w:tcPr>
                <w:p w14:paraId="1FA18EA9">
                  <w:pPr>
                    <w:widowControl/>
                    <w:jc w:val="center"/>
                    <w:textAlignment w:val="center"/>
                    <w:rPr>
                      <w:color w:val="000000" w:themeColor="text1"/>
                      <w:kern w:val="0"/>
                      <w:sz w:val="21"/>
                      <w:szCs w:val="21"/>
                      <w:highlight w:val="none"/>
                      <w:lang w:bidi="ar"/>
                      <w14:textFill>
                        <w14:solidFill>
                          <w14:schemeClr w14:val="tx1"/>
                        </w14:solidFill>
                      </w14:textFill>
                    </w:rPr>
                  </w:pPr>
                </w:p>
              </w:tc>
              <w:tc>
                <w:tcPr>
                  <w:tcW w:w="479" w:type="pct"/>
                  <w:shd w:val="clear" w:color="auto" w:fill="auto"/>
                  <w:noWrap w:val="0"/>
                  <w:tcMar>
                    <w:left w:w="28" w:type="dxa"/>
                    <w:right w:w="28" w:type="dxa"/>
                  </w:tcMar>
                  <w:vAlign w:val="center"/>
                </w:tcPr>
                <w:p w14:paraId="3298CFC9">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颗粒物</w:t>
                  </w:r>
                </w:p>
              </w:tc>
              <w:tc>
                <w:tcPr>
                  <w:tcW w:w="304" w:type="pct"/>
                  <w:noWrap w:val="0"/>
                  <w:tcMar>
                    <w:left w:w="28" w:type="dxa"/>
                    <w:right w:w="28" w:type="dxa"/>
                  </w:tcMar>
                  <w:vAlign w:val="center"/>
                </w:tcPr>
                <w:p w14:paraId="5A1A2B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2040</w:t>
                  </w:r>
                </w:p>
              </w:tc>
              <w:tc>
                <w:tcPr>
                  <w:tcW w:w="312" w:type="pct"/>
                  <w:noWrap w:val="0"/>
                  <w:tcMar>
                    <w:left w:w="28" w:type="dxa"/>
                    <w:right w:w="28" w:type="dxa"/>
                  </w:tcMar>
                  <w:vAlign w:val="center"/>
                </w:tcPr>
                <w:p w14:paraId="1C6352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4" w:type="pct"/>
                  <w:noWrap w:val="0"/>
                  <w:tcMar>
                    <w:left w:w="28" w:type="dxa"/>
                    <w:right w:w="28" w:type="dxa"/>
                  </w:tcMar>
                  <w:vAlign w:val="center"/>
                </w:tcPr>
                <w:p w14:paraId="7062D6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99" w:type="pct"/>
                  <w:noWrap w:val="0"/>
                  <w:tcMar>
                    <w:left w:w="28" w:type="dxa"/>
                    <w:right w:w="28" w:type="dxa"/>
                  </w:tcMar>
                  <w:vAlign w:val="center"/>
                </w:tcPr>
                <w:p w14:paraId="3D8E90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2" w:type="pct"/>
                  <w:shd w:val="clear" w:color="auto" w:fill="auto"/>
                  <w:noWrap w:val="0"/>
                  <w:tcMar>
                    <w:left w:w="28" w:type="dxa"/>
                    <w:right w:w="28" w:type="dxa"/>
                  </w:tcMar>
                  <w:vAlign w:val="center"/>
                </w:tcPr>
                <w:p w14:paraId="05ECB753">
                  <w:pPr>
                    <w:keepNext w:val="0"/>
                    <w:keepLines w:val="0"/>
                    <w:widowControl/>
                    <w:suppressLineNumbers w:val="0"/>
                    <w:jc w:val="center"/>
                    <w:textAlignment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740" w:type="pct"/>
                  <w:noWrap w:val="0"/>
                  <w:tcMar>
                    <w:left w:w="28" w:type="dxa"/>
                    <w:right w:w="28" w:type="dxa"/>
                  </w:tcMar>
                  <w:vAlign w:val="center"/>
                </w:tcPr>
                <w:p w14:paraId="5DD39D40">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52" w:type="pct"/>
                  <w:noWrap w:val="0"/>
                  <w:tcMar>
                    <w:left w:w="28" w:type="dxa"/>
                    <w:right w:w="28" w:type="dxa"/>
                  </w:tcMar>
                  <w:vAlign w:val="center"/>
                </w:tcPr>
                <w:p w14:paraId="3FE4259E">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0" w:type="pct"/>
                  <w:noWrap w:val="0"/>
                  <w:tcMar>
                    <w:left w:w="28" w:type="dxa"/>
                    <w:right w:w="28" w:type="dxa"/>
                  </w:tcMar>
                  <w:vAlign w:val="center"/>
                </w:tcPr>
                <w:p w14:paraId="077DDA9C">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198" w:type="pct"/>
                  <w:noWrap w:val="0"/>
                  <w:tcMar>
                    <w:left w:w="28" w:type="dxa"/>
                    <w:right w:w="28" w:type="dxa"/>
                  </w:tcMar>
                  <w:vAlign w:val="center"/>
                </w:tcPr>
                <w:p w14:paraId="621B1C07">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1000 </w:t>
                  </w:r>
                </w:p>
              </w:tc>
              <w:tc>
                <w:tcPr>
                  <w:tcW w:w="309" w:type="pct"/>
                  <w:noWrap w:val="0"/>
                  <w:tcMar>
                    <w:left w:w="28" w:type="dxa"/>
                    <w:right w:w="28" w:type="dxa"/>
                  </w:tcMar>
                  <w:vAlign w:val="center"/>
                </w:tcPr>
                <w:p w14:paraId="288E27B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21.03 </w:t>
                  </w:r>
                </w:p>
              </w:tc>
              <w:tc>
                <w:tcPr>
                  <w:tcW w:w="278" w:type="pct"/>
                  <w:noWrap w:val="0"/>
                  <w:tcMar>
                    <w:left w:w="28" w:type="dxa"/>
                    <w:right w:w="28" w:type="dxa"/>
                  </w:tcMar>
                  <w:vAlign w:val="center"/>
                </w:tcPr>
                <w:p w14:paraId="0ECC3FB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0.043 </w:t>
                  </w:r>
                </w:p>
              </w:tc>
              <w:tc>
                <w:tcPr>
                  <w:tcW w:w="291" w:type="pct"/>
                  <w:noWrap w:val="0"/>
                  <w:tcMar>
                    <w:left w:w="28" w:type="dxa"/>
                    <w:right w:w="28" w:type="dxa"/>
                  </w:tcMar>
                  <w:vAlign w:val="center"/>
                </w:tcPr>
                <w:p w14:paraId="3DA90E8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0.043 </w:t>
                  </w:r>
                </w:p>
              </w:tc>
            </w:tr>
            <w:tr w14:paraId="1724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pct"/>
                  <w:gridSpan w:val="2"/>
                  <w:vMerge w:val="restart"/>
                  <w:noWrap w:val="0"/>
                  <w:tcMar>
                    <w:left w:w="28" w:type="dxa"/>
                    <w:right w:w="28" w:type="dxa"/>
                  </w:tcMar>
                  <w:vAlign w:val="center"/>
                </w:tcPr>
                <w:p w14:paraId="0912A83D">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全厂有组织合计</w:t>
                  </w:r>
                </w:p>
              </w:tc>
              <w:tc>
                <w:tcPr>
                  <w:tcW w:w="479" w:type="pct"/>
                  <w:noWrap w:val="0"/>
                  <w:tcMar>
                    <w:left w:w="28" w:type="dxa"/>
                    <w:right w:w="28" w:type="dxa"/>
                  </w:tcMar>
                  <w:vAlign w:val="center"/>
                </w:tcPr>
                <w:p w14:paraId="58BED1C9">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非甲烷总烃</w:t>
                  </w:r>
                </w:p>
              </w:tc>
              <w:tc>
                <w:tcPr>
                  <w:tcW w:w="304" w:type="pct"/>
                  <w:noWrap w:val="0"/>
                  <w:tcMar>
                    <w:left w:w="28" w:type="dxa"/>
                    <w:right w:w="28" w:type="dxa"/>
                  </w:tcMar>
                  <w:vAlign w:val="center"/>
                </w:tcPr>
                <w:p w14:paraId="1F0D6856">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12" w:type="pct"/>
                  <w:noWrap w:val="0"/>
                  <w:tcMar>
                    <w:left w:w="28" w:type="dxa"/>
                    <w:right w:w="28" w:type="dxa"/>
                  </w:tcMar>
                  <w:vAlign w:val="center"/>
                </w:tcPr>
                <w:p w14:paraId="7BD9E3DB">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4" w:type="pct"/>
                  <w:noWrap w:val="0"/>
                  <w:tcMar>
                    <w:left w:w="28" w:type="dxa"/>
                    <w:right w:w="28" w:type="dxa"/>
                  </w:tcMar>
                  <w:vAlign w:val="center"/>
                </w:tcPr>
                <w:p w14:paraId="78A9A9D6">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99" w:type="pct"/>
                  <w:noWrap w:val="0"/>
                  <w:tcMar>
                    <w:left w:w="28" w:type="dxa"/>
                    <w:right w:w="28" w:type="dxa"/>
                  </w:tcMar>
                  <w:vAlign w:val="center"/>
                </w:tcPr>
                <w:p w14:paraId="6DA11076">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2" w:type="pct"/>
                  <w:noWrap w:val="0"/>
                  <w:tcMar>
                    <w:left w:w="28" w:type="dxa"/>
                    <w:right w:w="28" w:type="dxa"/>
                  </w:tcMar>
                  <w:vAlign w:val="center"/>
                </w:tcPr>
                <w:p w14:paraId="3B883C46">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740" w:type="pct"/>
                  <w:noWrap w:val="0"/>
                  <w:tcMar>
                    <w:left w:w="28" w:type="dxa"/>
                    <w:right w:w="28" w:type="dxa"/>
                  </w:tcMar>
                  <w:vAlign w:val="center"/>
                </w:tcPr>
                <w:p w14:paraId="0C9F8E26">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52" w:type="pct"/>
                  <w:noWrap w:val="0"/>
                  <w:tcMar>
                    <w:left w:w="28" w:type="dxa"/>
                    <w:right w:w="28" w:type="dxa"/>
                  </w:tcMar>
                  <w:vAlign w:val="center"/>
                </w:tcPr>
                <w:p w14:paraId="3B883ADA">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80" w:type="pct"/>
                  <w:noWrap w:val="0"/>
                  <w:tcMar>
                    <w:left w:w="28" w:type="dxa"/>
                    <w:right w:w="28" w:type="dxa"/>
                  </w:tcMar>
                  <w:vAlign w:val="center"/>
                </w:tcPr>
                <w:p w14:paraId="611D2429">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98" w:type="pct"/>
                  <w:noWrap w:val="0"/>
                  <w:tcMar>
                    <w:left w:w="28" w:type="dxa"/>
                    <w:right w:w="28" w:type="dxa"/>
                  </w:tcMar>
                  <w:vAlign w:val="center"/>
                </w:tcPr>
                <w:p w14:paraId="7BDD0B14">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9" w:type="pct"/>
                  <w:noWrap w:val="0"/>
                  <w:tcMar>
                    <w:left w:w="28" w:type="dxa"/>
                    <w:right w:w="28" w:type="dxa"/>
                  </w:tcMar>
                  <w:vAlign w:val="center"/>
                </w:tcPr>
                <w:p w14:paraId="3A31D79D">
                  <w:pPr>
                    <w:keepNext w:val="0"/>
                    <w:keepLines w:val="0"/>
                    <w:widowControl/>
                    <w:suppressLineNumbers w:val="0"/>
                    <w:jc w:val="center"/>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78" w:type="pct"/>
                  <w:noWrap w:val="0"/>
                  <w:tcMar>
                    <w:left w:w="28" w:type="dxa"/>
                    <w:right w:w="28" w:type="dxa"/>
                  </w:tcMar>
                  <w:vAlign w:val="center"/>
                </w:tcPr>
                <w:p w14:paraId="4DC877E0">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91" w:type="pct"/>
                  <w:noWrap w:val="0"/>
                  <w:tcMar>
                    <w:left w:w="28" w:type="dxa"/>
                    <w:right w:w="28" w:type="dxa"/>
                  </w:tcMar>
                  <w:vAlign w:val="center"/>
                </w:tcPr>
                <w:p w14:paraId="50F2BB0B">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0.554</w:t>
                  </w:r>
                </w:p>
              </w:tc>
            </w:tr>
            <w:tr w14:paraId="55001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6" w:type="pct"/>
                  <w:gridSpan w:val="2"/>
                  <w:vMerge w:val="continue"/>
                  <w:noWrap w:val="0"/>
                  <w:tcMar>
                    <w:left w:w="28" w:type="dxa"/>
                    <w:right w:w="28" w:type="dxa"/>
                  </w:tcMar>
                  <w:vAlign w:val="center"/>
                </w:tcPr>
                <w:p w14:paraId="37A0D30F">
                  <w:pPr>
                    <w:jc w:val="center"/>
                    <w:rPr>
                      <w:color w:val="000000" w:themeColor="text1"/>
                      <w:sz w:val="21"/>
                      <w:szCs w:val="21"/>
                      <w:highlight w:val="none"/>
                      <w14:textFill>
                        <w14:solidFill>
                          <w14:schemeClr w14:val="tx1"/>
                        </w14:solidFill>
                      </w14:textFill>
                    </w:rPr>
                  </w:pPr>
                </w:p>
              </w:tc>
              <w:tc>
                <w:tcPr>
                  <w:tcW w:w="479" w:type="pct"/>
                  <w:noWrap w:val="0"/>
                  <w:tcMar>
                    <w:left w:w="28" w:type="dxa"/>
                    <w:right w:w="28" w:type="dxa"/>
                  </w:tcMar>
                  <w:vAlign w:val="center"/>
                </w:tcPr>
                <w:p w14:paraId="0231E952">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颗粒物</w:t>
                  </w:r>
                </w:p>
              </w:tc>
              <w:tc>
                <w:tcPr>
                  <w:tcW w:w="304" w:type="pct"/>
                  <w:noWrap w:val="0"/>
                  <w:tcMar>
                    <w:left w:w="28" w:type="dxa"/>
                    <w:right w:w="28" w:type="dxa"/>
                  </w:tcMar>
                  <w:vAlign w:val="center"/>
                </w:tcPr>
                <w:p w14:paraId="0D65C5DF">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12" w:type="pct"/>
                  <w:noWrap w:val="0"/>
                  <w:tcMar>
                    <w:left w:w="28" w:type="dxa"/>
                    <w:right w:w="28" w:type="dxa"/>
                  </w:tcMar>
                  <w:vAlign w:val="center"/>
                </w:tcPr>
                <w:p w14:paraId="7C33B7DF">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4" w:type="pct"/>
                  <w:noWrap w:val="0"/>
                  <w:tcMar>
                    <w:left w:w="28" w:type="dxa"/>
                    <w:right w:w="28" w:type="dxa"/>
                  </w:tcMar>
                  <w:vAlign w:val="center"/>
                </w:tcPr>
                <w:p w14:paraId="24AB044A">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99" w:type="pct"/>
                  <w:noWrap w:val="0"/>
                  <w:tcMar>
                    <w:left w:w="28" w:type="dxa"/>
                    <w:right w:w="28" w:type="dxa"/>
                  </w:tcMar>
                  <w:vAlign w:val="center"/>
                </w:tcPr>
                <w:p w14:paraId="38D6F10F">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2" w:type="pct"/>
                  <w:noWrap w:val="0"/>
                  <w:tcMar>
                    <w:left w:w="28" w:type="dxa"/>
                    <w:right w:w="28" w:type="dxa"/>
                  </w:tcMar>
                  <w:vAlign w:val="center"/>
                </w:tcPr>
                <w:p w14:paraId="1F106E3E">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740" w:type="pct"/>
                  <w:noWrap w:val="0"/>
                  <w:tcMar>
                    <w:left w:w="28" w:type="dxa"/>
                    <w:right w:w="28" w:type="dxa"/>
                  </w:tcMar>
                  <w:vAlign w:val="center"/>
                </w:tcPr>
                <w:p w14:paraId="224D8AAE">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52" w:type="pct"/>
                  <w:noWrap w:val="0"/>
                  <w:tcMar>
                    <w:left w:w="28" w:type="dxa"/>
                    <w:right w:w="28" w:type="dxa"/>
                  </w:tcMar>
                  <w:vAlign w:val="center"/>
                </w:tcPr>
                <w:p w14:paraId="7401952A">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80" w:type="pct"/>
                  <w:noWrap w:val="0"/>
                  <w:tcMar>
                    <w:left w:w="28" w:type="dxa"/>
                    <w:right w:w="28" w:type="dxa"/>
                  </w:tcMar>
                  <w:vAlign w:val="center"/>
                </w:tcPr>
                <w:p w14:paraId="380CE2A2">
                  <w:pPr>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98" w:type="pct"/>
                  <w:noWrap w:val="0"/>
                  <w:tcMar>
                    <w:left w:w="28" w:type="dxa"/>
                    <w:right w:w="28" w:type="dxa"/>
                  </w:tcMar>
                  <w:vAlign w:val="center"/>
                </w:tcPr>
                <w:p w14:paraId="4AF36769">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9" w:type="pct"/>
                  <w:noWrap w:val="0"/>
                  <w:tcMar>
                    <w:left w:w="28" w:type="dxa"/>
                    <w:right w:w="28" w:type="dxa"/>
                  </w:tcMar>
                  <w:vAlign w:val="center"/>
                </w:tcPr>
                <w:p w14:paraId="2CD43A65">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78" w:type="pct"/>
                  <w:noWrap w:val="0"/>
                  <w:tcMar>
                    <w:left w:w="28" w:type="dxa"/>
                    <w:right w:w="28" w:type="dxa"/>
                  </w:tcMar>
                  <w:vAlign w:val="center"/>
                </w:tcPr>
                <w:p w14:paraId="7C26087D">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91" w:type="pct"/>
                  <w:noWrap w:val="0"/>
                  <w:tcMar>
                    <w:left w:w="28" w:type="dxa"/>
                    <w:right w:w="28" w:type="dxa"/>
                  </w:tcMar>
                  <w:vAlign w:val="center"/>
                </w:tcPr>
                <w:p w14:paraId="10CBAF53">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0.338 </w:t>
                  </w:r>
                </w:p>
              </w:tc>
            </w:tr>
            <w:tr w14:paraId="5E79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666" w:type="pct"/>
                  <w:gridSpan w:val="2"/>
                  <w:vMerge w:val="continue"/>
                  <w:noWrap w:val="0"/>
                  <w:tcMar>
                    <w:left w:w="28" w:type="dxa"/>
                    <w:right w:w="28" w:type="dxa"/>
                  </w:tcMar>
                  <w:vAlign w:val="center"/>
                </w:tcPr>
                <w:p w14:paraId="006E3DA8">
                  <w:pPr>
                    <w:jc w:val="center"/>
                    <w:rPr>
                      <w:color w:val="000000" w:themeColor="text1"/>
                      <w:sz w:val="21"/>
                      <w:szCs w:val="21"/>
                      <w:highlight w:val="none"/>
                      <w14:textFill>
                        <w14:solidFill>
                          <w14:schemeClr w14:val="tx1"/>
                        </w14:solidFill>
                      </w14:textFill>
                    </w:rPr>
                  </w:pPr>
                </w:p>
              </w:tc>
              <w:tc>
                <w:tcPr>
                  <w:tcW w:w="479" w:type="pct"/>
                  <w:shd w:val="clear" w:color="auto" w:fill="auto"/>
                  <w:noWrap w:val="0"/>
                  <w:tcMar>
                    <w:left w:w="28" w:type="dxa"/>
                    <w:right w:w="28" w:type="dxa"/>
                  </w:tcMar>
                  <w:vAlign w:val="center"/>
                </w:tcPr>
                <w:p w14:paraId="174F8786">
                  <w:pPr>
                    <w:widowControl/>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SO</w:t>
                  </w:r>
                  <w:r>
                    <w:rPr>
                      <w:rFonts w:hint="eastAsia"/>
                      <w:color w:val="000000" w:themeColor="text1"/>
                      <w:kern w:val="0"/>
                      <w:sz w:val="21"/>
                      <w:szCs w:val="21"/>
                      <w:highlight w:val="none"/>
                      <w:vertAlign w:val="subscript"/>
                      <w:lang w:val="en-US" w:eastAsia="zh-CN" w:bidi="ar"/>
                      <w14:textFill>
                        <w14:solidFill>
                          <w14:schemeClr w14:val="tx1"/>
                        </w14:solidFill>
                      </w14:textFill>
                    </w:rPr>
                    <w:t>2</w:t>
                  </w:r>
                </w:p>
              </w:tc>
              <w:tc>
                <w:tcPr>
                  <w:tcW w:w="304" w:type="pct"/>
                  <w:shd w:val="clear" w:color="auto" w:fill="auto"/>
                  <w:noWrap w:val="0"/>
                  <w:tcMar>
                    <w:left w:w="28" w:type="dxa"/>
                    <w:right w:w="28" w:type="dxa"/>
                  </w:tcMar>
                  <w:vAlign w:val="center"/>
                </w:tcPr>
                <w:p w14:paraId="1B1E5F8B">
                  <w:pPr>
                    <w:keepNext w:val="0"/>
                    <w:keepLines w:val="0"/>
                    <w:widowControl/>
                    <w:suppressLineNumbers w:val="0"/>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12" w:type="pct"/>
                  <w:shd w:val="clear" w:color="auto" w:fill="auto"/>
                  <w:noWrap w:val="0"/>
                  <w:tcMar>
                    <w:left w:w="28" w:type="dxa"/>
                    <w:right w:w="28" w:type="dxa"/>
                  </w:tcMar>
                  <w:vAlign w:val="center"/>
                </w:tcPr>
                <w:p w14:paraId="5221A62F">
                  <w:pPr>
                    <w:keepNext w:val="0"/>
                    <w:keepLines w:val="0"/>
                    <w:widowControl/>
                    <w:suppressLineNumbers w:val="0"/>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4" w:type="pct"/>
                  <w:shd w:val="clear" w:color="auto" w:fill="auto"/>
                  <w:noWrap w:val="0"/>
                  <w:tcMar>
                    <w:left w:w="28" w:type="dxa"/>
                    <w:right w:w="28" w:type="dxa"/>
                  </w:tcMar>
                  <w:vAlign w:val="center"/>
                </w:tcPr>
                <w:p w14:paraId="6EEACB36">
                  <w:pPr>
                    <w:keepNext w:val="0"/>
                    <w:keepLines w:val="0"/>
                    <w:widowControl/>
                    <w:suppressLineNumbers w:val="0"/>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99" w:type="pct"/>
                  <w:shd w:val="clear" w:color="auto" w:fill="auto"/>
                  <w:noWrap w:val="0"/>
                  <w:tcMar>
                    <w:left w:w="28" w:type="dxa"/>
                    <w:right w:w="28" w:type="dxa"/>
                  </w:tcMar>
                  <w:vAlign w:val="center"/>
                </w:tcPr>
                <w:p w14:paraId="469D886B">
                  <w:pPr>
                    <w:keepNext w:val="0"/>
                    <w:keepLines w:val="0"/>
                    <w:widowControl/>
                    <w:suppressLineNumbers w:val="0"/>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2" w:type="pct"/>
                  <w:shd w:val="clear" w:color="auto" w:fill="auto"/>
                  <w:noWrap w:val="0"/>
                  <w:tcMar>
                    <w:left w:w="28" w:type="dxa"/>
                    <w:right w:w="28" w:type="dxa"/>
                  </w:tcMar>
                  <w:vAlign w:val="center"/>
                </w:tcPr>
                <w:p w14:paraId="094BA5E8">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740" w:type="pct"/>
                  <w:shd w:val="clear" w:color="auto" w:fill="auto"/>
                  <w:noWrap w:val="0"/>
                  <w:tcMar>
                    <w:left w:w="28" w:type="dxa"/>
                    <w:right w:w="28" w:type="dxa"/>
                  </w:tcMar>
                  <w:vAlign w:val="center"/>
                </w:tcPr>
                <w:p w14:paraId="69F14C5A">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52" w:type="pct"/>
                  <w:shd w:val="clear" w:color="auto" w:fill="auto"/>
                  <w:noWrap w:val="0"/>
                  <w:tcMar>
                    <w:left w:w="28" w:type="dxa"/>
                    <w:right w:w="28" w:type="dxa"/>
                  </w:tcMar>
                  <w:vAlign w:val="center"/>
                </w:tcPr>
                <w:p w14:paraId="0EC5451B">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80" w:type="pct"/>
                  <w:shd w:val="clear" w:color="auto" w:fill="auto"/>
                  <w:noWrap w:val="0"/>
                  <w:tcMar>
                    <w:left w:w="28" w:type="dxa"/>
                    <w:right w:w="28" w:type="dxa"/>
                  </w:tcMar>
                  <w:vAlign w:val="center"/>
                </w:tcPr>
                <w:p w14:paraId="4DE9BEC5">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98" w:type="pct"/>
                  <w:shd w:val="clear" w:color="auto" w:fill="auto"/>
                  <w:noWrap w:val="0"/>
                  <w:tcMar>
                    <w:left w:w="28" w:type="dxa"/>
                    <w:right w:w="28" w:type="dxa"/>
                  </w:tcMar>
                  <w:vAlign w:val="center"/>
                </w:tcPr>
                <w:p w14:paraId="501A9D3B">
                  <w:pPr>
                    <w:keepNext w:val="0"/>
                    <w:keepLines w:val="0"/>
                    <w:widowControl/>
                    <w:suppressLineNumbers w:val="0"/>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9" w:type="pct"/>
                  <w:shd w:val="clear" w:color="auto" w:fill="auto"/>
                  <w:noWrap w:val="0"/>
                  <w:tcMar>
                    <w:left w:w="28" w:type="dxa"/>
                    <w:right w:w="28" w:type="dxa"/>
                  </w:tcMar>
                  <w:vAlign w:val="center"/>
                </w:tcPr>
                <w:p w14:paraId="1D9BCF48">
                  <w:pPr>
                    <w:keepNext w:val="0"/>
                    <w:keepLines w:val="0"/>
                    <w:widowControl/>
                    <w:suppressLineNumbers w:val="0"/>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78" w:type="pct"/>
                  <w:shd w:val="clear" w:color="auto" w:fill="auto"/>
                  <w:noWrap w:val="0"/>
                  <w:tcMar>
                    <w:left w:w="28" w:type="dxa"/>
                    <w:right w:w="28" w:type="dxa"/>
                  </w:tcMar>
                  <w:vAlign w:val="center"/>
                </w:tcPr>
                <w:p w14:paraId="04067300">
                  <w:pPr>
                    <w:keepNext w:val="0"/>
                    <w:keepLines w:val="0"/>
                    <w:widowControl/>
                    <w:suppressLineNumbers w:val="0"/>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91" w:type="pct"/>
                  <w:shd w:val="clear" w:color="auto" w:fill="auto"/>
                  <w:noWrap w:val="0"/>
                  <w:tcMar>
                    <w:left w:w="28" w:type="dxa"/>
                    <w:right w:w="28" w:type="dxa"/>
                  </w:tcMar>
                  <w:vAlign w:val="center"/>
                </w:tcPr>
                <w:p w14:paraId="1E26C649">
                  <w:pPr>
                    <w:keepNext w:val="0"/>
                    <w:keepLines w:val="0"/>
                    <w:widowControl/>
                    <w:suppressLineNumbers w:val="0"/>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0.030 </w:t>
                  </w:r>
                </w:p>
              </w:tc>
            </w:tr>
            <w:tr w14:paraId="0D3FF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666" w:type="pct"/>
                  <w:gridSpan w:val="2"/>
                  <w:vMerge w:val="continue"/>
                  <w:noWrap w:val="0"/>
                  <w:tcMar>
                    <w:left w:w="28" w:type="dxa"/>
                    <w:right w:w="28" w:type="dxa"/>
                  </w:tcMar>
                  <w:vAlign w:val="center"/>
                </w:tcPr>
                <w:p w14:paraId="530538C6">
                  <w:pPr>
                    <w:jc w:val="center"/>
                    <w:rPr>
                      <w:color w:val="000000" w:themeColor="text1"/>
                      <w:sz w:val="21"/>
                      <w:szCs w:val="21"/>
                      <w:highlight w:val="none"/>
                      <w14:textFill>
                        <w14:solidFill>
                          <w14:schemeClr w14:val="tx1"/>
                        </w14:solidFill>
                      </w14:textFill>
                    </w:rPr>
                  </w:pPr>
                </w:p>
              </w:tc>
              <w:tc>
                <w:tcPr>
                  <w:tcW w:w="479" w:type="pct"/>
                  <w:noWrap w:val="0"/>
                  <w:tcMar>
                    <w:left w:w="28" w:type="dxa"/>
                    <w:right w:w="28" w:type="dxa"/>
                  </w:tcMar>
                  <w:vAlign w:val="center"/>
                </w:tcPr>
                <w:p w14:paraId="3D171F1D">
                  <w:pPr>
                    <w:widowControl/>
                    <w:jc w:val="center"/>
                    <w:textAlignment w:val="center"/>
                    <w:rPr>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NO</w:t>
                  </w:r>
                  <w:r>
                    <w:rPr>
                      <w:rFonts w:hint="eastAsia"/>
                      <w:color w:val="000000" w:themeColor="text1"/>
                      <w:kern w:val="0"/>
                      <w:sz w:val="21"/>
                      <w:szCs w:val="21"/>
                      <w:highlight w:val="none"/>
                      <w:vertAlign w:val="subscript"/>
                      <w:lang w:val="en-US" w:eastAsia="zh-CN" w:bidi="ar"/>
                      <w14:textFill>
                        <w14:solidFill>
                          <w14:schemeClr w14:val="tx1"/>
                        </w14:solidFill>
                      </w14:textFill>
                    </w:rPr>
                    <w:t>X</w:t>
                  </w:r>
                </w:p>
              </w:tc>
              <w:tc>
                <w:tcPr>
                  <w:tcW w:w="304" w:type="pct"/>
                  <w:noWrap w:val="0"/>
                  <w:tcMar>
                    <w:left w:w="28" w:type="dxa"/>
                    <w:right w:w="28" w:type="dxa"/>
                  </w:tcMar>
                  <w:vAlign w:val="center"/>
                </w:tcPr>
                <w:p w14:paraId="14F7F1AA">
                  <w:pPr>
                    <w:keepNext w:val="0"/>
                    <w:keepLines w:val="0"/>
                    <w:widowControl/>
                    <w:suppressLineNumbers w:val="0"/>
                    <w:jc w:val="center"/>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12" w:type="pct"/>
                  <w:noWrap w:val="0"/>
                  <w:tcMar>
                    <w:left w:w="28" w:type="dxa"/>
                    <w:right w:w="28" w:type="dxa"/>
                  </w:tcMar>
                  <w:vAlign w:val="center"/>
                </w:tcPr>
                <w:p w14:paraId="2488EB86">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4" w:type="pct"/>
                  <w:noWrap w:val="0"/>
                  <w:tcMar>
                    <w:left w:w="28" w:type="dxa"/>
                    <w:right w:w="28" w:type="dxa"/>
                  </w:tcMar>
                  <w:vAlign w:val="center"/>
                </w:tcPr>
                <w:p w14:paraId="44180BFC">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99" w:type="pct"/>
                  <w:noWrap w:val="0"/>
                  <w:tcMar>
                    <w:left w:w="28" w:type="dxa"/>
                    <w:right w:w="28" w:type="dxa"/>
                  </w:tcMar>
                  <w:vAlign w:val="center"/>
                </w:tcPr>
                <w:p w14:paraId="36C49ABE">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282" w:type="pct"/>
                  <w:shd w:val="clear" w:color="auto" w:fill="auto"/>
                  <w:noWrap w:val="0"/>
                  <w:tcMar>
                    <w:left w:w="28" w:type="dxa"/>
                    <w:right w:w="28" w:type="dxa"/>
                  </w:tcMar>
                  <w:vAlign w:val="center"/>
                </w:tcPr>
                <w:p w14:paraId="76988D84">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740" w:type="pct"/>
                  <w:shd w:val="clear" w:color="auto" w:fill="auto"/>
                  <w:noWrap w:val="0"/>
                  <w:tcMar>
                    <w:left w:w="28" w:type="dxa"/>
                    <w:right w:w="28" w:type="dxa"/>
                  </w:tcMar>
                  <w:vAlign w:val="center"/>
                </w:tcPr>
                <w:p w14:paraId="23831295">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52" w:type="pct"/>
                  <w:shd w:val="clear" w:color="auto" w:fill="auto"/>
                  <w:noWrap w:val="0"/>
                  <w:tcMar>
                    <w:left w:w="28" w:type="dxa"/>
                    <w:right w:w="28" w:type="dxa"/>
                  </w:tcMar>
                  <w:vAlign w:val="center"/>
                </w:tcPr>
                <w:p w14:paraId="2A0A9A31">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80" w:type="pct"/>
                  <w:shd w:val="clear" w:color="auto" w:fill="auto"/>
                  <w:noWrap w:val="0"/>
                  <w:tcMar>
                    <w:left w:w="28" w:type="dxa"/>
                    <w:right w:w="28" w:type="dxa"/>
                  </w:tcMar>
                  <w:vAlign w:val="center"/>
                </w:tcPr>
                <w:p w14:paraId="08FAD2CA">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98" w:type="pct"/>
                  <w:shd w:val="clear" w:color="auto" w:fill="auto"/>
                  <w:noWrap w:val="0"/>
                  <w:tcMar>
                    <w:left w:w="28" w:type="dxa"/>
                    <w:right w:w="28" w:type="dxa"/>
                  </w:tcMar>
                  <w:vAlign w:val="center"/>
                </w:tcPr>
                <w:p w14:paraId="55B748EC">
                  <w:pPr>
                    <w:keepNext w:val="0"/>
                    <w:keepLines w:val="0"/>
                    <w:widowControl/>
                    <w:suppressLineNumbers w:val="0"/>
                    <w:jc w:val="center"/>
                    <w:textAlignment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9" w:type="pct"/>
                  <w:noWrap w:val="0"/>
                  <w:tcMar>
                    <w:left w:w="28" w:type="dxa"/>
                    <w:right w:w="28" w:type="dxa"/>
                  </w:tcMar>
                  <w:vAlign w:val="center"/>
                </w:tcPr>
                <w:p w14:paraId="74516A63">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78" w:type="pct"/>
                  <w:noWrap w:val="0"/>
                  <w:tcMar>
                    <w:left w:w="28" w:type="dxa"/>
                    <w:right w:w="28" w:type="dxa"/>
                  </w:tcMar>
                  <w:vAlign w:val="center"/>
                </w:tcPr>
                <w:p w14:paraId="4DE84AD7">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91" w:type="pct"/>
                  <w:noWrap w:val="0"/>
                  <w:tcMar>
                    <w:left w:w="28" w:type="dxa"/>
                    <w:right w:w="28" w:type="dxa"/>
                  </w:tcMar>
                  <w:vAlign w:val="center"/>
                </w:tcPr>
                <w:p w14:paraId="13DB9B76">
                  <w:pPr>
                    <w:keepNext w:val="0"/>
                    <w:keepLines w:val="0"/>
                    <w:widowControl/>
                    <w:suppressLineNumbers w:val="0"/>
                    <w:jc w:val="center"/>
                    <w:textAlignment w:val="center"/>
                    <w:rPr>
                      <w:rFonts w:hint="default"/>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i w:val="0"/>
                      <w:iCs w:val="0"/>
                      <w:color w:val="000000"/>
                      <w:kern w:val="0"/>
                      <w:sz w:val="21"/>
                      <w:szCs w:val="21"/>
                      <w:u w:val="none"/>
                      <w:lang w:val="en-US" w:eastAsia="zh-CN" w:bidi="ar"/>
                    </w:rPr>
                    <w:t>0.140</w:t>
                  </w:r>
                  <w:r>
                    <w:rPr>
                      <w:rFonts w:hint="default" w:ascii="Times New Roman" w:hAnsi="Times New Roman" w:eastAsia="宋体" w:cs="Times New Roman"/>
                      <w:i w:val="0"/>
                      <w:iCs w:val="0"/>
                      <w:color w:val="000000"/>
                      <w:kern w:val="0"/>
                      <w:sz w:val="21"/>
                      <w:szCs w:val="21"/>
                      <w:u w:val="none"/>
                      <w:lang w:val="en-US" w:eastAsia="zh-CN" w:bidi="ar"/>
                    </w:rPr>
                    <w:t xml:space="preserve"> </w:t>
                  </w:r>
                </w:p>
              </w:tc>
            </w:tr>
            <w:tr w14:paraId="221A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666" w:type="pct"/>
                  <w:gridSpan w:val="2"/>
                  <w:vMerge w:val="continue"/>
                  <w:noWrap w:val="0"/>
                  <w:tcMar>
                    <w:left w:w="28" w:type="dxa"/>
                    <w:right w:w="28" w:type="dxa"/>
                  </w:tcMar>
                  <w:vAlign w:val="center"/>
                </w:tcPr>
                <w:p w14:paraId="009A6E22">
                  <w:pPr>
                    <w:jc w:val="center"/>
                    <w:rPr>
                      <w:color w:val="000000" w:themeColor="text1"/>
                      <w:sz w:val="21"/>
                      <w:szCs w:val="21"/>
                      <w:highlight w:val="none"/>
                      <w14:textFill>
                        <w14:solidFill>
                          <w14:schemeClr w14:val="tx1"/>
                        </w14:solidFill>
                      </w14:textFill>
                    </w:rPr>
                  </w:pPr>
                </w:p>
              </w:tc>
              <w:tc>
                <w:tcPr>
                  <w:tcW w:w="479" w:type="pct"/>
                  <w:noWrap w:val="0"/>
                  <w:tcMar>
                    <w:left w:w="28" w:type="dxa"/>
                    <w:right w:w="28" w:type="dxa"/>
                  </w:tcMar>
                  <w:vAlign w:val="center"/>
                </w:tcPr>
                <w:p w14:paraId="4B2C205B">
                  <w:pPr>
                    <w:widowControl/>
                    <w:jc w:val="center"/>
                    <w:textAlignment w:val="center"/>
                    <w:rPr>
                      <w:rFonts w:hint="eastAsia"/>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臭气浓度</w:t>
                  </w:r>
                </w:p>
              </w:tc>
              <w:tc>
                <w:tcPr>
                  <w:tcW w:w="304" w:type="pct"/>
                  <w:noWrap w:val="0"/>
                  <w:tcMar>
                    <w:left w:w="28" w:type="dxa"/>
                    <w:right w:w="28" w:type="dxa"/>
                  </w:tcMar>
                  <w:vAlign w:val="center"/>
                </w:tcPr>
                <w:p w14:paraId="3680CF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12" w:type="pct"/>
                  <w:noWrap w:val="0"/>
                  <w:tcMar>
                    <w:left w:w="28" w:type="dxa"/>
                    <w:right w:w="28" w:type="dxa"/>
                  </w:tcMar>
                  <w:vAlign w:val="center"/>
                </w:tcPr>
                <w:p w14:paraId="153F9C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04" w:type="pct"/>
                  <w:noWrap w:val="0"/>
                  <w:tcMar>
                    <w:left w:w="28" w:type="dxa"/>
                    <w:right w:w="28" w:type="dxa"/>
                  </w:tcMar>
                  <w:vAlign w:val="center"/>
                </w:tcPr>
                <w:p w14:paraId="77A9A9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99" w:type="pct"/>
                  <w:noWrap w:val="0"/>
                  <w:tcMar>
                    <w:left w:w="28" w:type="dxa"/>
                    <w:right w:w="28" w:type="dxa"/>
                  </w:tcMar>
                  <w:vAlign w:val="center"/>
                </w:tcPr>
                <w:p w14:paraId="6335B3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82" w:type="pct"/>
                  <w:shd w:val="clear" w:color="auto" w:fill="auto"/>
                  <w:noWrap w:val="0"/>
                  <w:tcMar>
                    <w:left w:w="28" w:type="dxa"/>
                    <w:right w:w="28" w:type="dxa"/>
                  </w:tcMar>
                  <w:vAlign w:val="center"/>
                </w:tcPr>
                <w:p w14:paraId="5A9520B9">
                  <w:pPr>
                    <w:keepNext w:val="0"/>
                    <w:keepLines w:val="0"/>
                    <w:widowControl/>
                    <w:suppressLineNumbers w:val="0"/>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740" w:type="pct"/>
                  <w:shd w:val="clear" w:color="auto" w:fill="auto"/>
                  <w:noWrap w:val="0"/>
                  <w:tcMar>
                    <w:left w:w="28" w:type="dxa"/>
                    <w:right w:w="28" w:type="dxa"/>
                  </w:tcMar>
                  <w:vAlign w:val="center"/>
                </w:tcPr>
                <w:p w14:paraId="26B4471A">
                  <w:pPr>
                    <w:widowControl/>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52" w:type="pct"/>
                  <w:shd w:val="clear" w:color="auto" w:fill="auto"/>
                  <w:noWrap w:val="0"/>
                  <w:tcMar>
                    <w:left w:w="28" w:type="dxa"/>
                    <w:right w:w="28" w:type="dxa"/>
                  </w:tcMar>
                  <w:vAlign w:val="center"/>
                </w:tcPr>
                <w:p w14:paraId="0A36ABEC">
                  <w:pPr>
                    <w:keepNext w:val="0"/>
                    <w:keepLines w:val="0"/>
                    <w:widowControl/>
                    <w:suppressLineNumbers w:val="0"/>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80" w:type="pct"/>
                  <w:shd w:val="clear" w:color="auto" w:fill="auto"/>
                  <w:noWrap w:val="0"/>
                  <w:tcMar>
                    <w:left w:w="28" w:type="dxa"/>
                    <w:right w:w="28" w:type="dxa"/>
                  </w:tcMar>
                  <w:vAlign w:val="center"/>
                </w:tcPr>
                <w:p w14:paraId="2F6B5375">
                  <w:pPr>
                    <w:keepNext w:val="0"/>
                    <w:keepLines w:val="0"/>
                    <w:widowControl/>
                    <w:suppressLineNumbers w:val="0"/>
                    <w:jc w:val="center"/>
                    <w:textAlignment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198" w:type="pct"/>
                  <w:shd w:val="clear" w:color="auto" w:fill="auto"/>
                  <w:noWrap w:val="0"/>
                  <w:tcMar>
                    <w:left w:w="28" w:type="dxa"/>
                    <w:right w:w="28" w:type="dxa"/>
                  </w:tcMar>
                  <w:vAlign w:val="center"/>
                </w:tcPr>
                <w:p w14:paraId="51F5DF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309" w:type="pct"/>
                  <w:noWrap w:val="0"/>
                  <w:tcMar>
                    <w:left w:w="28" w:type="dxa"/>
                    <w:right w:w="28" w:type="dxa"/>
                  </w:tcMar>
                  <w:vAlign w:val="center"/>
                </w:tcPr>
                <w:p w14:paraId="50830846">
                  <w:pPr>
                    <w:keepNext w:val="0"/>
                    <w:keepLines w:val="0"/>
                    <w:widowControl/>
                    <w:suppressLineNumbers w:val="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78" w:type="pct"/>
                  <w:noWrap w:val="0"/>
                  <w:tcMar>
                    <w:left w:w="28" w:type="dxa"/>
                    <w:right w:w="28" w:type="dxa"/>
                  </w:tcMar>
                  <w:vAlign w:val="center"/>
                </w:tcPr>
                <w:p w14:paraId="11C7E549">
                  <w:pPr>
                    <w:keepNext w:val="0"/>
                    <w:keepLines w:val="0"/>
                    <w:widowControl/>
                    <w:suppressLineNumbers w:val="0"/>
                    <w:jc w:val="center"/>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c>
                <w:tcPr>
                  <w:tcW w:w="291" w:type="pct"/>
                  <w:noWrap w:val="0"/>
                  <w:tcMar>
                    <w:left w:w="28" w:type="dxa"/>
                    <w:right w:w="28" w:type="dxa"/>
                  </w:tcMar>
                  <w:vAlign w:val="center"/>
                </w:tcPr>
                <w:p w14:paraId="454DE7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p>
              </w:tc>
            </w:tr>
            <w:tr w14:paraId="38C6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5"/>
                  <w:noWrap w:val="0"/>
                  <w:tcMar>
                    <w:left w:w="28" w:type="dxa"/>
                    <w:right w:w="28" w:type="dxa"/>
                  </w:tcMar>
                  <w:vAlign w:val="center"/>
                </w:tcPr>
                <w:p w14:paraId="5AE6CC8B">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无组织排放</w:t>
                  </w:r>
                </w:p>
              </w:tc>
            </w:tr>
            <w:tr w14:paraId="3708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gridSpan w:val="2"/>
                  <w:vMerge w:val="restart"/>
                  <w:noWrap w:val="0"/>
                  <w:tcMar>
                    <w:left w:w="28" w:type="dxa"/>
                    <w:right w:w="28" w:type="dxa"/>
                  </w:tcMar>
                  <w:vAlign w:val="center"/>
                </w:tcPr>
                <w:p w14:paraId="4D6C395F">
                  <w:pPr>
                    <w:widowControl/>
                    <w:jc w:val="center"/>
                    <w:textAlignment w:val="center"/>
                    <w:rPr>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1</w:t>
                  </w:r>
                  <w:r>
                    <w:rPr>
                      <w:color w:val="000000" w:themeColor="text1"/>
                      <w:kern w:val="0"/>
                      <w:sz w:val="21"/>
                      <w:szCs w:val="21"/>
                      <w:highlight w:val="none"/>
                      <w:lang w:bidi="ar"/>
                      <w14:textFill>
                        <w14:solidFill>
                          <w14:schemeClr w14:val="tx1"/>
                        </w14:solidFill>
                      </w14:textFill>
                    </w:rPr>
                    <w:t>#水性喷涂生产线</w:t>
                  </w:r>
                </w:p>
              </w:tc>
              <w:tc>
                <w:tcPr>
                  <w:tcW w:w="479" w:type="pct"/>
                  <w:noWrap w:val="0"/>
                  <w:tcMar>
                    <w:left w:w="28" w:type="dxa"/>
                    <w:right w:w="28" w:type="dxa"/>
                  </w:tcMar>
                  <w:vAlign w:val="center"/>
                </w:tcPr>
                <w:p w14:paraId="01FBBC05">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非甲烷总烃</w:t>
                  </w:r>
                </w:p>
              </w:tc>
              <w:tc>
                <w:tcPr>
                  <w:tcW w:w="304" w:type="pct"/>
                  <w:noWrap w:val="0"/>
                  <w:tcMar>
                    <w:left w:w="28" w:type="dxa"/>
                    <w:right w:w="28" w:type="dxa"/>
                  </w:tcMar>
                  <w:vAlign w:val="center"/>
                </w:tcPr>
                <w:p w14:paraId="75E83C5C">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312" w:type="pct"/>
                  <w:noWrap w:val="0"/>
                  <w:tcMar>
                    <w:left w:w="28" w:type="dxa"/>
                    <w:right w:w="28" w:type="dxa"/>
                  </w:tcMar>
                  <w:vAlign w:val="center"/>
                </w:tcPr>
                <w:p w14:paraId="24ADFDFE">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304" w:type="pct"/>
                  <w:noWrap w:val="0"/>
                  <w:tcMar>
                    <w:left w:w="28" w:type="dxa"/>
                    <w:right w:w="28" w:type="dxa"/>
                  </w:tcMar>
                  <w:vAlign w:val="center"/>
                </w:tcPr>
                <w:p w14:paraId="190F584E">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99" w:type="pct"/>
                  <w:noWrap w:val="0"/>
                  <w:tcMar>
                    <w:left w:w="28" w:type="dxa"/>
                    <w:right w:w="28" w:type="dxa"/>
                  </w:tcMar>
                  <w:vAlign w:val="center"/>
                </w:tcPr>
                <w:p w14:paraId="22E8FE3E">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82" w:type="pct"/>
                  <w:noWrap w:val="0"/>
                  <w:tcMar>
                    <w:left w:w="28" w:type="dxa"/>
                    <w:right w:w="28" w:type="dxa"/>
                  </w:tcMar>
                  <w:vAlign w:val="center"/>
                </w:tcPr>
                <w:p w14:paraId="7C0F2646">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740" w:type="pct"/>
                  <w:noWrap w:val="0"/>
                  <w:tcMar>
                    <w:left w:w="28" w:type="dxa"/>
                    <w:right w:w="28" w:type="dxa"/>
                  </w:tcMar>
                  <w:vAlign w:val="center"/>
                </w:tcPr>
                <w:p w14:paraId="61991263">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强制通风</w:t>
                  </w:r>
                </w:p>
              </w:tc>
              <w:tc>
                <w:tcPr>
                  <w:tcW w:w="252" w:type="pct"/>
                  <w:noWrap w:val="0"/>
                  <w:tcMar>
                    <w:left w:w="28" w:type="dxa"/>
                    <w:right w:w="28" w:type="dxa"/>
                  </w:tcMar>
                  <w:vAlign w:val="center"/>
                </w:tcPr>
                <w:p w14:paraId="19AB5D16">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80" w:type="pct"/>
                  <w:noWrap w:val="0"/>
                  <w:tcMar>
                    <w:left w:w="28" w:type="dxa"/>
                    <w:right w:w="28" w:type="dxa"/>
                  </w:tcMar>
                  <w:vAlign w:val="center"/>
                </w:tcPr>
                <w:p w14:paraId="414C141D">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198" w:type="pct"/>
                  <w:noWrap w:val="0"/>
                  <w:tcMar>
                    <w:left w:w="28" w:type="dxa"/>
                    <w:right w:w="28" w:type="dxa"/>
                  </w:tcMar>
                  <w:vAlign w:val="center"/>
                </w:tcPr>
                <w:p w14:paraId="2DF1B80A">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1140</w:t>
                  </w:r>
                </w:p>
              </w:tc>
              <w:tc>
                <w:tcPr>
                  <w:tcW w:w="309" w:type="pct"/>
                  <w:noWrap w:val="0"/>
                  <w:tcMar>
                    <w:left w:w="28" w:type="dxa"/>
                    <w:right w:w="28" w:type="dxa"/>
                  </w:tcMar>
                  <w:vAlign w:val="center"/>
                </w:tcPr>
                <w:p w14:paraId="0642C412">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698" w:type="dxa"/>
                  <w:noWrap w:val="0"/>
                  <w:tcMar>
                    <w:left w:w="28" w:type="dxa"/>
                    <w:right w:w="28" w:type="dxa"/>
                  </w:tcMar>
                  <w:vAlign w:val="center"/>
                </w:tcPr>
                <w:p w14:paraId="22F56CFC">
                  <w:pPr>
                    <w:keepNext w:val="0"/>
                    <w:keepLines w:val="0"/>
                    <w:widowControl/>
                    <w:suppressLineNumbers w:val="0"/>
                    <w:jc w:val="center"/>
                    <w:textAlignment w:val="center"/>
                    <w:rPr>
                      <w:color w:val="0000FF"/>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c>
                <w:tcPr>
                  <w:tcW w:w="729" w:type="dxa"/>
                  <w:noWrap w:val="0"/>
                  <w:tcMar>
                    <w:left w:w="28" w:type="dxa"/>
                    <w:right w:w="28" w:type="dxa"/>
                  </w:tcMar>
                  <w:vAlign w:val="center"/>
                </w:tcPr>
                <w:p w14:paraId="040800F0">
                  <w:pPr>
                    <w:keepNext w:val="0"/>
                    <w:keepLines w:val="0"/>
                    <w:widowControl/>
                    <w:suppressLineNumbers w:val="0"/>
                    <w:jc w:val="center"/>
                    <w:textAlignment w:val="center"/>
                    <w:rPr>
                      <w:color w:val="0000FF"/>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0.123 </w:t>
                  </w:r>
                </w:p>
              </w:tc>
            </w:tr>
            <w:tr w14:paraId="76692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gridSpan w:val="2"/>
                  <w:vMerge w:val="continue"/>
                  <w:noWrap w:val="0"/>
                  <w:tcMar>
                    <w:left w:w="28" w:type="dxa"/>
                    <w:right w:w="28" w:type="dxa"/>
                  </w:tcMar>
                  <w:vAlign w:val="center"/>
                </w:tcPr>
                <w:p w14:paraId="11C97D4A">
                  <w:pPr>
                    <w:jc w:val="center"/>
                    <w:rPr>
                      <w:color w:val="000000" w:themeColor="text1"/>
                      <w:sz w:val="21"/>
                      <w:szCs w:val="21"/>
                      <w:highlight w:val="none"/>
                      <w14:textFill>
                        <w14:solidFill>
                          <w14:schemeClr w14:val="tx1"/>
                        </w14:solidFill>
                      </w14:textFill>
                    </w:rPr>
                  </w:pPr>
                </w:p>
              </w:tc>
              <w:tc>
                <w:tcPr>
                  <w:tcW w:w="479" w:type="pct"/>
                  <w:noWrap w:val="0"/>
                  <w:tcMar>
                    <w:left w:w="28" w:type="dxa"/>
                    <w:right w:w="28" w:type="dxa"/>
                  </w:tcMar>
                  <w:vAlign w:val="center"/>
                </w:tcPr>
                <w:p w14:paraId="1CAA9DF6">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颗粒物</w:t>
                  </w:r>
                </w:p>
              </w:tc>
              <w:tc>
                <w:tcPr>
                  <w:tcW w:w="304" w:type="pct"/>
                  <w:noWrap w:val="0"/>
                  <w:tcMar>
                    <w:left w:w="28" w:type="dxa"/>
                    <w:right w:w="28" w:type="dxa"/>
                  </w:tcMar>
                  <w:vAlign w:val="center"/>
                </w:tcPr>
                <w:p w14:paraId="6A2D90EB">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312" w:type="pct"/>
                  <w:noWrap w:val="0"/>
                  <w:tcMar>
                    <w:left w:w="28" w:type="dxa"/>
                    <w:right w:w="28" w:type="dxa"/>
                  </w:tcMar>
                  <w:vAlign w:val="center"/>
                </w:tcPr>
                <w:p w14:paraId="7A831A29">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304" w:type="pct"/>
                  <w:noWrap w:val="0"/>
                  <w:tcMar>
                    <w:left w:w="28" w:type="dxa"/>
                    <w:right w:w="28" w:type="dxa"/>
                  </w:tcMar>
                  <w:vAlign w:val="center"/>
                </w:tcPr>
                <w:p w14:paraId="45A7BFE8">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99" w:type="pct"/>
                  <w:noWrap w:val="0"/>
                  <w:tcMar>
                    <w:left w:w="28" w:type="dxa"/>
                    <w:right w:w="28" w:type="dxa"/>
                  </w:tcMar>
                  <w:vAlign w:val="center"/>
                </w:tcPr>
                <w:p w14:paraId="76E36F14">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82" w:type="pct"/>
                  <w:noWrap w:val="0"/>
                  <w:tcMar>
                    <w:left w:w="28" w:type="dxa"/>
                    <w:right w:w="28" w:type="dxa"/>
                  </w:tcMar>
                  <w:vAlign w:val="center"/>
                </w:tcPr>
                <w:p w14:paraId="3EA2FB80">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740" w:type="pct"/>
                  <w:noWrap w:val="0"/>
                  <w:tcMar>
                    <w:left w:w="28" w:type="dxa"/>
                    <w:right w:w="28" w:type="dxa"/>
                  </w:tcMar>
                  <w:vAlign w:val="center"/>
                </w:tcPr>
                <w:p w14:paraId="23FDCD70">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强制通风</w:t>
                  </w:r>
                </w:p>
              </w:tc>
              <w:tc>
                <w:tcPr>
                  <w:tcW w:w="252" w:type="pct"/>
                  <w:noWrap w:val="0"/>
                  <w:tcMar>
                    <w:left w:w="28" w:type="dxa"/>
                    <w:right w:w="28" w:type="dxa"/>
                  </w:tcMar>
                  <w:vAlign w:val="center"/>
                </w:tcPr>
                <w:p w14:paraId="55A6A749">
                  <w:pPr>
                    <w:jc w:val="center"/>
                    <w:rPr>
                      <w:color w:val="000000" w:themeColor="text1"/>
                      <w:sz w:val="21"/>
                      <w:szCs w:val="21"/>
                      <w:highlight w:val="none"/>
                      <w14:textFill>
                        <w14:solidFill>
                          <w14:schemeClr w14:val="tx1"/>
                        </w14:solidFill>
                      </w14:textFill>
                    </w:rPr>
                  </w:pPr>
                </w:p>
              </w:tc>
              <w:tc>
                <w:tcPr>
                  <w:tcW w:w="280" w:type="pct"/>
                  <w:noWrap w:val="0"/>
                  <w:tcMar>
                    <w:left w:w="28" w:type="dxa"/>
                    <w:right w:w="28" w:type="dxa"/>
                  </w:tcMar>
                  <w:vAlign w:val="center"/>
                </w:tcPr>
                <w:p w14:paraId="6A3B92E8">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198" w:type="pct"/>
                  <w:noWrap w:val="0"/>
                  <w:tcMar>
                    <w:left w:w="28" w:type="dxa"/>
                    <w:right w:w="28" w:type="dxa"/>
                  </w:tcMar>
                  <w:vAlign w:val="center"/>
                </w:tcPr>
                <w:p w14:paraId="75A6AB83">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309" w:type="pct"/>
                  <w:noWrap w:val="0"/>
                  <w:tcMar>
                    <w:left w:w="28" w:type="dxa"/>
                    <w:right w:w="28" w:type="dxa"/>
                  </w:tcMar>
                  <w:vAlign w:val="center"/>
                </w:tcPr>
                <w:p w14:paraId="608158AB">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698" w:type="dxa"/>
                  <w:noWrap w:val="0"/>
                  <w:tcMar>
                    <w:left w:w="28" w:type="dxa"/>
                    <w:right w:w="28" w:type="dxa"/>
                  </w:tcMar>
                  <w:vAlign w:val="center"/>
                </w:tcPr>
                <w:p w14:paraId="2491CE80">
                  <w:pPr>
                    <w:keepNext w:val="0"/>
                    <w:keepLines w:val="0"/>
                    <w:widowControl/>
                    <w:suppressLineNumbers w:val="0"/>
                    <w:jc w:val="center"/>
                    <w:textAlignment w:val="center"/>
                    <w:rPr>
                      <w:color w:val="0000FF"/>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0.14 </w:t>
                  </w:r>
                </w:p>
              </w:tc>
              <w:tc>
                <w:tcPr>
                  <w:tcW w:w="729" w:type="dxa"/>
                  <w:noWrap w:val="0"/>
                  <w:tcMar>
                    <w:left w:w="28" w:type="dxa"/>
                    <w:right w:w="28" w:type="dxa"/>
                  </w:tcMar>
                  <w:vAlign w:val="center"/>
                </w:tcPr>
                <w:p w14:paraId="60C5D124">
                  <w:pPr>
                    <w:keepNext w:val="0"/>
                    <w:keepLines w:val="0"/>
                    <w:widowControl/>
                    <w:suppressLineNumbers w:val="0"/>
                    <w:jc w:val="center"/>
                    <w:textAlignment w:val="center"/>
                    <w:rPr>
                      <w:color w:val="0000FF"/>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0.551 </w:t>
                  </w:r>
                </w:p>
              </w:tc>
            </w:tr>
            <w:tr w14:paraId="5F7B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gridSpan w:val="2"/>
                  <w:vMerge w:val="restart"/>
                  <w:noWrap w:val="0"/>
                  <w:tcMar>
                    <w:left w:w="28" w:type="dxa"/>
                    <w:right w:w="28" w:type="dxa"/>
                  </w:tcMar>
                  <w:vAlign w:val="center"/>
                </w:tcPr>
                <w:p w14:paraId="791B841E">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2#水性喷涂生产线</w:t>
                  </w:r>
                </w:p>
              </w:tc>
              <w:tc>
                <w:tcPr>
                  <w:tcW w:w="479" w:type="pct"/>
                  <w:noWrap w:val="0"/>
                  <w:tcMar>
                    <w:left w:w="28" w:type="dxa"/>
                    <w:right w:w="28" w:type="dxa"/>
                  </w:tcMar>
                  <w:vAlign w:val="center"/>
                </w:tcPr>
                <w:p w14:paraId="3B017B7E">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非甲烷总烃</w:t>
                  </w:r>
                </w:p>
              </w:tc>
              <w:tc>
                <w:tcPr>
                  <w:tcW w:w="304" w:type="pct"/>
                  <w:noWrap w:val="0"/>
                  <w:tcMar>
                    <w:left w:w="28" w:type="dxa"/>
                    <w:right w:w="28" w:type="dxa"/>
                  </w:tcMar>
                  <w:vAlign w:val="center"/>
                </w:tcPr>
                <w:p w14:paraId="76DAC1B2">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312" w:type="pct"/>
                  <w:noWrap w:val="0"/>
                  <w:tcMar>
                    <w:left w:w="28" w:type="dxa"/>
                    <w:right w:w="28" w:type="dxa"/>
                  </w:tcMar>
                  <w:vAlign w:val="center"/>
                </w:tcPr>
                <w:p w14:paraId="26E64B71">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304" w:type="pct"/>
                  <w:noWrap w:val="0"/>
                  <w:tcMar>
                    <w:left w:w="28" w:type="dxa"/>
                    <w:right w:w="28" w:type="dxa"/>
                  </w:tcMar>
                  <w:vAlign w:val="center"/>
                </w:tcPr>
                <w:p w14:paraId="649EAD8B">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99" w:type="pct"/>
                  <w:noWrap w:val="0"/>
                  <w:tcMar>
                    <w:left w:w="28" w:type="dxa"/>
                    <w:right w:w="28" w:type="dxa"/>
                  </w:tcMar>
                  <w:vAlign w:val="center"/>
                </w:tcPr>
                <w:p w14:paraId="0D3FE93C">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82" w:type="pct"/>
                  <w:noWrap w:val="0"/>
                  <w:tcMar>
                    <w:left w:w="28" w:type="dxa"/>
                    <w:right w:w="28" w:type="dxa"/>
                  </w:tcMar>
                  <w:vAlign w:val="center"/>
                </w:tcPr>
                <w:p w14:paraId="1459248D">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740" w:type="pct"/>
                  <w:noWrap w:val="0"/>
                  <w:tcMar>
                    <w:left w:w="28" w:type="dxa"/>
                    <w:right w:w="28" w:type="dxa"/>
                  </w:tcMar>
                  <w:vAlign w:val="center"/>
                </w:tcPr>
                <w:p w14:paraId="3334DD70">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强制通风</w:t>
                  </w:r>
                </w:p>
              </w:tc>
              <w:tc>
                <w:tcPr>
                  <w:tcW w:w="252" w:type="pct"/>
                  <w:noWrap w:val="0"/>
                  <w:tcMar>
                    <w:left w:w="28" w:type="dxa"/>
                    <w:right w:w="28" w:type="dxa"/>
                  </w:tcMar>
                  <w:vAlign w:val="center"/>
                </w:tcPr>
                <w:p w14:paraId="0F5C3011">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80" w:type="pct"/>
                  <w:noWrap w:val="0"/>
                  <w:tcMar>
                    <w:left w:w="28" w:type="dxa"/>
                    <w:right w:w="28" w:type="dxa"/>
                  </w:tcMar>
                  <w:vAlign w:val="center"/>
                </w:tcPr>
                <w:p w14:paraId="1ED7D0D4">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496" w:type="dxa"/>
                  <w:noWrap w:val="0"/>
                  <w:tcMar>
                    <w:left w:w="28" w:type="dxa"/>
                    <w:right w:w="28" w:type="dxa"/>
                  </w:tcMar>
                  <w:vAlign w:val="center"/>
                </w:tcPr>
                <w:p w14:paraId="3C972264">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1140</w:t>
                  </w:r>
                </w:p>
              </w:tc>
              <w:tc>
                <w:tcPr>
                  <w:tcW w:w="309" w:type="pct"/>
                  <w:noWrap w:val="0"/>
                  <w:tcMar>
                    <w:left w:w="28" w:type="dxa"/>
                    <w:right w:w="28" w:type="dxa"/>
                  </w:tcMar>
                  <w:vAlign w:val="center"/>
                </w:tcPr>
                <w:p w14:paraId="1689A43D">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698" w:type="dxa"/>
                  <w:noWrap w:val="0"/>
                  <w:tcMar>
                    <w:left w:w="28" w:type="dxa"/>
                    <w:right w:w="28" w:type="dxa"/>
                  </w:tcMar>
                  <w:vAlign w:val="center"/>
                </w:tcPr>
                <w:p w14:paraId="22D4E27D">
                  <w:pPr>
                    <w:keepNext w:val="0"/>
                    <w:keepLines w:val="0"/>
                    <w:widowControl/>
                    <w:suppressLineNumbers w:val="0"/>
                    <w:jc w:val="center"/>
                    <w:textAlignment w:val="center"/>
                    <w:rPr>
                      <w:color w:val="0000FF"/>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c>
                <w:tcPr>
                  <w:tcW w:w="729" w:type="dxa"/>
                  <w:noWrap w:val="0"/>
                  <w:tcMar>
                    <w:left w:w="28" w:type="dxa"/>
                    <w:right w:w="28" w:type="dxa"/>
                  </w:tcMar>
                  <w:vAlign w:val="center"/>
                </w:tcPr>
                <w:p w14:paraId="67EDCC9B">
                  <w:pPr>
                    <w:keepNext w:val="0"/>
                    <w:keepLines w:val="0"/>
                    <w:widowControl/>
                    <w:suppressLineNumbers w:val="0"/>
                    <w:jc w:val="center"/>
                    <w:textAlignment w:val="center"/>
                    <w:rPr>
                      <w:color w:val="0000FF"/>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0.123 </w:t>
                  </w:r>
                </w:p>
              </w:tc>
            </w:tr>
            <w:tr w14:paraId="56A1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gridSpan w:val="2"/>
                  <w:vMerge w:val="continue"/>
                  <w:noWrap w:val="0"/>
                  <w:tcMar>
                    <w:left w:w="28" w:type="dxa"/>
                    <w:right w:w="28" w:type="dxa"/>
                  </w:tcMar>
                  <w:vAlign w:val="center"/>
                </w:tcPr>
                <w:p w14:paraId="6D531EA3">
                  <w:pPr>
                    <w:jc w:val="center"/>
                    <w:rPr>
                      <w:color w:val="000000" w:themeColor="text1"/>
                      <w:sz w:val="21"/>
                      <w:szCs w:val="21"/>
                      <w:highlight w:val="none"/>
                      <w14:textFill>
                        <w14:solidFill>
                          <w14:schemeClr w14:val="tx1"/>
                        </w14:solidFill>
                      </w14:textFill>
                    </w:rPr>
                  </w:pPr>
                </w:p>
              </w:tc>
              <w:tc>
                <w:tcPr>
                  <w:tcW w:w="479" w:type="pct"/>
                  <w:noWrap w:val="0"/>
                  <w:tcMar>
                    <w:left w:w="28" w:type="dxa"/>
                    <w:right w:w="28" w:type="dxa"/>
                  </w:tcMar>
                  <w:vAlign w:val="center"/>
                </w:tcPr>
                <w:p w14:paraId="13FC5063">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颗粒物</w:t>
                  </w:r>
                </w:p>
              </w:tc>
              <w:tc>
                <w:tcPr>
                  <w:tcW w:w="304" w:type="pct"/>
                  <w:noWrap w:val="0"/>
                  <w:tcMar>
                    <w:left w:w="28" w:type="dxa"/>
                    <w:right w:w="28" w:type="dxa"/>
                  </w:tcMar>
                  <w:vAlign w:val="center"/>
                </w:tcPr>
                <w:p w14:paraId="493C1869">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312" w:type="pct"/>
                  <w:noWrap w:val="0"/>
                  <w:tcMar>
                    <w:left w:w="28" w:type="dxa"/>
                    <w:right w:w="28" w:type="dxa"/>
                  </w:tcMar>
                  <w:vAlign w:val="center"/>
                </w:tcPr>
                <w:p w14:paraId="7CC2603E">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304" w:type="pct"/>
                  <w:noWrap w:val="0"/>
                  <w:tcMar>
                    <w:left w:w="28" w:type="dxa"/>
                    <w:right w:w="28" w:type="dxa"/>
                  </w:tcMar>
                  <w:vAlign w:val="center"/>
                </w:tcPr>
                <w:p w14:paraId="5328BFC6">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99" w:type="pct"/>
                  <w:noWrap w:val="0"/>
                  <w:tcMar>
                    <w:left w:w="28" w:type="dxa"/>
                    <w:right w:w="28" w:type="dxa"/>
                  </w:tcMar>
                  <w:vAlign w:val="center"/>
                </w:tcPr>
                <w:p w14:paraId="59FA6D72">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82" w:type="pct"/>
                  <w:noWrap w:val="0"/>
                  <w:tcMar>
                    <w:left w:w="28" w:type="dxa"/>
                    <w:right w:w="28" w:type="dxa"/>
                  </w:tcMar>
                  <w:vAlign w:val="center"/>
                </w:tcPr>
                <w:p w14:paraId="7B07C883">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740" w:type="pct"/>
                  <w:noWrap w:val="0"/>
                  <w:tcMar>
                    <w:left w:w="28" w:type="dxa"/>
                    <w:right w:w="28" w:type="dxa"/>
                  </w:tcMar>
                  <w:vAlign w:val="center"/>
                </w:tcPr>
                <w:p w14:paraId="0F8F3305">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强制通风</w:t>
                  </w:r>
                </w:p>
              </w:tc>
              <w:tc>
                <w:tcPr>
                  <w:tcW w:w="252" w:type="pct"/>
                  <w:noWrap w:val="0"/>
                  <w:tcMar>
                    <w:left w:w="28" w:type="dxa"/>
                    <w:right w:w="28" w:type="dxa"/>
                  </w:tcMar>
                  <w:vAlign w:val="center"/>
                </w:tcPr>
                <w:p w14:paraId="250B4C9B">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80" w:type="pct"/>
                  <w:noWrap w:val="0"/>
                  <w:tcMar>
                    <w:left w:w="28" w:type="dxa"/>
                    <w:right w:w="28" w:type="dxa"/>
                  </w:tcMar>
                  <w:vAlign w:val="center"/>
                </w:tcPr>
                <w:p w14:paraId="0CE7225E">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496" w:type="dxa"/>
                  <w:noWrap w:val="0"/>
                  <w:tcMar>
                    <w:left w:w="28" w:type="dxa"/>
                    <w:right w:w="28" w:type="dxa"/>
                  </w:tcMar>
                  <w:vAlign w:val="center"/>
                </w:tcPr>
                <w:p w14:paraId="2B6BC2A8">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400</w:t>
                  </w:r>
                </w:p>
              </w:tc>
              <w:tc>
                <w:tcPr>
                  <w:tcW w:w="309" w:type="pct"/>
                  <w:noWrap w:val="0"/>
                  <w:tcMar>
                    <w:left w:w="28" w:type="dxa"/>
                    <w:right w:w="28" w:type="dxa"/>
                  </w:tcMar>
                  <w:vAlign w:val="center"/>
                </w:tcPr>
                <w:p w14:paraId="27D7ECDD">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698" w:type="dxa"/>
                  <w:noWrap w:val="0"/>
                  <w:tcMar>
                    <w:left w:w="28" w:type="dxa"/>
                    <w:right w:w="28" w:type="dxa"/>
                  </w:tcMar>
                  <w:vAlign w:val="center"/>
                </w:tcPr>
                <w:p w14:paraId="26E953E3">
                  <w:pPr>
                    <w:keepNext w:val="0"/>
                    <w:keepLines w:val="0"/>
                    <w:widowControl/>
                    <w:suppressLineNumbers w:val="0"/>
                    <w:jc w:val="center"/>
                    <w:textAlignment w:val="center"/>
                    <w:rPr>
                      <w:rFonts w:hint="default"/>
                      <w:color w:val="0000FF"/>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 xml:space="preserve">0.14 </w:t>
                  </w:r>
                </w:p>
              </w:tc>
              <w:tc>
                <w:tcPr>
                  <w:tcW w:w="729" w:type="dxa"/>
                  <w:noWrap w:val="0"/>
                  <w:tcMar>
                    <w:left w:w="28" w:type="dxa"/>
                    <w:right w:w="28" w:type="dxa"/>
                  </w:tcMar>
                  <w:vAlign w:val="center"/>
                </w:tcPr>
                <w:p w14:paraId="7B4E509E">
                  <w:pPr>
                    <w:keepNext w:val="0"/>
                    <w:keepLines w:val="0"/>
                    <w:widowControl/>
                    <w:suppressLineNumbers w:val="0"/>
                    <w:jc w:val="center"/>
                    <w:textAlignment w:val="center"/>
                    <w:rPr>
                      <w:rFonts w:hint="default"/>
                      <w:color w:val="0000FF"/>
                      <w:sz w:val="21"/>
                      <w:szCs w:val="21"/>
                      <w:highlight w:val="none"/>
                      <w:lang w:val="en-US"/>
                    </w:rPr>
                  </w:pPr>
                  <w:r>
                    <w:rPr>
                      <w:rFonts w:hint="default" w:ascii="Times New Roman" w:hAnsi="Times New Roman" w:eastAsia="宋体" w:cs="Times New Roman"/>
                      <w:i w:val="0"/>
                      <w:iCs w:val="0"/>
                      <w:color w:val="000000"/>
                      <w:kern w:val="0"/>
                      <w:sz w:val="21"/>
                      <w:szCs w:val="21"/>
                      <w:u w:val="none"/>
                      <w:lang w:val="en-US" w:eastAsia="zh-CN" w:bidi="ar"/>
                    </w:rPr>
                    <w:t>0.551</w:t>
                  </w:r>
                </w:p>
              </w:tc>
            </w:tr>
            <w:tr w14:paraId="4C2F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gridSpan w:val="2"/>
                  <w:vMerge w:val="restart"/>
                  <w:noWrap w:val="0"/>
                  <w:tcMar>
                    <w:left w:w="28" w:type="dxa"/>
                    <w:right w:w="28" w:type="dxa"/>
                  </w:tcMar>
                  <w:vAlign w:val="center"/>
                </w:tcPr>
                <w:p w14:paraId="4413B7F5">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全厂无组织统计</w:t>
                  </w:r>
                </w:p>
              </w:tc>
              <w:tc>
                <w:tcPr>
                  <w:tcW w:w="479" w:type="pct"/>
                  <w:noWrap w:val="0"/>
                  <w:tcMar>
                    <w:left w:w="28" w:type="dxa"/>
                    <w:right w:w="28" w:type="dxa"/>
                  </w:tcMar>
                  <w:vAlign w:val="center"/>
                </w:tcPr>
                <w:p w14:paraId="33C40FBF">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颗粒物</w:t>
                  </w:r>
                </w:p>
              </w:tc>
              <w:tc>
                <w:tcPr>
                  <w:tcW w:w="304" w:type="pct"/>
                  <w:noWrap/>
                  <w:tcMar>
                    <w:left w:w="28" w:type="dxa"/>
                    <w:right w:w="28" w:type="dxa"/>
                  </w:tcMar>
                  <w:vAlign w:val="center"/>
                </w:tcPr>
                <w:p w14:paraId="7BE44A71">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312" w:type="pct"/>
                  <w:noWrap/>
                  <w:tcMar>
                    <w:left w:w="28" w:type="dxa"/>
                    <w:right w:w="28" w:type="dxa"/>
                  </w:tcMar>
                  <w:vAlign w:val="center"/>
                </w:tcPr>
                <w:p w14:paraId="4A9A2644">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304" w:type="pct"/>
                  <w:noWrap/>
                  <w:tcMar>
                    <w:left w:w="28" w:type="dxa"/>
                    <w:right w:w="28" w:type="dxa"/>
                  </w:tcMar>
                  <w:vAlign w:val="center"/>
                </w:tcPr>
                <w:p w14:paraId="1B33D915">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99" w:type="pct"/>
                  <w:noWrap/>
                  <w:tcMar>
                    <w:left w:w="28" w:type="dxa"/>
                    <w:right w:w="28" w:type="dxa"/>
                  </w:tcMar>
                  <w:vAlign w:val="center"/>
                </w:tcPr>
                <w:p w14:paraId="7E094A95">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82" w:type="pct"/>
                  <w:noWrap/>
                  <w:tcMar>
                    <w:left w:w="28" w:type="dxa"/>
                    <w:right w:w="28" w:type="dxa"/>
                  </w:tcMar>
                  <w:vAlign w:val="center"/>
                </w:tcPr>
                <w:p w14:paraId="174F4AFA">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740" w:type="pct"/>
                  <w:noWrap/>
                  <w:tcMar>
                    <w:left w:w="28" w:type="dxa"/>
                    <w:right w:w="28" w:type="dxa"/>
                  </w:tcMar>
                  <w:vAlign w:val="center"/>
                </w:tcPr>
                <w:p w14:paraId="4B156011">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52" w:type="pct"/>
                  <w:noWrap/>
                  <w:tcMar>
                    <w:left w:w="28" w:type="dxa"/>
                    <w:right w:w="28" w:type="dxa"/>
                  </w:tcMar>
                  <w:vAlign w:val="center"/>
                </w:tcPr>
                <w:p w14:paraId="7BBE008F">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80" w:type="pct"/>
                  <w:noWrap/>
                  <w:tcMar>
                    <w:left w:w="28" w:type="dxa"/>
                    <w:right w:w="28" w:type="dxa"/>
                  </w:tcMar>
                  <w:vAlign w:val="center"/>
                </w:tcPr>
                <w:p w14:paraId="0DAAE81E">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198" w:type="pct"/>
                  <w:noWrap/>
                  <w:tcMar>
                    <w:left w:w="28" w:type="dxa"/>
                    <w:right w:w="28" w:type="dxa"/>
                  </w:tcMar>
                  <w:vAlign w:val="center"/>
                </w:tcPr>
                <w:p w14:paraId="6BD47ECF">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9" w:type="pct"/>
                  <w:noWrap/>
                  <w:tcMar>
                    <w:left w:w="28" w:type="dxa"/>
                    <w:right w:w="28" w:type="dxa"/>
                  </w:tcMar>
                  <w:vAlign w:val="center"/>
                </w:tcPr>
                <w:p w14:paraId="0F3C13D7">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698" w:type="dxa"/>
                  <w:noWrap/>
                  <w:tcMar>
                    <w:left w:w="28" w:type="dxa"/>
                    <w:right w:w="28" w:type="dxa"/>
                  </w:tcMar>
                  <w:vAlign w:val="center"/>
                </w:tcPr>
                <w:p w14:paraId="65D90F94">
                  <w:pPr>
                    <w:keepNext w:val="0"/>
                    <w:keepLines w:val="0"/>
                    <w:widowControl/>
                    <w:suppressLineNumbers w:val="0"/>
                    <w:jc w:val="center"/>
                    <w:textAlignment w:val="center"/>
                    <w:rPr>
                      <w:rFonts w:hint="eastAsia" w:eastAsia="宋体"/>
                      <w:color w:val="0000FF"/>
                      <w:sz w:val="21"/>
                      <w:szCs w:val="21"/>
                      <w:highlight w:val="none"/>
                      <w:lang w:val="en-US" w:eastAsia="zh-CN"/>
                    </w:rPr>
                  </w:pPr>
                  <w:r>
                    <w:rPr>
                      <w:rFonts w:hint="eastAsia" w:ascii="宋体" w:hAnsi="宋体" w:eastAsia="宋体" w:cs="宋体"/>
                      <w:i w:val="0"/>
                      <w:iCs w:val="0"/>
                      <w:color w:val="000000"/>
                      <w:kern w:val="0"/>
                      <w:sz w:val="21"/>
                      <w:szCs w:val="21"/>
                      <w:u w:val="none"/>
                      <w:lang w:val="en-US" w:eastAsia="zh-CN" w:bidi="ar"/>
                    </w:rPr>
                    <w:t>/</w:t>
                  </w:r>
                </w:p>
              </w:tc>
              <w:tc>
                <w:tcPr>
                  <w:tcW w:w="729" w:type="dxa"/>
                  <w:noWrap/>
                  <w:tcMar>
                    <w:left w:w="28" w:type="dxa"/>
                    <w:right w:w="28" w:type="dxa"/>
                  </w:tcMar>
                  <w:vAlign w:val="center"/>
                </w:tcPr>
                <w:p w14:paraId="58759F3F">
                  <w:pPr>
                    <w:keepNext w:val="0"/>
                    <w:keepLines w:val="0"/>
                    <w:widowControl/>
                    <w:suppressLineNumbers w:val="0"/>
                    <w:jc w:val="center"/>
                    <w:textAlignment w:val="center"/>
                    <w:rPr>
                      <w:color w:val="0000FF"/>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1.102 </w:t>
                  </w:r>
                </w:p>
              </w:tc>
            </w:tr>
            <w:tr w14:paraId="79BC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6" w:type="pct"/>
                  <w:gridSpan w:val="2"/>
                  <w:vMerge w:val="continue"/>
                  <w:noWrap w:val="0"/>
                  <w:tcMar>
                    <w:left w:w="28" w:type="dxa"/>
                    <w:right w:w="28" w:type="dxa"/>
                  </w:tcMar>
                  <w:vAlign w:val="center"/>
                </w:tcPr>
                <w:p w14:paraId="69A596F4">
                  <w:pPr>
                    <w:jc w:val="center"/>
                    <w:rPr>
                      <w:color w:val="000000" w:themeColor="text1"/>
                      <w:sz w:val="21"/>
                      <w:szCs w:val="21"/>
                      <w:highlight w:val="none"/>
                      <w14:textFill>
                        <w14:solidFill>
                          <w14:schemeClr w14:val="tx1"/>
                        </w14:solidFill>
                      </w14:textFill>
                    </w:rPr>
                  </w:pPr>
                </w:p>
              </w:tc>
              <w:tc>
                <w:tcPr>
                  <w:tcW w:w="479" w:type="pct"/>
                  <w:noWrap w:val="0"/>
                  <w:tcMar>
                    <w:left w:w="28" w:type="dxa"/>
                    <w:right w:w="28" w:type="dxa"/>
                  </w:tcMar>
                  <w:vAlign w:val="center"/>
                </w:tcPr>
                <w:p w14:paraId="0973327F">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非甲烷总烃</w:t>
                  </w:r>
                </w:p>
              </w:tc>
              <w:tc>
                <w:tcPr>
                  <w:tcW w:w="304" w:type="pct"/>
                  <w:noWrap/>
                  <w:tcMar>
                    <w:left w:w="28" w:type="dxa"/>
                    <w:right w:w="28" w:type="dxa"/>
                  </w:tcMar>
                  <w:vAlign w:val="center"/>
                </w:tcPr>
                <w:p w14:paraId="1C17142D">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312" w:type="pct"/>
                  <w:noWrap/>
                  <w:tcMar>
                    <w:left w:w="28" w:type="dxa"/>
                    <w:right w:w="28" w:type="dxa"/>
                  </w:tcMar>
                  <w:vAlign w:val="center"/>
                </w:tcPr>
                <w:p w14:paraId="2D52BC99">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304" w:type="pct"/>
                  <w:noWrap/>
                  <w:tcMar>
                    <w:left w:w="28" w:type="dxa"/>
                    <w:right w:w="28" w:type="dxa"/>
                  </w:tcMar>
                  <w:vAlign w:val="center"/>
                </w:tcPr>
                <w:p w14:paraId="7A7B4FBA">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99" w:type="pct"/>
                  <w:noWrap/>
                  <w:tcMar>
                    <w:left w:w="28" w:type="dxa"/>
                    <w:right w:w="28" w:type="dxa"/>
                  </w:tcMar>
                  <w:vAlign w:val="center"/>
                </w:tcPr>
                <w:p w14:paraId="1FB40D66">
                  <w:pPr>
                    <w:widowControl/>
                    <w:jc w:val="center"/>
                    <w:textAlignment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82" w:type="pct"/>
                  <w:noWrap/>
                  <w:tcMar>
                    <w:left w:w="28" w:type="dxa"/>
                    <w:right w:w="28" w:type="dxa"/>
                  </w:tcMar>
                  <w:vAlign w:val="center"/>
                </w:tcPr>
                <w:p w14:paraId="0F1D7E8B">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740" w:type="pct"/>
                  <w:noWrap/>
                  <w:tcMar>
                    <w:left w:w="28" w:type="dxa"/>
                    <w:right w:w="28" w:type="dxa"/>
                  </w:tcMar>
                  <w:vAlign w:val="center"/>
                </w:tcPr>
                <w:p w14:paraId="741CBA29">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52" w:type="pct"/>
                  <w:noWrap/>
                  <w:tcMar>
                    <w:left w:w="28" w:type="dxa"/>
                    <w:right w:w="28" w:type="dxa"/>
                  </w:tcMar>
                  <w:vAlign w:val="center"/>
                </w:tcPr>
                <w:p w14:paraId="7E849D2E">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280" w:type="pct"/>
                  <w:noWrap/>
                  <w:tcMar>
                    <w:left w:w="28" w:type="dxa"/>
                    <w:right w:w="28" w:type="dxa"/>
                  </w:tcMar>
                  <w:vAlign w:val="center"/>
                </w:tcPr>
                <w:p w14:paraId="3A76A445">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198" w:type="pct"/>
                  <w:noWrap/>
                  <w:tcMar>
                    <w:left w:w="28" w:type="dxa"/>
                    <w:right w:w="28" w:type="dxa"/>
                  </w:tcMar>
                  <w:vAlign w:val="center"/>
                </w:tcPr>
                <w:p w14:paraId="5087B4F8">
                  <w:pPr>
                    <w:keepNext w:val="0"/>
                    <w:keepLines w:val="0"/>
                    <w:widowControl/>
                    <w:suppressLineNumbers w:val="0"/>
                    <w:jc w:val="center"/>
                    <w:textAlignment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p>
              </w:tc>
              <w:tc>
                <w:tcPr>
                  <w:tcW w:w="309" w:type="pct"/>
                  <w:noWrap/>
                  <w:tcMar>
                    <w:left w:w="28" w:type="dxa"/>
                    <w:right w:w="28" w:type="dxa"/>
                  </w:tcMar>
                  <w:vAlign w:val="center"/>
                </w:tcPr>
                <w:p w14:paraId="59F0BB1D">
                  <w:pPr>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w:t>
                  </w:r>
                </w:p>
              </w:tc>
              <w:tc>
                <w:tcPr>
                  <w:tcW w:w="698" w:type="dxa"/>
                  <w:noWrap/>
                  <w:tcMar>
                    <w:left w:w="28" w:type="dxa"/>
                    <w:right w:w="28" w:type="dxa"/>
                  </w:tcMar>
                  <w:vAlign w:val="center"/>
                </w:tcPr>
                <w:p w14:paraId="1F16A68A">
                  <w:pPr>
                    <w:keepNext w:val="0"/>
                    <w:keepLines w:val="0"/>
                    <w:widowControl/>
                    <w:suppressLineNumbers w:val="0"/>
                    <w:jc w:val="center"/>
                    <w:textAlignment w:val="center"/>
                    <w:rPr>
                      <w:rFonts w:hint="eastAsia" w:eastAsia="宋体"/>
                      <w:color w:val="0000FF"/>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w:t>
                  </w:r>
                </w:p>
              </w:tc>
              <w:tc>
                <w:tcPr>
                  <w:tcW w:w="729" w:type="dxa"/>
                  <w:noWrap/>
                  <w:tcMar>
                    <w:left w:w="28" w:type="dxa"/>
                    <w:right w:w="28" w:type="dxa"/>
                  </w:tcMar>
                  <w:vAlign w:val="center"/>
                </w:tcPr>
                <w:p w14:paraId="1F5178E6">
                  <w:pPr>
                    <w:keepNext w:val="0"/>
                    <w:keepLines w:val="0"/>
                    <w:widowControl/>
                    <w:suppressLineNumbers w:val="0"/>
                    <w:jc w:val="center"/>
                    <w:textAlignment w:val="center"/>
                    <w:rPr>
                      <w:color w:val="0000FF"/>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 xml:space="preserve">0.246 </w:t>
                  </w:r>
                </w:p>
              </w:tc>
            </w:tr>
            <w:tr w14:paraId="3C75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5"/>
                  <w:noWrap w:val="0"/>
                  <w:tcMar>
                    <w:left w:w="28" w:type="dxa"/>
                    <w:right w:w="28" w:type="dxa"/>
                  </w:tcMar>
                  <w:vAlign w:val="center"/>
                </w:tcPr>
                <w:p w14:paraId="73F843A1">
                  <w:pPr>
                    <w:keepNext w:val="0"/>
                    <w:keepLines w:val="0"/>
                    <w:widowControl/>
                    <w:suppressLineNumbers w:val="0"/>
                    <w:jc w:val="left"/>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eastAsia="宋体" w:cs="Times New Roman"/>
                      <w:i w:val="0"/>
                      <w:iCs w:val="0"/>
                      <w:color w:val="000000" w:themeColor="text1"/>
                      <w:kern w:val="0"/>
                      <w:sz w:val="21"/>
                      <w:szCs w:val="21"/>
                      <w:u w:val="none"/>
                      <w:lang w:val="en-US" w:eastAsia="zh-CN" w:bidi="ar"/>
                      <w14:textFill>
                        <w14:solidFill>
                          <w14:schemeClr w14:val="tx1"/>
                        </w14:solidFill>
                      </w14:textFill>
                    </w:rPr>
                    <w:t>注：</w:t>
                  </w:r>
                  <w:r>
                    <w:rPr>
                      <w:rFonts w:hint="eastAsia" w:cs="Times New Roman"/>
                      <w:i w:val="0"/>
                      <w:iCs w:val="0"/>
                      <w:color w:val="000000" w:themeColor="text1"/>
                      <w:kern w:val="0"/>
                      <w:sz w:val="21"/>
                      <w:szCs w:val="21"/>
                      <w:u w:val="none"/>
                      <w:lang w:val="en-US" w:eastAsia="zh-CN" w:bidi="ar"/>
                      <w14:textFill>
                        <w14:solidFill>
                          <w14:schemeClr w14:val="tx1"/>
                        </w14:solidFill>
                      </w14:textFill>
                    </w:rPr>
                    <w:t>1.两条线同时喷底漆或面漆，不存在底漆面漆混喷的情况。</w:t>
                  </w:r>
                  <w:r>
                    <w:rPr>
                      <w:rFonts w:hint="eastAsia" w:cs="Times New Roman"/>
                      <w:i w:val="0"/>
                      <w:iCs w:val="0"/>
                      <w:color w:val="000000" w:themeColor="text1"/>
                      <w:kern w:val="0"/>
                      <w:sz w:val="21"/>
                      <w:szCs w:val="21"/>
                      <w:u w:val="none"/>
                      <w:lang w:val="en-US" w:eastAsia="zh-CN" w:bidi="ar"/>
                      <w14:textFill>
                        <w14:solidFill>
                          <w14:schemeClr w14:val="tx1"/>
                        </w14:solidFill>
                      </w14:textFill>
                    </w:rPr>
                    <w:br w:type="textWrapping"/>
                  </w:r>
                  <w:r>
                    <w:rPr>
                      <w:rFonts w:hint="eastAsia" w:cs="Times New Roman"/>
                      <w:i w:val="0"/>
                      <w:iCs w:val="0"/>
                      <w:color w:val="000000" w:themeColor="text1"/>
                      <w:kern w:val="0"/>
                      <w:sz w:val="21"/>
                      <w:szCs w:val="21"/>
                      <w:u w:val="none"/>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1"/>
                      <w:szCs w:val="21"/>
                      <w:u w:val="none"/>
                      <w:lang w:bidi="ar"/>
                      <w14:textFill>
                        <w14:solidFill>
                          <w14:schemeClr w14:val="tx1"/>
                        </w14:solidFill>
                      </w14:textFill>
                    </w:rPr>
                    <w:t>因</w:t>
                  </w:r>
                  <w:r>
                    <w:rPr>
                      <w:rFonts w:hint="eastAsia" w:cs="Times New Roman"/>
                      <w:color w:val="000000" w:themeColor="text1"/>
                      <w:kern w:val="0"/>
                      <w:sz w:val="21"/>
                      <w:szCs w:val="21"/>
                      <w:u w:val="none"/>
                      <w:lang w:val="en-US" w:eastAsia="zh-CN" w:bidi="ar"/>
                      <w14:textFill>
                        <w14:solidFill>
                          <w14:schemeClr w14:val="tx1"/>
                        </w14:solidFill>
                      </w14:textFill>
                    </w:rPr>
                    <w:t>项目为</w:t>
                  </w:r>
                  <w:r>
                    <w:rPr>
                      <w:rFonts w:hint="eastAsia" w:ascii="Times New Roman" w:hAnsi="Times New Roman" w:eastAsia="宋体" w:cs="Times New Roman"/>
                      <w:color w:val="000000" w:themeColor="text1"/>
                      <w:kern w:val="0"/>
                      <w:sz w:val="21"/>
                      <w:szCs w:val="21"/>
                      <w:u w:val="none"/>
                      <w:lang w:bidi="ar"/>
                      <w14:textFill>
                        <w14:solidFill>
                          <w14:schemeClr w14:val="tx1"/>
                        </w14:solidFill>
                      </w14:textFill>
                    </w:rPr>
                    <w:t>工序</w:t>
                  </w:r>
                  <w:r>
                    <w:rPr>
                      <w:rFonts w:hint="eastAsia"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为批次进行，</w:t>
                  </w:r>
                  <w:r>
                    <w:rPr>
                      <w:rFonts w:hint="eastAsia" w:ascii="Times New Roman" w:hAnsi="Times New Roman" w:eastAsia="宋体" w:cs="Times New Roman"/>
                      <w:color w:val="000000" w:themeColor="text1"/>
                      <w:kern w:val="0"/>
                      <w:sz w:val="21"/>
                      <w:szCs w:val="21"/>
                      <w:u w:val="none"/>
                      <w:lang w:bidi="ar"/>
                      <w14:textFill>
                        <w14:solidFill>
                          <w14:schemeClr w14:val="tx1"/>
                        </w14:solidFill>
                      </w14:textFill>
                    </w:rPr>
                    <w:t>喷漆</w:t>
                  </w:r>
                  <w:r>
                    <w:rPr>
                      <w:rFonts w:hint="eastAsia" w:cs="Times New Roman"/>
                      <w:color w:val="000000" w:themeColor="text1"/>
                      <w:kern w:val="0"/>
                      <w:sz w:val="21"/>
                      <w:szCs w:val="21"/>
                      <w:u w:val="none"/>
                      <w:lang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u w:val="none"/>
                      <w:lang w:bidi="ar"/>
                      <w14:textFill>
                        <w14:solidFill>
                          <w14:schemeClr w14:val="tx1"/>
                        </w14:solidFill>
                      </w14:textFill>
                    </w:rPr>
                    <w:t>流平固化</w:t>
                  </w:r>
                  <w:r>
                    <w:rPr>
                      <w:rFonts w:hint="eastAsia" w:cs="Times New Roman"/>
                      <w:color w:val="000000" w:themeColor="text1"/>
                      <w:kern w:val="0"/>
                      <w:sz w:val="21"/>
                      <w:szCs w:val="21"/>
                      <w:u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烘干</w:t>
                  </w:r>
                  <w:r>
                    <w:rPr>
                      <w:rFonts w:hint="eastAsia" w:cs="Times New Roman"/>
                      <w:color w:val="000000" w:themeColor="text1"/>
                      <w:kern w:val="0"/>
                      <w:sz w:val="21"/>
                      <w:szCs w:val="21"/>
                      <w:u w:val="none"/>
                      <w:lang w:val="en-US" w:eastAsia="zh-CN" w:bidi="ar"/>
                      <w14:textFill>
                        <w14:solidFill>
                          <w14:schemeClr w14:val="tx1"/>
                        </w14:solidFill>
                      </w14:textFill>
                    </w:rPr>
                    <w:t>依次进行</w:t>
                  </w:r>
                  <w:r>
                    <w:rPr>
                      <w:rFonts w:hint="eastAsia"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u w:val="none"/>
                      <w:lang w:bidi="ar"/>
                      <w14:textFill>
                        <w14:solidFill>
                          <w14:schemeClr w14:val="tx1"/>
                        </w14:solidFill>
                      </w14:textFill>
                    </w:rPr>
                    <w:t>工序所用工作时间不同，因此涂装废气小计中排放速率取</w:t>
                  </w:r>
                  <w:r>
                    <w:rPr>
                      <w:rFonts w:hint="eastAsia"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喷涂工序</w:t>
                  </w:r>
                  <w:r>
                    <w:rPr>
                      <w:rFonts w:hint="eastAsia" w:ascii="Times New Roman" w:hAnsi="Times New Roman" w:eastAsia="宋体" w:cs="Times New Roman"/>
                      <w:color w:val="000000" w:themeColor="text1"/>
                      <w:kern w:val="0"/>
                      <w:sz w:val="21"/>
                      <w:szCs w:val="21"/>
                      <w:u w:val="none"/>
                      <w:lang w:bidi="ar"/>
                      <w14:textFill>
                        <w14:solidFill>
                          <w14:schemeClr w14:val="tx1"/>
                        </w14:solidFill>
                      </w14:textFill>
                    </w:rPr>
                    <w:t>中最大值</w:t>
                  </w:r>
                  <w:r>
                    <w:rPr>
                      <w:rFonts w:hint="eastAsia" w:ascii="Times New Roman" w:hAnsi="Times New Roman" w:eastAsia="宋体" w:cs="Times New Roman"/>
                      <w:color w:val="000000" w:themeColor="text1"/>
                      <w:kern w:val="0"/>
                      <w:sz w:val="21"/>
                      <w:szCs w:val="21"/>
                      <w:u w:val="none"/>
                      <w:lang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即喷漆</w:t>
                  </w:r>
                  <w:r>
                    <w:rPr>
                      <w:rFonts w:hint="eastAsia" w:cs="Times New Roman"/>
                      <w:color w:val="000000" w:themeColor="text1"/>
                      <w:kern w:val="0"/>
                      <w:sz w:val="21"/>
                      <w:szCs w:val="21"/>
                      <w:u w:val="none"/>
                      <w:lang w:val="en-US" w:eastAsia="zh-CN" w:bidi="ar"/>
                      <w14:textFill>
                        <w14:solidFill>
                          <w14:schemeClr w14:val="tx1"/>
                        </w14:solidFill>
                      </w14:textFill>
                    </w:rPr>
                    <w:t>工序</w:t>
                  </w:r>
                  <w:r>
                    <w:rPr>
                      <w:rFonts w:hint="eastAsia" w:ascii="Times New Roman" w:hAnsi="Times New Roman" w:eastAsia="宋体" w:cs="Times New Roman"/>
                      <w:color w:val="000000" w:themeColor="text1"/>
                      <w:kern w:val="0"/>
                      <w:sz w:val="21"/>
                      <w:szCs w:val="21"/>
                      <w:u w:val="none"/>
                      <w:lang w:bidi="ar"/>
                      <w14:textFill>
                        <w14:solidFill>
                          <w14:schemeClr w14:val="tx1"/>
                        </w14:solidFill>
                      </w14:textFill>
                    </w:rPr>
                    <w:t>。</w:t>
                  </w:r>
                </w:p>
              </w:tc>
            </w:tr>
          </w:tbl>
          <w:p w14:paraId="1311E3AC">
            <w:pPr>
              <w:keepNext w:val="0"/>
              <w:keepLines w:val="0"/>
              <w:suppressLineNumbers w:val="0"/>
              <w:shd w:val="clear" w:color="auto" w:fill="auto"/>
              <w:autoSpaceDE w:val="0"/>
              <w:autoSpaceDN w:val="0"/>
              <w:adjustRightInd w:val="0"/>
              <w:snapToGrid w:val="0"/>
              <w:spacing w:before="0" w:beforeAutospacing="0" w:after="0" w:afterAutospacing="0" w:line="460" w:lineRule="exact"/>
              <w:ind w:left="0" w:right="0"/>
              <w:rPr>
                <w:rFonts w:hint="default"/>
                <w:b/>
                <w:bCs/>
                <w:i w:val="0"/>
                <w:iCs w:val="0"/>
                <w:color w:val="000000" w:themeColor="text1"/>
                <w:sz w:val="24"/>
                <w:highlight w:val="none"/>
                <w14:textFill>
                  <w14:solidFill>
                    <w14:schemeClr w14:val="tx1"/>
                  </w14:solidFill>
                </w14:textFill>
              </w:rPr>
            </w:pPr>
            <w:r>
              <w:rPr>
                <w:rFonts w:hint="eastAsia"/>
                <w:b/>
                <w:bCs/>
                <w:i w:val="0"/>
                <w:iCs w:val="0"/>
                <w:color w:val="000000" w:themeColor="text1"/>
                <w:sz w:val="24"/>
                <w:highlight w:val="none"/>
                <w:lang w:val="en-US" w:eastAsia="zh-CN"/>
                <w14:textFill>
                  <w14:solidFill>
                    <w14:schemeClr w14:val="tx1"/>
                  </w14:solidFill>
                </w14:textFill>
              </w:rPr>
              <w:t>1.3、</w:t>
            </w:r>
            <w:r>
              <w:rPr>
                <w:rFonts w:hint="default"/>
                <w:b/>
                <w:bCs/>
                <w:i w:val="0"/>
                <w:iCs w:val="0"/>
                <w:color w:val="000000" w:themeColor="text1"/>
                <w:sz w:val="24"/>
                <w:highlight w:val="none"/>
                <w14:textFill>
                  <w14:solidFill>
                    <w14:schemeClr w14:val="tx1"/>
                  </w14:solidFill>
                </w14:textFill>
              </w:rPr>
              <w:t>废气排放口基本情况</w:t>
            </w:r>
          </w:p>
          <w:p w14:paraId="6BD16FDA">
            <w:pPr>
              <w:keepNext w:val="0"/>
              <w:keepLines w:val="0"/>
              <w:suppressLineNumbers w:val="0"/>
              <w:shd w:val="clear" w:color="auto" w:fill="auto"/>
              <w:autoSpaceDE w:val="0"/>
              <w:autoSpaceDN w:val="0"/>
              <w:adjustRightInd w:val="0"/>
              <w:snapToGrid w:val="0"/>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default"/>
                <w:color w:val="000000" w:themeColor="text1"/>
                <w:sz w:val="24"/>
                <w:highlight w:val="none"/>
                <w14:textFill>
                  <w14:solidFill>
                    <w14:schemeClr w14:val="tx1"/>
                  </w14:solidFill>
                </w14:textFill>
              </w:rPr>
              <w:t>本项目废气排放口基本情况见表4-</w:t>
            </w:r>
            <w:r>
              <w:rPr>
                <w:rFonts w:hint="eastAsia"/>
                <w:color w:val="000000" w:themeColor="text1"/>
                <w:sz w:val="24"/>
                <w:highlight w:val="none"/>
                <w:lang w:val="en-US" w:eastAsia="zh-CN"/>
                <w14:textFill>
                  <w14:solidFill>
                    <w14:schemeClr w14:val="tx1"/>
                  </w14:solidFill>
                </w14:textFill>
              </w:rPr>
              <w:t>2</w:t>
            </w:r>
            <w:r>
              <w:rPr>
                <w:rFonts w:hint="default"/>
                <w:color w:val="000000" w:themeColor="text1"/>
                <w:sz w:val="24"/>
                <w:highlight w:val="none"/>
                <w14:textFill>
                  <w14:solidFill>
                    <w14:schemeClr w14:val="tx1"/>
                  </w14:solidFill>
                </w14:textFill>
              </w:rPr>
              <w:t>所示。</w:t>
            </w:r>
          </w:p>
          <w:p w14:paraId="791FFC6C">
            <w:pPr>
              <w:pStyle w:val="8"/>
              <w:keepNext w:val="0"/>
              <w:keepLines w:val="0"/>
              <w:suppressLineNumbers w:val="0"/>
              <w:shd w:val="clear" w:color="auto" w:fill="auto"/>
              <w:spacing w:before="0" w:beforeAutospacing="0" w:after="0" w:afterAutospacing="0" w:line="460" w:lineRule="exact"/>
              <w:ind w:left="0" w:right="0" w:firstLine="0" w:firstLineChars="0"/>
              <w:jc w:val="center"/>
              <w:rPr>
                <w:rFonts w:hint="default"/>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表4-</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 xml:space="preserve"> 废气排放口基本情况</w:t>
            </w:r>
          </w:p>
          <w:tbl>
            <w:tblPr>
              <w:tblStyle w:val="21"/>
              <w:tblW w:w="12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643"/>
              <w:gridCol w:w="750"/>
              <w:gridCol w:w="1125"/>
              <w:gridCol w:w="1029"/>
              <w:gridCol w:w="718"/>
              <w:gridCol w:w="825"/>
              <w:gridCol w:w="653"/>
              <w:gridCol w:w="729"/>
              <w:gridCol w:w="1253"/>
              <w:gridCol w:w="3812"/>
            </w:tblGrid>
            <w:tr w14:paraId="5E38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374" w:type="pct"/>
                  <w:vMerge w:val="restart"/>
                  <w:noWrap w:val="0"/>
                  <w:vAlign w:val="center"/>
                </w:tcPr>
                <w:p w14:paraId="54A855FC">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编号</w:t>
                  </w:r>
                </w:p>
              </w:tc>
              <w:tc>
                <w:tcPr>
                  <w:tcW w:w="558" w:type="pct"/>
                  <w:gridSpan w:val="2"/>
                  <w:noWrap w:val="0"/>
                  <w:vAlign w:val="center"/>
                </w:tcPr>
                <w:p w14:paraId="5C49F941">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排气筒底部中心坐标</w:t>
                  </w:r>
                </w:p>
              </w:tc>
              <w:tc>
                <w:tcPr>
                  <w:tcW w:w="451" w:type="pct"/>
                  <w:vMerge w:val="restart"/>
                  <w:noWrap w:val="0"/>
                  <w:vAlign w:val="center"/>
                </w:tcPr>
                <w:p w14:paraId="577C888D">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名称</w:t>
                  </w:r>
                </w:p>
              </w:tc>
              <w:tc>
                <w:tcPr>
                  <w:tcW w:w="412" w:type="pct"/>
                  <w:vMerge w:val="restart"/>
                  <w:noWrap w:val="0"/>
                  <w:vAlign w:val="center"/>
                </w:tcPr>
                <w:p w14:paraId="7C62026F">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排放口类型</w:t>
                  </w:r>
                </w:p>
              </w:tc>
              <w:tc>
                <w:tcPr>
                  <w:tcW w:w="287" w:type="pct"/>
                  <w:vMerge w:val="restart"/>
                  <w:noWrap w:val="0"/>
                  <w:vAlign w:val="center"/>
                </w:tcPr>
                <w:p w14:paraId="0B7784AD">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高度m</w:t>
                  </w:r>
                </w:p>
              </w:tc>
              <w:tc>
                <w:tcPr>
                  <w:tcW w:w="330" w:type="pct"/>
                  <w:vMerge w:val="restart"/>
                  <w:noWrap w:val="0"/>
                  <w:vAlign w:val="center"/>
                </w:tcPr>
                <w:p w14:paraId="220F8B54">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风量m</w:t>
                  </w:r>
                  <w:r>
                    <w:rPr>
                      <w:rFonts w:hint="default" w:ascii="Times New Roman" w:hAnsi="Times New Roman" w:cs="Times New Roman"/>
                      <w:b/>
                      <w:bCs/>
                      <w:color w:val="000000" w:themeColor="text1"/>
                      <w:highlight w:val="none"/>
                      <w:vertAlign w:val="superscript"/>
                      <w14:textFill>
                        <w14:solidFill>
                          <w14:schemeClr w14:val="tx1"/>
                        </w14:solidFill>
                      </w14:textFill>
                    </w:rPr>
                    <w:t>3</w:t>
                  </w:r>
                  <w:r>
                    <w:rPr>
                      <w:rFonts w:hint="default" w:ascii="Times New Roman" w:hAnsi="Times New Roman" w:cs="Times New Roman"/>
                      <w:b/>
                      <w:bCs/>
                      <w:color w:val="000000" w:themeColor="text1"/>
                      <w:highlight w:val="none"/>
                      <w14:textFill>
                        <w14:solidFill>
                          <w14:schemeClr w14:val="tx1"/>
                        </w14:solidFill>
                      </w14:textFill>
                    </w:rPr>
                    <w:t>/h</w:t>
                  </w:r>
                </w:p>
              </w:tc>
              <w:tc>
                <w:tcPr>
                  <w:tcW w:w="261" w:type="pct"/>
                  <w:vMerge w:val="restart"/>
                  <w:noWrap w:val="0"/>
                  <w:vAlign w:val="center"/>
                </w:tcPr>
                <w:p w14:paraId="5BE0C43D">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内径m</w:t>
                  </w:r>
                </w:p>
              </w:tc>
              <w:tc>
                <w:tcPr>
                  <w:tcW w:w="292" w:type="pct"/>
                  <w:vMerge w:val="restart"/>
                  <w:noWrap w:val="0"/>
                  <w:vAlign w:val="center"/>
                </w:tcPr>
                <w:p w14:paraId="4BCFAC70">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温度</w:t>
                  </w:r>
                </w:p>
                <w:p w14:paraId="405E4237">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w:t>
                  </w:r>
                </w:p>
              </w:tc>
              <w:tc>
                <w:tcPr>
                  <w:tcW w:w="502" w:type="pct"/>
                  <w:vMerge w:val="restart"/>
                  <w:noWrap w:val="0"/>
                  <w:vAlign w:val="center"/>
                </w:tcPr>
                <w:p w14:paraId="648C1B66">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排放污染物</w:t>
                  </w:r>
                </w:p>
              </w:tc>
              <w:tc>
                <w:tcPr>
                  <w:tcW w:w="1528" w:type="pct"/>
                  <w:vMerge w:val="restart"/>
                  <w:noWrap w:val="0"/>
                  <w:vAlign w:val="center"/>
                </w:tcPr>
                <w:p w14:paraId="77C0A5CE">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排放标准</w:t>
                  </w:r>
                </w:p>
              </w:tc>
            </w:tr>
            <w:tr w14:paraId="38D7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4" w:type="pct"/>
                  <w:vMerge w:val="continue"/>
                  <w:noWrap w:val="0"/>
                  <w:vAlign w:val="center"/>
                </w:tcPr>
                <w:p w14:paraId="73495DCF">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p>
              </w:tc>
              <w:tc>
                <w:tcPr>
                  <w:tcW w:w="257" w:type="pct"/>
                  <w:noWrap w:val="0"/>
                  <w:vAlign w:val="center"/>
                </w:tcPr>
                <w:p w14:paraId="1E9BD745">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X</w:t>
                  </w:r>
                </w:p>
              </w:tc>
              <w:tc>
                <w:tcPr>
                  <w:tcW w:w="300" w:type="pct"/>
                  <w:noWrap w:val="0"/>
                  <w:vAlign w:val="center"/>
                </w:tcPr>
                <w:p w14:paraId="5E9A3F28">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Y</w:t>
                  </w:r>
                </w:p>
              </w:tc>
              <w:tc>
                <w:tcPr>
                  <w:tcW w:w="451" w:type="pct"/>
                  <w:vMerge w:val="continue"/>
                  <w:noWrap w:val="0"/>
                  <w:vAlign w:val="center"/>
                </w:tcPr>
                <w:p w14:paraId="0FAB8D75">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412" w:type="pct"/>
                  <w:vMerge w:val="continue"/>
                  <w:noWrap w:val="0"/>
                  <w:vAlign w:val="center"/>
                </w:tcPr>
                <w:p w14:paraId="64129E48">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287" w:type="pct"/>
                  <w:vMerge w:val="continue"/>
                  <w:noWrap w:val="0"/>
                  <w:vAlign w:val="center"/>
                </w:tcPr>
                <w:p w14:paraId="1EFFFBA7">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330" w:type="pct"/>
                  <w:vMerge w:val="continue"/>
                  <w:noWrap w:val="0"/>
                  <w:vAlign w:val="center"/>
                </w:tcPr>
                <w:p w14:paraId="2644655A">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261" w:type="pct"/>
                  <w:vMerge w:val="continue"/>
                  <w:noWrap w:val="0"/>
                  <w:vAlign w:val="center"/>
                </w:tcPr>
                <w:p w14:paraId="74D58AAD">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292" w:type="pct"/>
                  <w:vMerge w:val="continue"/>
                  <w:noWrap w:val="0"/>
                  <w:vAlign w:val="center"/>
                </w:tcPr>
                <w:p w14:paraId="08569175">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502" w:type="pct"/>
                  <w:vMerge w:val="continue"/>
                  <w:noWrap w:val="0"/>
                  <w:vAlign w:val="center"/>
                </w:tcPr>
                <w:p w14:paraId="77504847">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1528" w:type="pct"/>
                  <w:vMerge w:val="continue"/>
                  <w:noWrap w:val="0"/>
                  <w:vAlign w:val="center"/>
                </w:tcPr>
                <w:p w14:paraId="122250DD">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r>
            <w:tr w14:paraId="53C2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74" w:type="pct"/>
                  <w:vMerge w:val="restart"/>
                  <w:noWrap w:val="0"/>
                  <w:vAlign w:val="center"/>
                </w:tcPr>
                <w:p w14:paraId="5B3188F8">
                  <w:pPr>
                    <w:pStyle w:val="51"/>
                    <w:keepNext w:val="0"/>
                    <w:keepLines w:val="0"/>
                    <w:suppressLineNumbers w:val="0"/>
                    <w:shd w:val="clear" w:color="auto" w:fill="auto"/>
                    <w:spacing w:before="0" w:beforeAutospacing="0" w:after="0" w:afterAutospacing="0"/>
                    <w:ind w:left="0" w:right="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DA00</w:t>
                  </w:r>
                  <w:r>
                    <w:rPr>
                      <w:rFonts w:hint="default" w:ascii="Times New Roman" w:hAnsi="Times New Roman" w:cs="Times New Roman"/>
                      <w:color w:val="000000" w:themeColor="text1"/>
                      <w:highlight w:val="none"/>
                      <w:lang w:val="en-US" w:eastAsia="zh-CN"/>
                      <w14:textFill>
                        <w14:solidFill>
                          <w14:schemeClr w14:val="tx1"/>
                        </w14:solidFill>
                      </w14:textFill>
                    </w:rPr>
                    <w:t>1</w:t>
                  </w:r>
                </w:p>
              </w:tc>
              <w:tc>
                <w:tcPr>
                  <w:tcW w:w="257" w:type="pct"/>
                  <w:vMerge w:val="restart"/>
                  <w:noWrap w:val="0"/>
                  <w:vAlign w:val="center"/>
                </w:tcPr>
                <w:p w14:paraId="4613B81C">
                  <w:pPr>
                    <w:pStyle w:val="51"/>
                    <w:keepNext w:val="0"/>
                    <w:keepLines w:val="0"/>
                    <w:suppressLineNumbers w:val="0"/>
                    <w:shd w:val="clear" w:color="auto" w:fill="auto"/>
                    <w:spacing w:before="0" w:beforeAutospacing="0" w:after="0" w:afterAutospacing="0"/>
                    <w:ind w:left="0" w:right="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47</w:t>
                  </w:r>
                </w:p>
              </w:tc>
              <w:tc>
                <w:tcPr>
                  <w:tcW w:w="300" w:type="pct"/>
                  <w:vMerge w:val="restart"/>
                  <w:noWrap w:val="0"/>
                  <w:vAlign w:val="center"/>
                </w:tcPr>
                <w:p w14:paraId="734A81D7">
                  <w:pPr>
                    <w:pStyle w:val="51"/>
                    <w:keepNext w:val="0"/>
                    <w:keepLines w:val="0"/>
                    <w:suppressLineNumbers w:val="0"/>
                    <w:shd w:val="clear" w:color="auto" w:fill="auto"/>
                    <w:spacing w:before="0" w:beforeAutospacing="0" w:after="0" w:afterAutospacing="0"/>
                    <w:ind w:left="0" w:right="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451" w:type="pct"/>
                  <w:vMerge w:val="restart"/>
                  <w:noWrap w:val="0"/>
                  <w:vAlign w:val="center"/>
                </w:tcPr>
                <w:p w14:paraId="4D51D625">
                  <w:pPr>
                    <w:pStyle w:val="51"/>
                    <w:keepNext w:val="0"/>
                    <w:keepLines w:val="0"/>
                    <w:suppressLineNumbers w:val="0"/>
                    <w:shd w:val="clear" w:color="auto" w:fill="auto"/>
                    <w:spacing w:before="0" w:beforeAutospacing="0" w:after="0" w:afterAutospacing="0"/>
                    <w:ind w:left="0" w:right="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kern w:val="0"/>
                      <w:highlight w:val="none"/>
                      <w:lang w:val="en-US" w:eastAsia="zh-CN"/>
                      <w14:textFill>
                        <w14:solidFill>
                          <w14:schemeClr w14:val="tx1"/>
                        </w14:solidFill>
                      </w14:textFill>
                    </w:rPr>
                    <w:t>喷涂废气</w:t>
                  </w:r>
                </w:p>
              </w:tc>
              <w:tc>
                <w:tcPr>
                  <w:tcW w:w="412" w:type="pct"/>
                  <w:vMerge w:val="restart"/>
                  <w:noWrap w:val="0"/>
                  <w:vAlign w:val="center"/>
                </w:tcPr>
                <w:p w14:paraId="3E17333C">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一般排放口</w:t>
                  </w:r>
                </w:p>
              </w:tc>
              <w:tc>
                <w:tcPr>
                  <w:tcW w:w="287" w:type="pct"/>
                  <w:vMerge w:val="restart"/>
                  <w:noWrap w:val="0"/>
                  <w:vAlign w:val="center"/>
                </w:tcPr>
                <w:p w14:paraId="2ECC6E6A">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w:t>
                  </w:r>
                </w:p>
              </w:tc>
              <w:tc>
                <w:tcPr>
                  <w:tcW w:w="330" w:type="pct"/>
                  <w:vMerge w:val="restart"/>
                  <w:noWrap w:val="0"/>
                  <w:vAlign w:val="center"/>
                </w:tcPr>
                <w:p w14:paraId="172AFCAC">
                  <w:pPr>
                    <w:pStyle w:val="51"/>
                    <w:keepNext w:val="0"/>
                    <w:keepLines w:val="0"/>
                    <w:suppressLineNumbers w:val="0"/>
                    <w:shd w:val="clear" w:color="auto" w:fill="auto"/>
                    <w:spacing w:before="0" w:beforeAutospacing="0" w:after="0" w:afterAutospacing="0"/>
                    <w:ind w:left="0" w:right="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30000</w:t>
                  </w:r>
                </w:p>
              </w:tc>
              <w:tc>
                <w:tcPr>
                  <w:tcW w:w="261" w:type="pct"/>
                  <w:vMerge w:val="restart"/>
                  <w:noWrap w:val="0"/>
                  <w:vAlign w:val="center"/>
                </w:tcPr>
                <w:p w14:paraId="78A173BE">
                  <w:pPr>
                    <w:pStyle w:val="51"/>
                    <w:keepNext w:val="0"/>
                    <w:keepLines w:val="0"/>
                    <w:suppressLineNumbers w:val="0"/>
                    <w:shd w:val="clear" w:color="auto" w:fill="auto"/>
                    <w:spacing w:before="0" w:beforeAutospacing="0" w:after="0" w:afterAutospacing="0"/>
                    <w:ind w:left="0" w:right="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0.35</w:t>
                  </w:r>
                </w:p>
              </w:tc>
              <w:tc>
                <w:tcPr>
                  <w:tcW w:w="292" w:type="pct"/>
                  <w:vMerge w:val="restart"/>
                  <w:noWrap w:val="0"/>
                  <w:vAlign w:val="center"/>
                </w:tcPr>
                <w:p w14:paraId="750B7896">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w:t>
                  </w:r>
                </w:p>
              </w:tc>
              <w:tc>
                <w:tcPr>
                  <w:tcW w:w="502" w:type="pct"/>
                  <w:noWrap w:val="0"/>
                  <w:vAlign w:val="center"/>
                </w:tcPr>
                <w:p w14:paraId="302428C7">
                  <w:pPr>
                    <w:pStyle w:val="51"/>
                    <w:keepNext w:val="0"/>
                    <w:keepLines w:val="0"/>
                    <w:suppressLineNumbers w:val="0"/>
                    <w:shd w:val="clear" w:color="auto" w:fill="auto"/>
                    <w:spacing w:before="0" w:beforeAutospacing="0" w:after="0" w:afterAutospacing="0"/>
                    <w:ind w:left="0" w:right="0"/>
                    <w:rPr>
                      <w:rStyle w:val="26"/>
                      <w:rFonts w:hint="default" w:ascii="Times New Roman" w:hAnsi="Times New Roman" w:cs="Times New Roman"/>
                      <w:color w:val="000000" w:themeColor="text1"/>
                      <w:szCs w:val="20"/>
                      <w:highlight w:val="none"/>
                      <w:lang w:val="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非甲烷总烃</w:t>
                  </w:r>
                </w:p>
              </w:tc>
              <w:tc>
                <w:tcPr>
                  <w:tcW w:w="1528" w:type="pct"/>
                  <w:vMerge w:val="restart"/>
                  <w:noWrap w:val="0"/>
                  <w:vAlign w:val="center"/>
                </w:tcPr>
                <w:p w14:paraId="7FBA9D69">
                  <w:pPr>
                    <w:keepNext w:val="0"/>
                    <w:keepLines w:val="0"/>
                    <w:suppressLineNumbers w:val="0"/>
                    <w:shd w:val="clear" w:color="auto" w:fill="auto"/>
                    <w:adjustRightInd w:val="0"/>
                    <w:snapToGrid w:val="0"/>
                    <w:spacing w:before="0" w:beforeAutospacing="0" w:after="0" w:afterAutospacing="0"/>
                    <w:ind w:left="0" w:right="0"/>
                    <w:jc w:val="both"/>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《摩托车及汽车配件制造表面涂装大气污染物排放标准》（DB 50/660-2016）</w:t>
                  </w:r>
                </w:p>
              </w:tc>
            </w:tr>
            <w:tr w14:paraId="2B94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74" w:type="pct"/>
                  <w:vMerge w:val="continue"/>
                  <w:noWrap w:val="0"/>
                  <w:vAlign w:val="center"/>
                </w:tcPr>
                <w:p w14:paraId="56EF9C77">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257" w:type="pct"/>
                  <w:vMerge w:val="continue"/>
                  <w:noWrap w:val="0"/>
                  <w:vAlign w:val="center"/>
                </w:tcPr>
                <w:p w14:paraId="2F67232C">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300" w:type="pct"/>
                  <w:vMerge w:val="continue"/>
                  <w:noWrap w:val="0"/>
                  <w:vAlign w:val="center"/>
                </w:tcPr>
                <w:p w14:paraId="5A6E118B">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451" w:type="pct"/>
                  <w:vMerge w:val="continue"/>
                  <w:noWrap w:val="0"/>
                  <w:vAlign w:val="center"/>
                </w:tcPr>
                <w:p w14:paraId="1AA37417">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412" w:type="pct"/>
                  <w:vMerge w:val="continue"/>
                  <w:noWrap w:val="0"/>
                  <w:vAlign w:val="center"/>
                </w:tcPr>
                <w:p w14:paraId="30A125DE">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287" w:type="pct"/>
                  <w:vMerge w:val="continue"/>
                  <w:noWrap w:val="0"/>
                  <w:vAlign w:val="center"/>
                </w:tcPr>
                <w:p w14:paraId="0C7749DC">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330" w:type="pct"/>
                  <w:vMerge w:val="continue"/>
                  <w:noWrap w:val="0"/>
                  <w:vAlign w:val="center"/>
                </w:tcPr>
                <w:p w14:paraId="61D0B5CD">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261" w:type="pct"/>
                  <w:vMerge w:val="continue"/>
                  <w:noWrap w:val="0"/>
                  <w:vAlign w:val="center"/>
                </w:tcPr>
                <w:p w14:paraId="1DE7416C">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292" w:type="pct"/>
                  <w:vMerge w:val="continue"/>
                  <w:noWrap w:val="0"/>
                  <w:vAlign w:val="center"/>
                </w:tcPr>
                <w:p w14:paraId="39907D6D">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502" w:type="pct"/>
                  <w:noWrap w:val="0"/>
                  <w:vAlign w:val="center"/>
                </w:tcPr>
                <w:p w14:paraId="7B8AA26D">
                  <w:pPr>
                    <w:keepNext w:val="0"/>
                    <w:keepLines w:val="0"/>
                    <w:suppressLineNumbers w:val="0"/>
                    <w:shd w:val="clear" w:color="auto" w:fill="auto"/>
                    <w:adjustRightInd w:val="0"/>
                    <w:snapToGrid w:val="0"/>
                    <w:spacing w:before="0" w:beforeAutospacing="0" w:after="0" w:afterAutospacing="0"/>
                    <w:ind w:left="0" w:right="0"/>
                    <w:jc w:val="center"/>
                    <w:rPr>
                      <w:rStyle w:val="26"/>
                      <w:rFonts w:hint="default" w:ascii="Times New Roman" w:hAnsi="Times New Roman" w:cs="Times New Roman"/>
                      <w:color w:val="000000" w:themeColor="text1"/>
                      <w:szCs w:val="20"/>
                      <w:highlight w:val="none"/>
                      <w:lang w:val="zh-CN"/>
                      <w14:textFill>
                        <w14:solidFill>
                          <w14:schemeClr w14:val="tx1"/>
                        </w14:solidFill>
                      </w14:textFill>
                    </w:rPr>
                  </w:pPr>
                  <w:r>
                    <w:rPr>
                      <w:rStyle w:val="26"/>
                      <w:rFonts w:hint="default" w:ascii="Times New Roman" w:hAnsi="Times New Roman" w:cs="Times New Roman"/>
                      <w:color w:val="000000" w:themeColor="text1"/>
                      <w:szCs w:val="20"/>
                      <w:highlight w:val="none"/>
                      <w:lang w:val="zh-CN"/>
                      <w14:textFill>
                        <w14:solidFill>
                          <w14:schemeClr w14:val="tx1"/>
                        </w14:solidFill>
                      </w14:textFill>
                    </w:rPr>
                    <w:t>颗粒物</w:t>
                  </w:r>
                </w:p>
              </w:tc>
              <w:tc>
                <w:tcPr>
                  <w:tcW w:w="1528" w:type="pct"/>
                  <w:vMerge w:val="continue"/>
                  <w:noWrap w:val="0"/>
                  <w:vAlign w:val="center"/>
                </w:tcPr>
                <w:p w14:paraId="2E5B9580">
                  <w:pPr>
                    <w:keepNext w:val="0"/>
                    <w:keepLines w:val="0"/>
                    <w:suppressLineNumbers w:val="0"/>
                    <w:shd w:val="clear" w:color="auto" w:fill="auto"/>
                    <w:adjustRightInd w:val="0"/>
                    <w:snapToGrid w:val="0"/>
                    <w:spacing w:before="0" w:beforeAutospacing="0" w:after="0" w:afterAutospacing="0"/>
                    <w:ind w:left="0" w:right="0"/>
                    <w:jc w:val="center"/>
                    <w:rPr>
                      <w:rStyle w:val="26"/>
                      <w:rFonts w:hint="default" w:ascii="Times New Roman" w:hAnsi="Times New Roman" w:cs="Times New Roman"/>
                      <w:color w:val="000000" w:themeColor="text1"/>
                      <w:szCs w:val="20"/>
                      <w:highlight w:val="none"/>
                      <w:lang w:val="zh-CN"/>
                      <w14:textFill>
                        <w14:solidFill>
                          <w14:schemeClr w14:val="tx1"/>
                        </w14:solidFill>
                      </w14:textFill>
                    </w:rPr>
                  </w:pPr>
                </w:p>
              </w:tc>
            </w:tr>
            <w:tr w14:paraId="2B38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74" w:type="pct"/>
                  <w:vMerge w:val="continue"/>
                  <w:noWrap w:val="0"/>
                  <w:vAlign w:val="center"/>
                </w:tcPr>
                <w:p w14:paraId="494B7349">
                  <w:pPr>
                    <w:keepNext w:val="0"/>
                    <w:keepLines w:val="0"/>
                    <w:suppressLineNumbers w:val="0"/>
                    <w:shd w:val="clear" w:color="auto" w:fill="auto"/>
                    <w:adjustRightInd w:val="0"/>
                    <w:snapToGrid w:val="0"/>
                    <w:spacing w:before="0" w:beforeAutospacing="0" w:after="0" w:afterAutospacing="0"/>
                    <w:ind w:left="0" w:right="0"/>
                    <w:jc w:val="center"/>
                    <w:rPr>
                      <w:rStyle w:val="26"/>
                      <w:rFonts w:hint="default" w:ascii="Times New Roman" w:hAnsi="Times New Roman" w:cs="Times New Roman"/>
                      <w:color w:val="000000" w:themeColor="text1"/>
                      <w:szCs w:val="20"/>
                      <w:highlight w:val="none"/>
                      <w:lang w:val="zh-CN"/>
                      <w14:textFill>
                        <w14:solidFill>
                          <w14:schemeClr w14:val="tx1"/>
                        </w14:solidFill>
                      </w14:textFill>
                    </w:rPr>
                  </w:pPr>
                </w:p>
              </w:tc>
              <w:tc>
                <w:tcPr>
                  <w:tcW w:w="257" w:type="pct"/>
                  <w:vMerge w:val="continue"/>
                  <w:noWrap w:val="0"/>
                  <w:vAlign w:val="center"/>
                </w:tcPr>
                <w:p w14:paraId="11C99E94">
                  <w:pPr>
                    <w:keepNext w:val="0"/>
                    <w:keepLines w:val="0"/>
                    <w:suppressLineNumbers w:val="0"/>
                    <w:shd w:val="clear" w:color="auto" w:fill="auto"/>
                    <w:adjustRightInd w:val="0"/>
                    <w:snapToGrid w:val="0"/>
                    <w:spacing w:before="0" w:beforeAutospacing="0" w:after="0" w:afterAutospacing="0"/>
                    <w:ind w:left="0" w:right="0"/>
                    <w:jc w:val="center"/>
                    <w:rPr>
                      <w:rStyle w:val="26"/>
                      <w:rFonts w:hint="default" w:ascii="Times New Roman" w:hAnsi="Times New Roman" w:cs="Times New Roman"/>
                      <w:color w:val="000000" w:themeColor="text1"/>
                      <w:szCs w:val="20"/>
                      <w:highlight w:val="none"/>
                      <w:lang w:val="zh-CN"/>
                      <w14:textFill>
                        <w14:solidFill>
                          <w14:schemeClr w14:val="tx1"/>
                        </w14:solidFill>
                      </w14:textFill>
                    </w:rPr>
                  </w:pPr>
                </w:p>
              </w:tc>
              <w:tc>
                <w:tcPr>
                  <w:tcW w:w="300" w:type="pct"/>
                  <w:vMerge w:val="continue"/>
                  <w:noWrap w:val="0"/>
                  <w:vAlign w:val="center"/>
                </w:tcPr>
                <w:p w14:paraId="75424781">
                  <w:pPr>
                    <w:keepNext w:val="0"/>
                    <w:keepLines w:val="0"/>
                    <w:suppressLineNumbers w:val="0"/>
                    <w:shd w:val="clear" w:color="auto" w:fill="auto"/>
                    <w:adjustRightInd w:val="0"/>
                    <w:snapToGrid w:val="0"/>
                    <w:spacing w:before="0" w:beforeAutospacing="0" w:after="0" w:afterAutospacing="0"/>
                    <w:ind w:left="0" w:right="0"/>
                    <w:jc w:val="center"/>
                    <w:rPr>
                      <w:rStyle w:val="26"/>
                      <w:rFonts w:hint="default" w:ascii="Times New Roman" w:hAnsi="Times New Roman" w:cs="Times New Roman"/>
                      <w:color w:val="000000" w:themeColor="text1"/>
                      <w:szCs w:val="20"/>
                      <w:highlight w:val="none"/>
                      <w:lang w:val="zh-CN"/>
                      <w14:textFill>
                        <w14:solidFill>
                          <w14:schemeClr w14:val="tx1"/>
                        </w14:solidFill>
                      </w14:textFill>
                    </w:rPr>
                  </w:pPr>
                </w:p>
              </w:tc>
              <w:tc>
                <w:tcPr>
                  <w:tcW w:w="451" w:type="pct"/>
                  <w:vMerge w:val="continue"/>
                  <w:noWrap w:val="0"/>
                  <w:vAlign w:val="center"/>
                </w:tcPr>
                <w:p w14:paraId="76D9502B">
                  <w:pPr>
                    <w:keepNext w:val="0"/>
                    <w:keepLines w:val="0"/>
                    <w:suppressLineNumbers w:val="0"/>
                    <w:shd w:val="clear" w:color="auto" w:fill="auto"/>
                    <w:adjustRightInd w:val="0"/>
                    <w:snapToGrid w:val="0"/>
                    <w:spacing w:before="0" w:beforeAutospacing="0" w:after="0" w:afterAutospacing="0"/>
                    <w:ind w:left="0" w:right="0"/>
                    <w:jc w:val="center"/>
                    <w:rPr>
                      <w:rStyle w:val="26"/>
                      <w:rFonts w:hint="default" w:ascii="Times New Roman" w:hAnsi="Times New Roman" w:cs="Times New Roman"/>
                      <w:color w:val="000000" w:themeColor="text1"/>
                      <w:szCs w:val="20"/>
                      <w:highlight w:val="none"/>
                      <w:lang w:val="zh-CN"/>
                      <w14:textFill>
                        <w14:solidFill>
                          <w14:schemeClr w14:val="tx1"/>
                        </w14:solidFill>
                      </w14:textFill>
                    </w:rPr>
                  </w:pPr>
                </w:p>
              </w:tc>
              <w:tc>
                <w:tcPr>
                  <w:tcW w:w="412" w:type="pct"/>
                  <w:vMerge w:val="continue"/>
                  <w:noWrap w:val="0"/>
                  <w:vAlign w:val="center"/>
                </w:tcPr>
                <w:p w14:paraId="7CCC7EFB">
                  <w:pPr>
                    <w:keepNext w:val="0"/>
                    <w:keepLines w:val="0"/>
                    <w:suppressLineNumbers w:val="0"/>
                    <w:shd w:val="clear" w:color="auto" w:fill="auto"/>
                    <w:adjustRightInd w:val="0"/>
                    <w:snapToGrid w:val="0"/>
                    <w:spacing w:before="0" w:beforeAutospacing="0" w:after="0" w:afterAutospacing="0"/>
                    <w:ind w:left="0" w:right="0"/>
                    <w:jc w:val="center"/>
                    <w:rPr>
                      <w:rStyle w:val="26"/>
                      <w:rFonts w:hint="default" w:ascii="Times New Roman" w:hAnsi="Times New Roman" w:cs="Times New Roman"/>
                      <w:color w:val="000000" w:themeColor="text1"/>
                      <w:szCs w:val="20"/>
                      <w:highlight w:val="none"/>
                      <w:lang w:val="zh-CN"/>
                      <w14:textFill>
                        <w14:solidFill>
                          <w14:schemeClr w14:val="tx1"/>
                        </w14:solidFill>
                      </w14:textFill>
                    </w:rPr>
                  </w:pPr>
                </w:p>
              </w:tc>
              <w:tc>
                <w:tcPr>
                  <w:tcW w:w="287" w:type="pct"/>
                  <w:vMerge w:val="continue"/>
                  <w:noWrap w:val="0"/>
                  <w:vAlign w:val="center"/>
                </w:tcPr>
                <w:p w14:paraId="5D38E78D">
                  <w:pPr>
                    <w:keepNext w:val="0"/>
                    <w:keepLines w:val="0"/>
                    <w:suppressLineNumbers w:val="0"/>
                    <w:shd w:val="clear" w:color="auto" w:fill="auto"/>
                    <w:adjustRightInd w:val="0"/>
                    <w:snapToGrid w:val="0"/>
                    <w:spacing w:before="0" w:beforeAutospacing="0" w:after="0" w:afterAutospacing="0"/>
                    <w:ind w:left="0" w:right="0"/>
                    <w:jc w:val="center"/>
                    <w:rPr>
                      <w:rStyle w:val="26"/>
                      <w:rFonts w:hint="default" w:ascii="Times New Roman" w:hAnsi="Times New Roman" w:cs="Times New Roman"/>
                      <w:color w:val="000000" w:themeColor="text1"/>
                      <w:szCs w:val="20"/>
                      <w:highlight w:val="none"/>
                      <w:lang w:val="zh-CN"/>
                      <w14:textFill>
                        <w14:solidFill>
                          <w14:schemeClr w14:val="tx1"/>
                        </w14:solidFill>
                      </w14:textFill>
                    </w:rPr>
                  </w:pPr>
                </w:p>
              </w:tc>
              <w:tc>
                <w:tcPr>
                  <w:tcW w:w="330" w:type="pct"/>
                  <w:vMerge w:val="continue"/>
                  <w:noWrap w:val="0"/>
                  <w:vAlign w:val="center"/>
                </w:tcPr>
                <w:p w14:paraId="299A6A69">
                  <w:pPr>
                    <w:keepNext w:val="0"/>
                    <w:keepLines w:val="0"/>
                    <w:suppressLineNumbers w:val="0"/>
                    <w:shd w:val="clear" w:color="auto" w:fill="auto"/>
                    <w:adjustRightInd w:val="0"/>
                    <w:snapToGrid w:val="0"/>
                    <w:spacing w:before="0" w:beforeAutospacing="0" w:after="0" w:afterAutospacing="0"/>
                    <w:ind w:left="0" w:right="0"/>
                    <w:jc w:val="center"/>
                    <w:rPr>
                      <w:rStyle w:val="26"/>
                      <w:rFonts w:hint="default" w:ascii="Times New Roman" w:hAnsi="Times New Roman" w:cs="Times New Roman"/>
                      <w:color w:val="000000" w:themeColor="text1"/>
                      <w:szCs w:val="20"/>
                      <w:highlight w:val="none"/>
                      <w:lang w:val="zh-CN"/>
                      <w14:textFill>
                        <w14:solidFill>
                          <w14:schemeClr w14:val="tx1"/>
                        </w14:solidFill>
                      </w14:textFill>
                    </w:rPr>
                  </w:pPr>
                </w:p>
              </w:tc>
              <w:tc>
                <w:tcPr>
                  <w:tcW w:w="261" w:type="pct"/>
                  <w:vMerge w:val="continue"/>
                  <w:noWrap w:val="0"/>
                  <w:vAlign w:val="center"/>
                </w:tcPr>
                <w:p w14:paraId="093BFB8F">
                  <w:pPr>
                    <w:keepNext w:val="0"/>
                    <w:keepLines w:val="0"/>
                    <w:suppressLineNumbers w:val="0"/>
                    <w:shd w:val="clear" w:color="auto" w:fill="auto"/>
                    <w:adjustRightInd w:val="0"/>
                    <w:snapToGrid w:val="0"/>
                    <w:spacing w:before="0" w:beforeAutospacing="0" w:after="0" w:afterAutospacing="0"/>
                    <w:ind w:left="0" w:right="0"/>
                    <w:jc w:val="center"/>
                    <w:rPr>
                      <w:rStyle w:val="26"/>
                      <w:rFonts w:hint="default" w:ascii="Times New Roman" w:hAnsi="Times New Roman" w:cs="Times New Roman"/>
                      <w:color w:val="000000" w:themeColor="text1"/>
                      <w:szCs w:val="20"/>
                      <w:highlight w:val="none"/>
                      <w:lang w:val="zh-CN"/>
                      <w14:textFill>
                        <w14:solidFill>
                          <w14:schemeClr w14:val="tx1"/>
                        </w14:solidFill>
                      </w14:textFill>
                    </w:rPr>
                  </w:pPr>
                </w:p>
              </w:tc>
              <w:tc>
                <w:tcPr>
                  <w:tcW w:w="292" w:type="pct"/>
                  <w:vMerge w:val="continue"/>
                  <w:noWrap w:val="0"/>
                  <w:vAlign w:val="center"/>
                </w:tcPr>
                <w:p w14:paraId="32DD8340">
                  <w:pPr>
                    <w:keepNext w:val="0"/>
                    <w:keepLines w:val="0"/>
                    <w:suppressLineNumbers w:val="0"/>
                    <w:shd w:val="clear" w:color="auto" w:fill="auto"/>
                    <w:adjustRightInd w:val="0"/>
                    <w:snapToGrid w:val="0"/>
                    <w:spacing w:before="0" w:beforeAutospacing="0" w:after="0" w:afterAutospacing="0"/>
                    <w:ind w:left="0" w:right="0"/>
                    <w:jc w:val="center"/>
                    <w:rPr>
                      <w:rStyle w:val="26"/>
                      <w:rFonts w:hint="default" w:ascii="Times New Roman" w:hAnsi="Times New Roman" w:cs="Times New Roman"/>
                      <w:color w:val="000000" w:themeColor="text1"/>
                      <w:szCs w:val="20"/>
                      <w:highlight w:val="none"/>
                      <w:lang w:val="zh-CN"/>
                      <w14:textFill>
                        <w14:solidFill>
                          <w14:schemeClr w14:val="tx1"/>
                        </w14:solidFill>
                      </w14:textFill>
                    </w:rPr>
                  </w:pPr>
                </w:p>
              </w:tc>
              <w:tc>
                <w:tcPr>
                  <w:tcW w:w="502" w:type="pct"/>
                  <w:noWrap w:val="0"/>
                  <w:vAlign w:val="center"/>
                </w:tcPr>
                <w:p w14:paraId="020A76E8">
                  <w:pPr>
                    <w:keepNext w:val="0"/>
                    <w:keepLines w:val="0"/>
                    <w:suppressLineNumbers w:val="0"/>
                    <w:shd w:val="clear" w:color="auto" w:fill="auto"/>
                    <w:adjustRightInd w:val="0"/>
                    <w:snapToGrid w:val="0"/>
                    <w:spacing w:before="0" w:beforeAutospacing="0" w:after="0" w:afterAutospacing="0"/>
                    <w:ind w:left="0" w:right="0"/>
                    <w:jc w:val="center"/>
                    <w:rPr>
                      <w:rStyle w:val="26"/>
                      <w:rFonts w:hint="default" w:ascii="Times New Roman" w:hAnsi="Times New Roman" w:eastAsia="宋体" w:cs="Times New Roman"/>
                      <w:color w:val="000000" w:themeColor="text1"/>
                      <w:szCs w:val="20"/>
                      <w:highlight w:val="none"/>
                      <w:lang w:val="en-US" w:eastAsia="zh-CN"/>
                      <w14:textFill>
                        <w14:solidFill>
                          <w14:schemeClr w14:val="tx1"/>
                        </w14:solidFill>
                      </w14:textFill>
                    </w:rPr>
                  </w:pPr>
                  <w:r>
                    <w:rPr>
                      <w:rStyle w:val="26"/>
                      <w:rFonts w:hint="default" w:ascii="Times New Roman" w:hAnsi="Times New Roman" w:cs="Times New Roman"/>
                      <w:color w:val="000000" w:themeColor="text1"/>
                      <w:szCs w:val="20"/>
                      <w:highlight w:val="none"/>
                      <w:lang w:val="en-US" w:eastAsia="zh-CN"/>
                      <w14:textFill>
                        <w14:solidFill>
                          <w14:schemeClr w14:val="tx1"/>
                        </w14:solidFill>
                      </w14:textFill>
                    </w:rPr>
                    <w:t>臭气浓度</w:t>
                  </w:r>
                </w:p>
              </w:tc>
              <w:tc>
                <w:tcPr>
                  <w:tcW w:w="1528" w:type="pct"/>
                  <w:noWrap w:val="0"/>
                  <w:vAlign w:val="center"/>
                </w:tcPr>
                <w:p w14:paraId="0366A40E">
                  <w:pPr>
                    <w:keepNext w:val="0"/>
                    <w:keepLines w:val="0"/>
                    <w:suppressLineNumbers w:val="0"/>
                    <w:shd w:val="clear" w:color="auto" w:fill="auto"/>
                    <w:adjustRightInd w:val="0"/>
                    <w:snapToGrid w:val="0"/>
                    <w:spacing w:before="0" w:beforeAutospacing="0" w:after="0" w:afterAutospacing="0"/>
                    <w:ind w:left="0" w:right="0"/>
                    <w:jc w:val="both"/>
                    <w:rPr>
                      <w:rStyle w:val="26"/>
                      <w:rFonts w:hint="default" w:ascii="Times New Roman" w:hAnsi="Times New Roman" w:cs="Times New Roman"/>
                      <w:color w:val="000000" w:themeColor="text1"/>
                      <w:szCs w:val="20"/>
                      <w:highlight w:val="none"/>
                      <w:lang w:val="zh-CN"/>
                      <w14:textFill>
                        <w14:solidFill>
                          <w14:schemeClr w14:val="tx1"/>
                        </w14:solidFill>
                      </w14:textFill>
                    </w:rPr>
                  </w:pPr>
                  <w:r>
                    <w:rPr>
                      <w:rStyle w:val="26"/>
                      <w:rFonts w:hint="default" w:ascii="Times New Roman" w:hAnsi="Times New Roman" w:cs="Times New Roman"/>
                      <w:color w:val="000000" w:themeColor="text1"/>
                      <w:szCs w:val="20"/>
                      <w:highlight w:val="none"/>
                      <w:lang w:val="zh-CN"/>
                      <w14:textFill>
                        <w14:solidFill>
                          <w14:schemeClr w14:val="tx1"/>
                        </w14:solidFill>
                      </w14:textFill>
                    </w:rPr>
                    <w:t>《恶臭污染物排放标准》（GB14554-93）表2 恶臭污染物排放标准值</w:t>
                  </w:r>
                </w:p>
              </w:tc>
            </w:tr>
            <w:tr w14:paraId="1461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74" w:type="pct"/>
                  <w:vMerge w:val="restart"/>
                  <w:noWrap w:val="0"/>
                  <w:vAlign w:val="center"/>
                </w:tcPr>
                <w:p w14:paraId="28358A80">
                  <w:pPr>
                    <w:pStyle w:val="51"/>
                    <w:keepNext w:val="0"/>
                    <w:keepLines w:val="0"/>
                    <w:suppressLineNumbers w:val="0"/>
                    <w:shd w:val="clear" w:color="auto" w:fill="auto"/>
                    <w:spacing w:before="0" w:beforeAutospacing="0" w:after="0" w:afterAutospacing="0"/>
                    <w:ind w:left="0" w:right="0"/>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DA00</w:t>
                  </w:r>
                  <w:r>
                    <w:rPr>
                      <w:rFonts w:hint="default" w:ascii="Times New Roman" w:hAnsi="Times New Roman" w:cs="Times New Roman"/>
                      <w:color w:val="000000" w:themeColor="text1"/>
                      <w:highlight w:val="none"/>
                      <w:lang w:val="en-US" w:eastAsia="zh-CN"/>
                      <w14:textFill>
                        <w14:solidFill>
                          <w14:schemeClr w14:val="tx1"/>
                        </w14:solidFill>
                      </w14:textFill>
                    </w:rPr>
                    <w:t>2</w:t>
                  </w:r>
                </w:p>
              </w:tc>
              <w:tc>
                <w:tcPr>
                  <w:tcW w:w="257" w:type="pct"/>
                  <w:vMerge w:val="restart"/>
                  <w:noWrap w:val="0"/>
                  <w:vAlign w:val="center"/>
                </w:tcPr>
                <w:p w14:paraId="5CFBD942">
                  <w:pPr>
                    <w:pStyle w:val="51"/>
                    <w:keepNext w:val="0"/>
                    <w:keepLines w:val="0"/>
                    <w:suppressLineNumbers w:val="0"/>
                    <w:shd w:val="clear" w:color="auto" w:fill="auto"/>
                    <w:spacing w:before="0" w:beforeAutospacing="0" w:after="0" w:afterAutospacing="0"/>
                    <w:ind w:left="0" w:right="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10</w:t>
                  </w:r>
                </w:p>
              </w:tc>
              <w:tc>
                <w:tcPr>
                  <w:tcW w:w="300" w:type="pct"/>
                  <w:vMerge w:val="restart"/>
                  <w:noWrap w:val="0"/>
                  <w:vAlign w:val="center"/>
                </w:tcPr>
                <w:p w14:paraId="25E7916C">
                  <w:pPr>
                    <w:pStyle w:val="51"/>
                    <w:keepNext w:val="0"/>
                    <w:keepLines w:val="0"/>
                    <w:suppressLineNumbers w:val="0"/>
                    <w:shd w:val="clear" w:color="auto" w:fill="auto"/>
                    <w:spacing w:before="0" w:beforeAutospacing="0" w:after="0" w:afterAutospacing="0"/>
                    <w:ind w:left="0" w:right="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0</w:t>
                  </w:r>
                </w:p>
              </w:tc>
              <w:tc>
                <w:tcPr>
                  <w:tcW w:w="451" w:type="pct"/>
                  <w:vMerge w:val="restart"/>
                  <w:noWrap w:val="0"/>
                  <w:vAlign w:val="center"/>
                </w:tcPr>
                <w:p w14:paraId="3C40ABC8">
                  <w:pPr>
                    <w:pStyle w:val="51"/>
                    <w:keepNext w:val="0"/>
                    <w:keepLines w:val="0"/>
                    <w:suppressLineNumbers w:val="0"/>
                    <w:shd w:val="clear" w:color="auto" w:fill="auto"/>
                    <w:spacing w:before="0" w:beforeAutospacing="0" w:after="0" w:afterAutospacing="0"/>
                    <w:ind w:left="0" w:right="0"/>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天然气燃烧废气</w:t>
                  </w:r>
                </w:p>
              </w:tc>
              <w:tc>
                <w:tcPr>
                  <w:tcW w:w="412" w:type="pct"/>
                  <w:vMerge w:val="restart"/>
                  <w:noWrap w:val="0"/>
                  <w:vAlign w:val="center"/>
                </w:tcPr>
                <w:p w14:paraId="3C775711">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一般排放口</w:t>
                  </w:r>
                </w:p>
              </w:tc>
              <w:tc>
                <w:tcPr>
                  <w:tcW w:w="287" w:type="pct"/>
                  <w:vMerge w:val="restart"/>
                  <w:noWrap w:val="0"/>
                  <w:vAlign w:val="center"/>
                </w:tcPr>
                <w:p w14:paraId="2F5A3069">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15</w:t>
                  </w:r>
                </w:p>
              </w:tc>
              <w:tc>
                <w:tcPr>
                  <w:tcW w:w="330" w:type="pct"/>
                  <w:vMerge w:val="restart"/>
                  <w:noWrap w:val="0"/>
                  <w:vAlign w:val="center"/>
                </w:tcPr>
                <w:p w14:paraId="25741EC5">
                  <w:pPr>
                    <w:pStyle w:val="51"/>
                    <w:keepNext w:val="0"/>
                    <w:keepLines w:val="0"/>
                    <w:suppressLineNumbers w:val="0"/>
                    <w:shd w:val="clear" w:color="auto" w:fill="auto"/>
                    <w:spacing w:before="0" w:beforeAutospacing="0" w:after="0" w:afterAutospacing="0"/>
                    <w:ind w:left="0" w:right="0"/>
                    <w:rPr>
                      <w:rFonts w:hint="default"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2040</w:t>
                  </w:r>
                </w:p>
              </w:tc>
              <w:tc>
                <w:tcPr>
                  <w:tcW w:w="261" w:type="pct"/>
                  <w:vMerge w:val="restart"/>
                  <w:noWrap w:val="0"/>
                  <w:vAlign w:val="center"/>
                </w:tcPr>
                <w:p w14:paraId="31D07EA0">
                  <w:pPr>
                    <w:pStyle w:val="51"/>
                    <w:keepNext w:val="0"/>
                    <w:keepLines w:val="0"/>
                    <w:suppressLineNumbers w:val="0"/>
                    <w:shd w:val="clear" w:color="auto" w:fill="auto"/>
                    <w:spacing w:before="0" w:beforeAutospacing="0" w:after="0" w:afterAutospacing="0"/>
                    <w:ind w:left="0" w:right="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w:t>
                  </w:r>
                </w:p>
              </w:tc>
              <w:tc>
                <w:tcPr>
                  <w:tcW w:w="292" w:type="pct"/>
                  <w:vMerge w:val="restart"/>
                  <w:noWrap w:val="0"/>
                  <w:vAlign w:val="center"/>
                </w:tcPr>
                <w:p w14:paraId="66CAF46E">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w:t>
                  </w:r>
                </w:p>
              </w:tc>
              <w:tc>
                <w:tcPr>
                  <w:tcW w:w="502" w:type="pct"/>
                  <w:noWrap w:val="0"/>
                  <w:vAlign w:val="center"/>
                </w:tcPr>
                <w:p w14:paraId="71A2C88F">
                  <w:pPr>
                    <w:pStyle w:val="51"/>
                    <w:keepNext w:val="0"/>
                    <w:keepLines w:val="0"/>
                    <w:suppressLineNumbers w:val="0"/>
                    <w:shd w:val="clear" w:color="auto" w:fill="auto"/>
                    <w:spacing w:before="0" w:beforeAutospacing="0" w:after="0" w:afterAutospacing="0"/>
                    <w:ind w:left="0" w:right="0"/>
                    <w:rPr>
                      <w:rFonts w:hint="default" w:ascii="Times New Roman" w:hAnsi="Times New Roman" w:eastAsia="宋体" w:cs="Times New Roman"/>
                      <w:color w:val="000000" w:themeColor="text1"/>
                      <w:kern w:val="0"/>
                      <w:highlight w:val="none"/>
                      <w:vertAlign w:val="subscript"/>
                      <w:lang w:val="en-US" w:eastAsia="zh-CN"/>
                      <w14:textFill>
                        <w14:solidFill>
                          <w14:schemeClr w14:val="tx1"/>
                        </w14:solidFill>
                      </w14:textFill>
                    </w:rPr>
                  </w:pPr>
                  <w:r>
                    <w:rPr>
                      <w:rFonts w:hint="default" w:ascii="Times New Roman" w:hAnsi="Times New Roman" w:cs="Times New Roman"/>
                      <w:color w:val="000000" w:themeColor="text1"/>
                      <w:kern w:val="0"/>
                      <w:highlight w:val="none"/>
                      <w:lang w:val="en-US" w:eastAsia="zh-CN"/>
                      <w14:textFill>
                        <w14:solidFill>
                          <w14:schemeClr w14:val="tx1"/>
                        </w14:solidFill>
                      </w14:textFill>
                    </w:rPr>
                    <w:t>SO</w:t>
                  </w:r>
                  <w:r>
                    <w:rPr>
                      <w:rFonts w:hint="default" w:ascii="Times New Roman" w:hAnsi="Times New Roman" w:cs="Times New Roman"/>
                      <w:color w:val="000000" w:themeColor="text1"/>
                      <w:kern w:val="0"/>
                      <w:highlight w:val="none"/>
                      <w:vertAlign w:val="subscript"/>
                      <w:lang w:val="en-US" w:eastAsia="zh-CN"/>
                      <w14:textFill>
                        <w14:solidFill>
                          <w14:schemeClr w14:val="tx1"/>
                        </w14:solidFill>
                      </w14:textFill>
                    </w:rPr>
                    <w:t>2</w:t>
                  </w:r>
                </w:p>
              </w:tc>
              <w:tc>
                <w:tcPr>
                  <w:tcW w:w="1528" w:type="pct"/>
                  <w:vMerge w:val="restart"/>
                  <w:noWrap w:val="0"/>
                  <w:vAlign w:val="center"/>
                </w:tcPr>
                <w:p w14:paraId="7BE0253D">
                  <w:pPr>
                    <w:keepNext w:val="0"/>
                    <w:keepLines w:val="0"/>
                    <w:suppressLineNumbers w:val="0"/>
                    <w:shd w:val="clear" w:color="auto" w:fill="auto"/>
                    <w:adjustRightInd w:val="0"/>
                    <w:snapToGrid w:val="0"/>
                    <w:spacing w:before="0" w:beforeAutospacing="0" w:after="0" w:afterAutospacing="0"/>
                    <w:ind w:left="0" w:right="0"/>
                    <w:jc w:val="both"/>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cs="Times New Roman"/>
                      <w:color w:val="000000" w:themeColor="text1"/>
                      <w:szCs w:val="21"/>
                      <w:highlight w:val="none"/>
                      <w:lang w:eastAsia="zh-CN"/>
                      <w14:textFill>
                        <w14:solidFill>
                          <w14:schemeClr w14:val="tx1"/>
                        </w14:solidFill>
                      </w14:textFill>
                    </w:rPr>
                    <w:t>《工业炉窑大气污染物排放标准》（DB 50/659-2016）</w:t>
                  </w:r>
                </w:p>
              </w:tc>
            </w:tr>
            <w:tr w14:paraId="07D07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74" w:type="pct"/>
                  <w:vMerge w:val="continue"/>
                  <w:noWrap w:val="0"/>
                  <w:vAlign w:val="center"/>
                </w:tcPr>
                <w:p w14:paraId="44A09759">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257" w:type="pct"/>
                  <w:vMerge w:val="continue"/>
                  <w:noWrap w:val="0"/>
                  <w:vAlign w:val="center"/>
                </w:tcPr>
                <w:p w14:paraId="716CEFDB">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300" w:type="pct"/>
                  <w:vMerge w:val="continue"/>
                  <w:noWrap w:val="0"/>
                  <w:vAlign w:val="center"/>
                </w:tcPr>
                <w:p w14:paraId="68942103">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451" w:type="pct"/>
                  <w:vMerge w:val="continue"/>
                  <w:noWrap w:val="0"/>
                  <w:vAlign w:val="center"/>
                </w:tcPr>
                <w:p w14:paraId="1E1F5349">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kern w:val="0"/>
                      <w:highlight w:val="none"/>
                      <w14:textFill>
                        <w14:solidFill>
                          <w14:schemeClr w14:val="tx1"/>
                        </w14:solidFill>
                      </w14:textFill>
                    </w:rPr>
                  </w:pPr>
                </w:p>
              </w:tc>
              <w:tc>
                <w:tcPr>
                  <w:tcW w:w="412" w:type="pct"/>
                  <w:vMerge w:val="continue"/>
                  <w:noWrap w:val="0"/>
                  <w:vAlign w:val="center"/>
                </w:tcPr>
                <w:p w14:paraId="25F10AB7">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287" w:type="pct"/>
                  <w:vMerge w:val="continue"/>
                  <w:noWrap w:val="0"/>
                  <w:vAlign w:val="center"/>
                </w:tcPr>
                <w:p w14:paraId="0E3928E4">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330" w:type="pct"/>
                  <w:vMerge w:val="continue"/>
                  <w:noWrap w:val="0"/>
                  <w:vAlign w:val="center"/>
                </w:tcPr>
                <w:p w14:paraId="3E04ECD0">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261" w:type="pct"/>
                  <w:vMerge w:val="continue"/>
                  <w:noWrap w:val="0"/>
                  <w:vAlign w:val="center"/>
                </w:tcPr>
                <w:p w14:paraId="238B06A8">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292" w:type="pct"/>
                  <w:vMerge w:val="continue"/>
                  <w:noWrap w:val="0"/>
                  <w:vAlign w:val="center"/>
                </w:tcPr>
                <w:p w14:paraId="5336829E">
                  <w:pPr>
                    <w:pStyle w:val="51"/>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502" w:type="pct"/>
                  <w:noWrap w:val="0"/>
                  <w:vAlign w:val="center"/>
                </w:tcPr>
                <w:p w14:paraId="1E65C9A8">
                  <w:pPr>
                    <w:pStyle w:val="51"/>
                    <w:keepNext w:val="0"/>
                    <w:keepLines w:val="0"/>
                    <w:suppressLineNumbers w:val="0"/>
                    <w:shd w:val="clear" w:color="auto" w:fill="auto"/>
                    <w:spacing w:before="0" w:beforeAutospacing="0" w:after="0" w:afterAutospacing="0"/>
                    <w:ind w:left="0" w:right="0"/>
                    <w:rPr>
                      <w:rFonts w:hint="default" w:ascii="Times New Roman" w:hAnsi="Times New Roman" w:eastAsia="宋体" w:cs="Times New Roman"/>
                      <w:color w:val="000000" w:themeColor="text1"/>
                      <w:kern w:val="0"/>
                      <w:highlight w:val="none"/>
                      <w:vertAlign w:val="subscript"/>
                      <w:lang w:val="en-US" w:eastAsia="zh-CN"/>
                      <w14:textFill>
                        <w14:solidFill>
                          <w14:schemeClr w14:val="tx1"/>
                        </w14:solidFill>
                      </w14:textFill>
                    </w:rPr>
                  </w:pPr>
                  <w:r>
                    <w:rPr>
                      <w:rFonts w:hint="default" w:ascii="Times New Roman" w:hAnsi="Times New Roman" w:cs="Times New Roman"/>
                      <w:color w:val="000000" w:themeColor="text1"/>
                      <w:kern w:val="0"/>
                      <w:highlight w:val="none"/>
                      <w:lang w:val="en-US" w:eastAsia="zh-CN"/>
                      <w14:textFill>
                        <w14:solidFill>
                          <w14:schemeClr w14:val="tx1"/>
                        </w14:solidFill>
                      </w14:textFill>
                    </w:rPr>
                    <w:t>NO</w:t>
                  </w:r>
                  <w:r>
                    <w:rPr>
                      <w:rFonts w:hint="default" w:ascii="Times New Roman" w:hAnsi="Times New Roman" w:cs="Times New Roman"/>
                      <w:color w:val="000000" w:themeColor="text1"/>
                      <w:kern w:val="0"/>
                      <w:highlight w:val="none"/>
                      <w:vertAlign w:val="subscript"/>
                      <w:lang w:val="en-US" w:eastAsia="zh-CN"/>
                      <w14:textFill>
                        <w14:solidFill>
                          <w14:schemeClr w14:val="tx1"/>
                        </w14:solidFill>
                      </w14:textFill>
                    </w:rPr>
                    <w:t>X</w:t>
                  </w:r>
                </w:p>
              </w:tc>
              <w:tc>
                <w:tcPr>
                  <w:tcW w:w="1528" w:type="pct"/>
                  <w:vMerge w:val="continue"/>
                  <w:noWrap w:val="0"/>
                  <w:vAlign w:val="center"/>
                </w:tcPr>
                <w:p w14:paraId="2C9BF36F">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szCs w:val="21"/>
                      <w:highlight w:val="none"/>
                      <w14:textFill>
                        <w14:solidFill>
                          <w14:schemeClr w14:val="tx1"/>
                        </w14:solidFill>
                      </w14:textFill>
                    </w:rPr>
                  </w:pPr>
                </w:p>
              </w:tc>
            </w:tr>
            <w:tr w14:paraId="56F9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74" w:type="pct"/>
                  <w:vMerge w:val="continue"/>
                  <w:noWrap w:val="0"/>
                  <w:vAlign w:val="center"/>
                </w:tcPr>
                <w:p w14:paraId="534B1C37">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257" w:type="pct"/>
                  <w:vMerge w:val="continue"/>
                  <w:noWrap w:val="0"/>
                  <w:vAlign w:val="center"/>
                </w:tcPr>
                <w:p w14:paraId="768EAECE">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300" w:type="pct"/>
                  <w:vMerge w:val="continue"/>
                  <w:noWrap w:val="0"/>
                  <w:vAlign w:val="center"/>
                </w:tcPr>
                <w:p w14:paraId="22BF4148">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451" w:type="pct"/>
                  <w:vMerge w:val="continue"/>
                  <w:noWrap w:val="0"/>
                  <w:vAlign w:val="center"/>
                </w:tcPr>
                <w:p w14:paraId="76D6EE54">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412" w:type="pct"/>
                  <w:vMerge w:val="continue"/>
                  <w:noWrap w:val="0"/>
                  <w:vAlign w:val="center"/>
                </w:tcPr>
                <w:p w14:paraId="0CC2F424">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287" w:type="pct"/>
                  <w:vMerge w:val="continue"/>
                  <w:noWrap w:val="0"/>
                  <w:vAlign w:val="center"/>
                </w:tcPr>
                <w:p w14:paraId="7ACC95A4">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330" w:type="pct"/>
                  <w:vMerge w:val="continue"/>
                  <w:noWrap w:val="0"/>
                  <w:vAlign w:val="center"/>
                </w:tcPr>
                <w:p w14:paraId="4942E3BA">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261" w:type="pct"/>
                  <w:vMerge w:val="continue"/>
                  <w:noWrap w:val="0"/>
                  <w:vAlign w:val="center"/>
                </w:tcPr>
                <w:p w14:paraId="650783AC">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292" w:type="pct"/>
                  <w:vMerge w:val="continue"/>
                  <w:noWrap w:val="0"/>
                  <w:vAlign w:val="center"/>
                </w:tcPr>
                <w:p w14:paraId="386F5BF8">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502" w:type="pct"/>
                  <w:noWrap w:val="0"/>
                  <w:vAlign w:val="center"/>
                </w:tcPr>
                <w:p w14:paraId="7BCA9858">
                  <w:pPr>
                    <w:keepNext w:val="0"/>
                    <w:keepLines w:val="0"/>
                    <w:widowControl/>
                    <w:suppressLineNumbers w:val="0"/>
                    <w:shd w:val="clear" w:color="auto" w:fill="auto"/>
                    <w:spacing w:before="0" w:beforeAutospacing="0" w:after="0" w:afterAutospacing="0"/>
                    <w:ind w:left="0" w:right="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颗粒物</w:t>
                  </w:r>
                </w:p>
              </w:tc>
              <w:tc>
                <w:tcPr>
                  <w:tcW w:w="1528" w:type="pct"/>
                  <w:vMerge w:val="continue"/>
                  <w:noWrap w:val="0"/>
                  <w:vAlign w:val="center"/>
                </w:tcPr>
                <w:p w14:paraId="5319F04A">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highlight w:val="none"/>
                      <w14:textFill>
                        <w14:solidFill>
                          <w14:schemeClr w14:val="tx1"/>
                        </w14:solidFill>
                      </w14:textFill>
                    </w:rPr>
                  </w:pPr>
                </w:p>
              </w:tc>
            </w:tr>
            <w:tr w14:paraId="477D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1"/>
                  <w:noWrap w:val="0"/>
                  <w:vAlign w:val="center"/>
                </w:tcPr>
                <w:p w14:paraId="5F46C3D0">
                  <w:pPr>
                    <w:pStyle w:val="5"/>
                    <w:keepLines w:val="0"/>
                    <w:suppressLineNumbers w:val="0"/>
                    <w:shd w:val="clear" w:color="auto" w:fill="auto"/>
                    <w:tabs>
                      <w:tab w:val="left" w:pos="2030"/>
                      <w:tab w:val="center" w:pos="6718"/>
                    </w:tabs>
                    <w:spacing w:before="0" w:beforeAutospacing="0" w:after="0" w:afterAutospacing="0" w:line="240" w:lineRule="auto"/>
                    <w:ind w:left="0" w:right="0"/>
                    <w:jc w:val="left"/>
                    <w:outlineLvl w:val="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注：注：以项目厂</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房</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西北侧顶点为中心（X=0，Y=0），东西方向为X轴、南北方向为Y轴。</w:t>
                  </w:r>
                </w:p>
              </w:tc>
            </w:tr>
          </w:tbl>
          <w:p w14:paraId="6CBC11FE">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b/>
                <w:bCs/>
                <w:color w:val="000000" w:themeColor="text1"/>
                <w:sz w:val="24"/>
                <w:highlight w:val="none"/>
                <w14:textFill>
                  <w14:solidFill>
                    <w14:schemeClr w14:val="tx1"/>
                  </w14:solidFill>
                </w14:textFill>
              </w:rPr>
            </w:pPr>
            <w:r>
              <w:rPr>
                <w:rFonts w:hint="eastAsia"/>
                <w:b/>
                <w:bCs/>
                <w:color w:val="000000" w:themeColor="text1"/>
                <w:spacing w:val="-10"/>
                <w:sz w:val="24"/>
                <w:highlight w:val="none"/>
                <w:lang w:val="en-US" w:eastAsia="zh-CN"/>
                <w14:textFill>
                  <w14:solidFill>
                    <w14:schemeClr w14:val="tx1"/>
                  </w14:solidFill>
                </w14:textFill>
              </w:rPr>
              <w:t>1.4、</w:t>
            </w:r>
            <w:r>
              <w:rPr>
                <w:rFonts w:hint="default"/>
                <w:b/>
                <w:bCs/>
                <w:color w:val="000000" w:themeColor="text1"/>
                <w:spacing w:val="-10"/>
                <w:sz w:val="24"/>
                <w:highlight w:val="none"/>
                <w14:textFill>
                  <w14:solidFill>
                    <w14:schemeClr w14:val="tx1"/>
                  </w14:solidFill>
                </w14:textFill>
              </w:rPr>
              <w:t>废气治理设施可行性及达标分析</w:t>
            </w:r>
          </w:p>
          <w:p w14:paraId="5BFE18E2">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①废气治理设施可行性分析</w:t>
            </w:r>
          </w:p>
          <w:p w14:paraId="643A513C">
            <w:pPr>
              <w:pStyle w:val="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color w:val="000000" w:themeColor="text1"/>
                <w:vertAlign w:val="baseline"/>
                <w:lang w:val="en-US" w:eastAsia="zh-CN"/>
                <w14:textFill>
                  <w14:solidFill>
                    <w14:schemeClr w14:val="tx1"/>
                  </w14:solidFill>
                </w14:textFill>
              </w:rPr>
              <w:t>天然气燃烧采用低氮燃烧技术</w:t>
            </w:r>
            <w:r>
              <w:rPr>
                <w:rFonts w:hint="eastAsia" w:ascii="Times New Roman" w:cs="Times New Roman"/>
                <w:color w:val="000000" w:themeColor="text1"/>
                <w:vertAlign w:val="baseline"/>
                <w:lang w:val="en-US" w:eastAsia="zh-CN"/>
                <w14:textFill>
                  <w14:solidFill>
                    <w14:schemeClr w14:val="tx1"/>
                  </w14:solidFill>
                </w14:textFill>
              </w:rPr>
              <w:t>。</w:t>
            </w:r>
          </w:p>
          <w:p w14:paraId="7F6FC165">
            <w:pPr>
              <w:pStyle w:val="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eastAsia" w:ascii="Times New Roman" w:cs="Times New Roman"/>
                <w:b w:val="0"/>
                <w:bCs w:val="0"/>
                <w:color w:val="000000" w:themeColor="text1"/>
                <w:vertAlign w:val="baseline"/>
                <w:lang w:val="en-US" w:eastAsia="zh-CN"/>
                <w14:textFill>
                  <w14:solidFill>
                    <w14:schemeClr w14:val="tx1"/>
                  </w14:solidFill>
                </w14:textFill>
              </w:rPr>
              <w:t>项目喷涂生产均在密闭房间内进行，废气采用“水帘湿式去漆雾+高分子过滤盒</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+干式过滤棉+二级活性炭吸附</w:t>
            </w:r>
            <w:r>
              <w:rPr>
                <w:rFonts w:hint="eastAsia" w:ascii="Times New Roman" w:cs="Times New Roman"/>
                <w:b w:val="0"/>
                <w:bCs w:val="0"/>
                <w:color w:val="000000" w:themeColor="text1"/>
                <w:vertAlign w:val="baseline"/>
                <w:lang w:val="en-US" w:eastAsia="zh-CN"/>
                <w14:textFill>
                  <w14:solidFill>
                    <w14:schemeClr w14:val="tx1"/>
                  </w14:solidFill>
                </w14:textFill>
              </w:rPr>
              <w:t>”</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处理达标后经1根15m高排气筒排放（DA001）</w:t>
            </w:r>
            <w:r>
              <w:rPr>
                <w:rFonts w:hint="eastAsia" w:ascii="Times New Roman" w:cs="Times New Roman"/>
                <w:b w:val="0"/>
                <w:bCs w:val="0"/>
                <w:color w:val="000000" w:themeColor="text1"/>
                <w:vertAlign w:val="baseline"/>
                <w:lang w:val="en-US" w:eastAsia="zh-CN"/>
                <w14:textFill>
                  <w14:solidFill>
                    <w14:schemeClr w14:val="tx1"/>
                  </w14:solidFill>
                </w14:textFill>
              </w:rPr>
              <w:t>。高分子过滤盒内填充双层高分子过滤棉。</w:t>
            </w:r>
          </w:p>
          <w:p w14:paraId="038B8AD7">
            <w:pPr>
              <w:pStyle w:val="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参照《排污许可证申请与核发技术规范 铁路、船舶、航空航天和其他运输设备制造业》（HJ1124-2020）</w:t>
            </w:r>
            <w:r>
              <w:rPr>
                <w:rFonts w:hint="eastAsia" w:ascii="Times New Roman" w:cs="Times New Roman"/>
                <w:b w:val="0"/>
                <w:bCs w:val="0"/>
                <w:color w:val="000000" w:themeColor="text1"/>
                <w:vertAlign w:val="baseline"/>
                <w:lang w:val="en-US" w:eastAsia="zh-CN"/>
                <w14:textFill>
                  <w14:solidFill>
                    <w14:schemeClr w14:val="tx1"/>
                  </w14:solidFill>
                </w14:textFill>
              </w:rPr>
              <w:t>，天然气可采取低氮燃烧，喷涂废气中颗粒物可采取</w:t>
            </w:r>
            <w:r>
              <w:rPr>
                <w:rFonts w:hint="eastAsia" w:ascii="Times New Roman" w:cs="Times New Roman"/>
                <w:color w:val="000000" w:themeColor="text1"/>
                <w14:textFill>
                  <w14:solidFill>
                    <w14:schemeClr w14:val="tx1"/>
                  </w14:solidFill>
                </w14:textFill>
              </w:rPr>
              <w:t>水帘湿式漆雾净化</w:t>
            </w:r>
            <w:r>
              <w:rPr>
                <w:rFonts w:hint="eastAsia" w:ascii="Times New Roman" w:cs="Times New Roman"/>
                <w:b w:val="0"/>
                <w:bCs w:val="0"/>
                <w:color w:val="000000" w:themeColor="text1"/>
                <w:vertAlign w:val="baseline"/>
                <w:lang w:val="en-US" w:eastAsia="zh-CN"/>
                <w14:textFill>
                  <w14:solidFill>
                    <w14:schemeClr w14:val="tx1"/>
                  </w14:solidFill>
                </w14:textFill>
              </w:rPr>
              <w:t>、化学纤维等处理工艺，喷涂废气中非甲烷总烃可采取吸附技术，因此本项目采用的工艺属于</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《排污许可证申请与核发技术规范 铁路、船舶、航空航天和其他运输设备制造业》（HJ1124-2020）</w:t>
            </w:r>
            <w:r>
              <w:rPr>
                <w:rFonts w:hint="default" w:ascii="Times New Roman" w:hAnsi="Times New Roman" w:cs="Times New Roman"/>
                <w:color w:val="000000" w:themeColor="text1"/>
                <w:vertAlign w:val="baseline"/>
                <w:lang w:val="en-US" w:eastAsia="zh-CN"/>
                <w14:textFill>
                  <w14:solidFill>
                    <w14:schemeClr w14:val="tx1"/>
                  </w14:solidFill>
                </w14:textFill>
              </w:rPr>
              <w:t>中推荐工艺，技术可行</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w:t>
            </w:r>
          </w:p>
          <w:p w14:paraId="036080CB">
            <w:pPr>
              <w:pStyle w:val="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 w:val="0"/>
                <w:bCs w:val="0"/>
                <w:color w:val="000000" w:themeColor="text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本项目产生的挥发性有机化合物收集量为2.214t/a，活性炭按照5倍产生量来算，则活性炭使用量为11.07t/a，废活性炭吸附量为1.66t/a，则废活性炭产生量为12.73t/a，本项目活性炭处理装置每次活性炭装箱量约3.18t，活性炭更换频次不得少于3个月，活性炭碘值不低于800mg/g。</w:t>
            </w:r>
          </w:p>
          <w:p w14:paraId="76BF5B21">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eastAsia="宋体"/>
                <w:color w:val="000000" w:themeColor="text1"/>
                <w:vertAlign w:val="baseline"/>
                <w:lang w:val="en-US" w:eastAsia="zh-CN"/>
                <w14:textFill>
                  <w14:solidFill>
                    <w14:schemeClr w14:val="tx1"/>
                  </w14:solidFill>
                </w14:textFill>
              </w:rPr>
            </w:pPr>
          </w:p>
        </w:tc>
      </w:tr>
    </w:tbl>
    <w:p w14:paraId="23DAF358">
      <w:pPr>
        <w:rPr>
          <w:color w:val="000000" w:themeColor="text1"/>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8576"/>
      </w:tblGrid>
      <w:tr w14:paraId="5D194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2" w:hRule="atLeast"/>
          <w:jc w:val="center"/>
        </w:trPr>
        <w:tc>
          <w:tcPr>
            <w:tcW w:w="495" w:type="dxa"/>
            <w:vAlign w:val="center"/>
          </w:tcPr>
          <w:p w14:paraId="35A66827">
            <w:pPr>
              <w:pStyle w:val="2"/>
              <w:keepNext w:val="0"/>
              <w:keepLines w:val="0"/>
              <w:suppressLineNumbers w:val="0"/>
              <w:spacing w:before="0" w:beforeAutospacing="0" w:after="0" w:afterAutospacing="0"/>
              <w:ind w:left="0" w:right="0"/>
              <w:jc w:val="center"/>
              <w:rPr>
                <w:rFonts w:hint="default"/>
                <w:color w:val="000000" w:themeColor="text1"/>
                <w:vertAlign w:val="baseline"/>
                <w14:textFill>
                  <w14:solidFill>
                    <w14:schemeClr w14:val="tx1"/>
                  </w14:solidFill>
                </w14:textFill>
              </w:rPr>
            </w:pPr>
            <w:r>
              <w:rPr>
                <w:rFonts w:hint="default"/>
                <w:bCs/>
                <w:color w:val="000000" w:themeColor="text1"/>
                <w:sz w:val="24"/>
                <w:highlight w:val="none"/>
                <w14:textFill>
                  <w14:solidFill>
                    <w14:schemeClr w14:val="tx1"/>
                  </w14:solidFill>
                </w14:textFill>
              </w:rPr>
              <w:t>运营期环境影响和保护措</w:t>
            </w:r>
          </w:p>
        </w:tc>
        <w:tc>
          <w:tcPr>
            <w:tcW w:w="8576" w:type="dxa"/>
            <w:vAlign w:val="top"/>
          </w:tcPr>
          <w:p w14:paraId="68E2A12A">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②排气筒废气达标分析</w:t>
            </w:r>
          </w:p>
          <w:p w14:paraId="1CE41C5C">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排气筒排放污染物达标情况见表4-</w:t>
            </w:r>
            <w:r>
              <w:rPr>
                <w:rFonts w:hint="default"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14:textFill>
                  <w14:solidFill>
                    <w14:schemeClr w14:val="tx1"/>
                  </w14:solidFill>
                </w14:textFill>
              </w:rPr>
              <w:t>。</w:t>
            </w:r>
          </w:p>
          <w:p w14:paraId="5BFFD2CE">
            <w:pPr>
              <w:pStyle w:val="8"/>
              <w:keepNext w:val="0"/>
              <w:keepLines w:val="0"/>
              <w:pageBreakBefore w:val="0"/>
              <w:widowControl w:val="0"/>
              <w:suppressLineNumbers w:val="0"/>
              <w:shd w:val="clear" w:color="auto" w:fill="auto"/>
              <w:kinsoku/>
              <w:wordWrap/>
              <w:overflowPunct/>
              <w:topLinePunct w:val="0"/>
              <w:bidi w:val="0"/>
              <w:spacing w:before="0" w:beforeAutospacing="0" w:after="0" w:afterAutospacing="0" w:line="360" w:lineRule="auto"/>
              <w:ind w:left="0" w:right="0" w:firstLine="0" w:firstLineChars="0"/>
              <w:jc w:val="center"/>
              <w:textAlignment w:val="auto"/>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表4-3 排气筒排放污染物达标情况</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579"/>
              <w:gridCol w:w="900"/>
              <w:gridCol w:w="815"/>
              <w:gridCol w:w="846"/>
              <w:gridCol w:w="2046"/>
              <w:gridCol w:w="834"/>
              <w:gridCol w:w="681"/>
              <w:gridCol w:w="578"/>
            </w:tblGrid>
            <w:tr w14:paraId="46F7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tcBorders>
                    <w:tl2br w:val="nil"/>
                    <w:tr2bl w:val="nil"/>
                  </w:tcBorders>
                  <w:noWrap w:val="0"/>
                  <w:vAlign w:val="center"/>
                </w:tcPr>
                <w:p w14:paraId="59B253DC">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污染源</w:t>
                  </w:r>
                </w:p>
              </w:tc>
              <w:tc>
                <w:tcPr>
                  <w:tcW w:w="364" w:type="pct"/>
                  <w:tcBorders>
                    <w:tl2br w:val="nil"/>
                    <w:tr2bl w:val="nil"/>
                  </w:tcBorders>
                  <w:noWrap w:val="0"/>
                  <w:vAlign w:val="center"/>
                </w:tcPr>
                <w:p w14:paraId="38D96908">
                  <w:pPr>
                    <w:keepNext w:val="0"/>
                    <w:keepLines w:val="0"/>
                    <w:suppressLineNumbers w:val="0"/>
                    <w:shd w:val="clear" w:color="auto" w:fill="auto"/>
                    <w:adjustRightInd w:val="0"/>
                    <w:snapToGrid w:val="0"/>
                    <w:spacing w:before="0" w:beforeAutospacing="0" w:after="0" w:afterAutospacing="0"/>
                    <w:ind w:left="0" w:right="0"/>
                    <w:jc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工序</w:t>
                  </w:r>
                </w:p>
              </w:tc>
              <w:tc>
                <w:tcPr>
                  <w:tcW w:w="566" w:type="pct"/>
                  <w:tcBorders>
                    <w:tl2br w:val="nil"/>
                    <w:tr2bl w:val="nil"/>
                  </w:tcBorders>
                  <w:noWrap w:val="0"/>
                  <w:vAlign w:val="center"/>
                </w:tcPr>
                <w:p w14:paraId="41A14506">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污染物</w:t>
                  </w:r>
                </w:p>
              </w:tc>
              <w:tc>
                <w:tcPr>
                  <w:tcW w:w="513" w:type="pct"/>
                  <w:tcBorders>
                    <w:tl2br w:val="nil"/>
                    <w:tr2bl w:val="nil"/>
                  </w:tcBorders>
                  <w:noWrap w:val="0"/>
                  <w:vAlign w:val="center"/>
                </w:tcPr>
                <w:p w14:paraId="0537D78B">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排放浓度mg/m</w:t>
                  </w:r>
                  <w:r>
                    <w:rPr>
                      <w:rFonts w:hint="default"/>
                      <w:b/>
                      <w:bCs/>
                      <w:color w:val="000000" w:themeColor="text1"/>
                      <w:sz w:val="21"/>
                      <w:szCs w:val="21"/>
                      <w:highlight w:val="none"/>
                      <w:vertAlign w:val="superscript"/>
                      <w14:textFill>
                        <w14:solidFill>
                          <w14:schemeClr w14:val="tx1"/>
                        </w14:solidFill>
                      </w14:textFill>
                    </w:rPr>
                    <w:t>3</w:t>
                  </w:r>
                </w:p>
              </w:tc>
              <w:tc>
                <w:tcPr>
                  <w:tcW w:w="532" w:type="pct"/>
                  <w:tcBorders>
                    <w:tl2br w:val="nil"/>
                    <w:tr2bl w:val="nil"/>
                  </w:tcBorders>
                  <w:noWrap w:val="0"/>
                  <w:vAlign w:val="center"/>
                </w:tcPr>
                <w:p w14:paraId="60ACA845">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排放速率kg/h</w:t>
                  </w:r>
                </w:p>
              </w:tc>
              <w:tc>
                <w:tcPr>
                  <w:tcW w:w="1288" w:type="pct"/>
                  <w:tcBorders>
                    <w:tl2br w:val="nil"/>
                    <w:tr2bl w:val="nil"/>
                  </w:tcBorders>
                  <w:noWrap w:val="0"/>
                  <w:vAlign w:val="center"/>
                </w:tcPr>
                <w:p w14:paraId="7384F5EC">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执行标准</w:t>
                  </w:r>
                </w:p>
              </w:tc>
              <w:tc>
                <w:tcPr>
                  <w:tcW w:w="525" w:type="pct"/>
                  <w:tcBorders>
                    <w:tl2br w:val="nil"/>
                    <w:tr2bl w:val="nil"/>
                  </w:tcBorders>
                  <w:noWrap w:val="0"/>
                  <w:vAlign w:val="center"/>
                </w:tcPr>
                <w:p w14:paraId="411458E2">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浓度限值mg/m</w:t>
                  </w:r>
                  <w:r>
                    <w:rPr>
                      <w:rFonts w:hint="default"/>
                      <w:b/>
                      <w:bCs/>
                      <w:color w:val="000000" w:themeColor="text1"/>
                      <w:sz w:val="21"/>
                      <w:szCs w:val="21"/>
                      <w:highlight w:val="none"/>
                      <w:vertAlign w:val="superscript"/>
                      <w14:textFill>
                        <w14:solidFill>
                          <w14:schemeClr w14:val="tx1"/>
                        </w14:solidFill>
                      </w14:textFill>
                    </w:rPr>
                    <w:t>3</w:t>
                  </w:r>
                </w:p>
              </w:tc>
              <w:tc>
                <w:tcPr>
                  <w:tcW w:w="429" w:type="pct"/>
                  <w:tcBorders>
                    <w:tl2br w:val="nil"/>
                    <w:tr2bl w:val="nil"/>
                  </w:tcBorders>
                  <w:noWrap w:val="0"/>
                  <w:vAlign w:val="center"/>
                </w:tcPr>
                <w:p w14:paraId="07E12B6A">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速率限值</w:t>
                  </w:r>
                </w:p>
                <w:p w14:paraId="0033E7C0">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kg/h</w:t>
                  </w:r>
                </w:p>
              </w:tc>
              <w:tc>
                <w:tcPr>
                  <w:tcW w:w="364" w:type="pct"/>
                  <w:tcBorders>
                    <w:tl2br w:val="nil"/>
                    <w:tr2bl w:val="nil"/>
                  </w:tcBorders>
                  <w:noWrap w:val="0"/>
                  <w:vAlign w:val="center"/>
                </w:tcPr>
                <w:p w14:paraId="76521523">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达标</w:t>
                  </w:r>
                </w:p>
                <w:p w14:paraId="27EBE5F9">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情况</w:t>
                  </w:r>
                </w:p>
              </w:tc>
            </w:tr>
            <w:tr w14:paraId="2B12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vMerge w:val="restart"/>
                  <w:tcBorders>
                    <w:tl2br w:val="nil"/>
                    <w:tr2bl w:val="nil"/>
                  </w:tcBorders>
                  <w:noWrap w:val="0"/>
                  <w:vAlign w:val="center"/>
                </w:tcPr>
                <w:p w14:paraId="557AF85F">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DA</w:t>
                  </w:r>
                </w:p>
                <w:p w14:paraId="2000FEEF">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00</w:t>
                  </w:r>
                  <w:r>
                    <w:rPr>
                      <w:rFonts w:hint="eastAsia" w:ascii="Times New Roman" w:cs="Times New Roman"/>
                      <w:color w:val="000000" w:themeColor="text1"/>
                      <w:sz w:val="21"/>
                      <w:szCs w:val="21"/>
                      <w:highlight w:val="none"/>
                      <w:lang w:val="en-US" w:eastAsia="zh-CN"/>
                      <w14:textFill>
                        <w14:solidFill>
                          <w14:schemeClr w14:val="tx1"/>
                        </w14:solidFill>
                      </w14:textFill>
                    </w:rPr>
                    <w:t>1*</w:t>
                  </w:r>
                </w:p>
              </w:tc>
              <w:tc>
                <w:tcPr>
                  <w:tcW w:w="364" w:type="pct"/>
                  <w:vMerge w:val="restart"/>
                  <w:tcBorders>
                    <w:tl2br w:val="nil"/>
                    <w:tr2bl w:val="nil"/>
                  </w:tcBorders>
                  <w:noWrap w:val="0"/>
                  <w:vAlign w:val="center"/>
                </w:tcPr>
                <w:p w14:paraId="59B6839A">
                  <w:pPr>
                    <w:keepNext w:val="0"/>
                    <w:keepLines w:val="0"/>
                    <w:widowControl/>
                    <w:suppressLineNumbers w:val="0"/>
                    <w:shd w:val="clear" w:color="auto" w:fill="auto"/>
                    <w:spacing w:before="0" w:beforeAutospacing="0" w:after="0" w:afterAutospacing="0"/>
                    <w:ind w:left="0" w:right="0"/>
                    <w:jc w:val="center"/>
                    <w:textAlignment w:val="center"/>
                    <w:rPr>
                      <w:rFonts w:hint="default"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喷涂</w:t>
                  </w:r>
                </w:p>
              </w:tc>
              <w:tc>
                <w:tcPr>
                  <w:tcW w:w="566" w:type="pct"/>
                  <w:tcBorders>
                    <w:tl2br w:val="nil"/>
                    <w:tr2bl w:val="nil"/>
                  </w:tcBorders>
                  <w:noWrap w:val="0"/>
                  <w:vAlign w:val="center"/>
                </w:tcPr>
                <w:p w14:paraId="59C4F032">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非甲烷总烃</w:t>
                  </w:r>
                </w:p>
              </w:tc>
              <w:tc>
                <w:tcPr>
                  <w:tcW w:w="513" w:type="pct"/>
                  <w:tcBorders>
                    <w:tl2br w:val="nil"/>
                    <w:tr2bl w:val="nil"/>
                  </w:tcBorders>
                  <w:noWrap w:val="0"/>
                  <w:vAlign w:val="center"/>
                </w:tcPr>
                <w:p w14:paraId="4ACD9755">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22.17 </w:t>
                  </w:r>
                </w:p>
              </w:tc>
              <w:tc>
                <w:tcPr>
                  <w:tcW w:w="532" w:type="pct"/>
                  <w:tcBorders>
                    <w:tl2br w:val="nil"/>
                    <w:tr2bl w:val="nil"/>
                  </w:tcBorders>
                  <w:noWrap w:val="0"/>
                  <w:vAlign w:val="center"/>
                </w:tcPr>
                <w:p w14:paraId="7942DA51">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 xml:space="preserve">0.665 </w:t>
                  </w:r>
                </w:p>
              </w:tc>
              <w:tc>
                <w:tcPr>
                  <w:tcW w:w="1288" w:type="pct"/>
                  <w:vMerge w:val="restart"/>
                  <w:tcBorders>
                    <w:tl2br w:val="nil"/>
                    <w:tr2bl w:val="nil"/>
                  </w:tcBorders>
                  <w:noWrap w:val="0"/>
                  <w:vAlign w:val="center"/>
                </w:tcPr>
                <w:p w14:paraId="5C6A2411">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《摩托车及汽车配件制造表面涂装大气污染物排放标准》（DB 50/660-2016）</w:t>
                  </w:r>
                </w:p>
              </w:tc>
              <w:tc>
                <w:tcPr>
                  <w:tcW w:w="525" w:type="pct"/>
                  <w:tcBorders>
                    <w:tl2br w:val="nil"/>
                    <w:tr2bl w:val="nil"/>
                  </w:tcBorders>
                  <w:noWrap w:val="0"/>
                  <w:vAlign w:val="center"/>
                </w:tcPr>
                <w:p w14:paraId="05CE93D6">
                  <w:pPr>
                    <w:pStyle w:val="54"/>
                    <w:keepNext w:val="0"/>
                    <w:keepLines w:val="0"/>
                    <w:suppressLineNumbers w:val="0"/>
                    <w:shd w:val="clear" w:color="auto" w:fill="auto"/>
                    <w:spacing w:before="0" w:beforeAutospacing="0" w:after="0" w:afterAutospacing="0" w:line="240" w:lineRule="auto"/>
                    <w:ind w:left="0" w:right="0"/>
                    <w:rPr>
                      <w:rFonts w:hint="default" w:hAnsi="Times New Roman" w:eastAsiaTheme="minorEastAsia"/>
                      <w:color w:val="000000" w:themeColor="text1"/>
                      <w:sz w:val="21"/>
                      <w:szCs w:val="21"/>
                      <w:highlight w:val="none"/>
                      <w:lang w:val="en-US" w:eastAsia="zh-CN"/>
                      <w14:textFill>
                        <w14:solidFill>
                          <w14:schemeClr w14:val="tx1"/>
                        </w14:solidFill>
                      </w14:textFill>
                    </w:rPr>
                  </w:pPr>
                  <w:r>
                    <w:rPr>
                      <w:rFonts w:hint="eastAsia" w:hAnsi="Times New Roman"/>
                      <w:color w:val="000000" w:themeColor="text1"/>
                      <w:sz w:val="21"/>
                      <w:szCs w:val="21"/>
                      <w:highlight w:val="none"/>
                      <w:lang w:val="en-US" w:eastAsia="zh-CN"/>
                      <w14:textFill>
                        <w14:solidFill>
                          <w14:schemeClr w14:val="tx1"/>
                        </w14:solidFill>
                      </w14:textFill>
                    </w:rPr>
                    <w:t>60</w:t>
                  </w:r>
                </w:p>
              </w:tc>
              <w:tc>
                <w:tcPr>
                  <w:tcW w:w="429" w:type="pct"/>
                  <w:tcBorders>
                    <w:tl2br w:val="nil"/>
                    <w:tr2bl w:val="nil"/>
                  </w:tcBorders>
                  <w:noWrap w:val="0"/>
                  <w:vAlign w:val="center"/>
                </w:tcPr>
                <w:p w14:paraId="2A2FB100">
                  <w:pPr>
                    <w:keepNext w:val="0"/>
                    <w:keepLines w:val="0"/>
                    <w:suppressLineNumbers w:val="0"/>
                    <w:shd w:val="clear" w:color="auto" w:fill="auto"/>
                    <w:adjustRightInd w:val="0"/>
                    <w:snapToGrid w:val="0"/>
                    <w:spacing w:before="0" w:beforeAutospacing="0" w:after="0" w:afterAutospacing="0"/>
                    <w:ind w:left="0" w:right="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p>
              </w:tc>
              <w:tc>
                <w:tcPr>
                  <w:tcW w:w="364" w:type="pct"/>
                  <w:tcBorders>
                    <w:tl2br w:val="nil"/>
                    <w:tr2bl w:val="nil"/>
                  </w:tcBorders>
                  <w:noWrap w:val="0"/>
                  <w:vAlign w:val="center"/>
                </w:tcPr>
                <w:p w14:paraId="7FAF0928">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r>
            <w:tr w14:paraId="2313D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14" w:type="pct"/>
                  <w:vMerge w:val="continue"/>
                  <w:tcBorders>
                    <w:tl2br w:val="nil"/>
                    <w:tr2bl w:val="nil"/>
                  </w:tcBorders>
                  <w:noWrap w:val="0"/>
                  <w:vAlign w:val="center"/>
                </w:tcPr>
                <w:p w14:paraId="4E833A45">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4" w:type="pct"/>
                  <w:vMerge w:val="continue"/>
                  <w:tcBorders>
                    <w:tl2br w:val="nil"/>
                    <w:tr2bl w:val="nil"/>
                  </w:tcBorders>
                  <w:noWrap w:val="0"/>
                  <w:vAlign w:val="center"/>
                </w:tcPr>
                <w:p w14:paraId="5EC1DFF3">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kern w:val="0"/>
                      <w:sz w:val="21"/>
                      <w:szCs w:val="21"/>
                      <w:highlight w:val="none"/>
                      <w14:textFill>
                        <w14:solidFill>
                          <w14:schemeClr w14:val="tx1"/>
                        </w14:solidFill>
                      </w14:textFill>
                    </w:rPr>
                  </w:pPr>
                </w:p>
              </w:tc>
              <w:tc>
                <w:tcPr>
                  <w:tcW w:w="566" w:type="pct"/>
                  <w:tcBorders>
                    <w:tl2br w:val="nil"/>
                    <w:tr2bl w:val="nil"/>
                  </w:tcBorders>
                  <w:noWrap w:val="0"/>
                  <w:vAlign w:val="center"/>
                </w:tcPr>
                <w:p w14:paraId="4F0344D0">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颗粒物</w:t>
                  </w:r>
                </w:p>
              </w:tc>
              <w:tc>
                <w:tcPr>
                  <w:tcW w:w="513" w:type="pct"/>
                  <w:tcBorders>
                    <w:tl2br w:val="nil"/>
                    <w:tr2bl w:val="nil"/>
                  </w:tcBorders>
                  <w:noWrap w:val="0"/>
                  <w:vAlign w:val="center"/>
                </w:tcPr>
                <w:p w14:paraId="1BF85C45">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14.83 </w:t>
                  </w:r>
                </w:p>
              </w:tc>
              <w:tc>
                <w:tcPr>
                  <w:tcW w:w="532" w:type="pct"/>
                  <w:tcBorders>
                    <w:tl2br w:val="nil"/>
                    <w:tr2bl w:val="nil"/>
                  </w:tcBorders>
                  <w:noWrap w:val="0"/>
                  <w:vAlign w:val="center"/>
                </w:tcPr>
                <w:p w14:paraId="26E6D346">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lang w:val="en-US" w:eastAsia="zh-CN"/>
                      <w14:textFill>
                        <w14:solidFill>
                          <w14:schemeClr w14:val="tx1"/>
                        </w14:solidFill>
                      </w14:textFill>
                    </w:rPr>
                    <w:t xml:space="preserve">0.445 </w:t>
                  </w:r>
                </w:p>
              </w:tc>
              <w:tc>
                <w:tcPr>
                  <w:tcW w:w="1288" w:type="pct"/>
                  <w:vMerge w:val="continue"/>
                  <w:tcBorders>
                    <w:tl2br w:val="nil"/>
                    <w:tr2bl w:val="nil"/>
                  </w:tcBorders>
                  <w:noWrap w:val="0"/>
                  <w:vAlign w:val="center"/>
                </w:tcPr>
                <w:p w14:paraId="013E688A">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525" w:type="pct"/>
                  <w:tcBorders>
                    <w:tl2br w:val="nil"/>
                    <w:tr2bl w:val="nil"/>
                  </w:tcBorders>
                  <w:noWrap w:val="0"/>
                  <w:vAlign w:val="center"/>
                </w:tcPr>
                <w:p w14:paraId="55166744">
                  <w:pPr>
                    <w:keepNext w:val="0"/>
                    <w:keepLines w:val="0"/>
                    <w:suppressLineNumbers w:val="0"/>
                    <w:shd w:val="clear" w:color="auto" w:fill="auto"/>
                    <w:adjustRightInd w:val="0"/>
                    <w:snapToGrid w:val="0"/>
                    <w:spacing w:before="0" w:beforeAutospacing="0" w:after="0" w:afterAutospacing="0"/>
                    <w:ind w:left="0" w:right="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429" w:type="pct"/>
                  <w:tcBorders>
                    <w:tl2br w:val="nil"/>
                    <w:tr2bl w:val="nil"/>
                  </w:tcBorders>
                  <w:noWrap w:val="0"/>
                  <w:vAlign w:val="center"/>
                </w:tcPr>
                <w:p w14:paraId="65EA3734">
                  <w:pPr>
                    <w:keepNext w:val="0"/>
                    <w:keepLines w:val="0"/>
                    <w:suppressLineNumbers w:val="0"/>
                    <w:shd w:val="clear" w:color="auto" w:fill="auto"/>
                    <w:adjustRightInd w:val="0"/>
                    <w:snapToGrid w:val="0"/>
                    <w:spacing w:before="0" w:beforeAutospacing="0" w:after="0" w:afterAutospacing="0"/>
                    <w:ind w:left="0" w:right="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3.7</w:t>
                  </w:r>
                </w:p>
              </w:tc>
              <w:tc>
                <w:tcPr>
                  <w:tcW w:w="364" w:type="pct"/>
                  <w:tcBorders>
                    <w:tl2br w:val="nil"/>
                    <w:tr2bl w:val="nil"/>
                  </w:tcBorders>
                  <w:noWrap w:val="0"/>
                  <w:vAlign w:val="center"/>
                </w:tcPr>
                <w:p w14:paraId="665AFC88">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r>
            <w:tr w14:paraId="21B8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414" w:type="pct"/>
                  <w:vMerge w:val="continue"/>
                  <w:tcBorders>
                    <w:tl2br w:val="nil"/>
                    <w:tr2bl w:val="nil"/>
                  </w:tcBorders>
                  <w:noWrap w:val="0"/>
                  <w:vAlign w:val="center"/>
                </w:tcPr>
                <w:p w14:paraId="3FCA4D04">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364" w:type="pct"/>
                  <w:vMerge w:val="continue"/>
                  <w:tcBorders>
                    <w:tl2br w:val="nil"/>
                    <w:tr2bl w:val="nil"/>
                  </w:tcBorders>
                  <w:noWrap w:val="0"/>
                  <w:vAlign w:val="center"/>
                </w:tcPr>
                <w:p w14:paraId="44BE2ECD">
                  <w:pPr>
                    <w:keepNext w:val="0"/>
                    <w:keepLines w:val="0"/>
                    <w:suppressLineNumbers w:val="0"/>
                    <w:shd w:val="clear" w:color="auto" w:fill="auto"/>
                    <w:adjustRightInd w:val="0"/>
                    <w:snapToGrid w:val="0"/>
                    <w:spacing w:before="0" w:beforeAutospacing="0" w:after="0" w:afterAutospacing="0"/>
                    <w:ind w:left="0" w:right="0"/>
                    <w:jc w:val="center"/>
                    <w:rPr>
                      <w:rFonts w:hint="eastAsia"/>
                      <w:color w:val="000000" w:themeColor="text1"/>
                      <w:kern w:val="0"/>
                      <w:sz w:val="21"/>
                      <w:szCs w:val="21"/>
                      <w:highlight w:val="none"/>
                      <w:lang w:val="en-US" w:eastAsia="zh-CN"/>
                      <w14:textFill>
                        <w14:solidFill>
                          <w14:schemeClr w14:val="tx1"/>
                        </w14:solidFill>
                      </w14:textFill>
                    </w:rPr>
                  </w:pPr>
                </w:p>
              </w:tc>
              <w:tc>
                <w:tcPr>
                  <w:tcW w:w="566" w:type="pct"/>
                  <w:tcBorders>
                    <w:tl2br w:val="nil"/>
                    <w:tr2bl w:val="nil"/>
                  </w:tcBorders>
                  <w:noWrap w:val="0"/>
                  <w:vAlign w:val="center"/>
                </w:tcPr>
                <w:p w14:paraId="5558ED70">
                  <w:pPr>
                    <w:keepNext w:val="0"/>
                    <w:keepLines w:val="0"/>
                    <w:suppressLineNumbers w:val="0"/>
                    <w:shd w:val="clear" w:color="auto" w:fill="auto"/>
                    <w:adjustRightInd w:val="0"/>
                    <w:snapToGrid w:val="0"/>
                    <w:spacing w:before="0" w:beforeAutospacing="0" w:after="0" w:afterAutospacing="0"/>
                    <w:ind w:left="0" w:right="0"/>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臭气浓度</w:t>
                  </w:r>
                </w:p>
              </w:tc>
              <w:tc>
                <w:tcPr>
                  <w:tcW w:w="513" w:type="pct"/>
                  <w:tcBorders>
                    <w:right w:val="single" w:color="auto" w:sz="4" w:space="0"/>
                    <w:tl2br w:val="nil"/>
                    <w:tr2bl w:val="nil"/>
                  </w:tcBorders>
                  <w:shd w:val="clear" w:color="auto" w:fill="auto"/>
                  <w:noWrap w:val="0"/>
                  <w:vAlign w:val="center"/>
                </w:tcPr>
                <w:p w14:paraId="3E74A57C">
                  <w:pPr>
                    <w:pStyle w:val="54"/>
                    <w:keepNext w:val="0"/>
                    <w:keepLines w:val="0"/>
                    <w:suppressLineNumbers w:val="0"/>
                    <w:shd w:val="clear" w:color="auto" w:fill="auto"/>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hAnsi="Times New Roman"/>
                      <w:color w:val="000000" w:themeColor="text1"/>
                      <w:sz w:val="21"/>
                      <w:szCs w:val="21"/>
                      <w:highlight w:val="none"/>
                      <w14:textFill>
                        <w14:solidFill>
                          <w14:schemeClr w14:val="tx1"/>
                        </w14:solidFill>
                      </w14:textFill>
                    </w:rPr>
                    <w:t>/</w:t>
                  </w:r>
                </w:p>
              </w:tc>
              <w:tc>
                <w:tcPr>
                  <w:tcW w:w="532"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680B1DB">
                  <w:pPr>
                    <w:pStyle w:val="54"/>
                    <w:keepNext w:val="0"/>
                    <w:keepLines w:val="0"/>
                    <w:suppressLineNumbers w:val="0"/>
                    <w:shd w:val="clear" w:color="auto" w:fill="auto"/>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hAnsi="Times New Roman"/>
                      <w:color w:val="000000" w:themeColor="text1"/>
                      <w:sz w:val="21"/>
                      <w:szCs w:val="21"/>
                      <w:highlight w:val="none"/>
                      <w14:textFill>
                        <w14:solidFill>
                          <w14:schemeClr w14:val="tx1"/>
                        </w14:solidFill>
                      </w14:textFill>
                    </w:rPr>
                    <w:t>/</w:t>
                  </w:r>
                </w:p>
              </w:tc>
              <w:tc>
                <w:tcPr>
                  <w:tcW w:w="1288" w:type="pct"/>
                  <w:tcBorders>
                    <w:top w:val="single" w:color="auto" w:sz="4" w:space="0"/>
                    <w:left w:val="single" w:color="auto" w:sz="4" w:space="0"/>
                    <w:bottom w:val="single" w:color="auto" w:sz="4" w:space="0"/>
                    <w:right w:val="single" w:color="auto" w:sz="4" w:space="0"/>
                  </w:tcBorders>
                  <w:noWrap w:val="0"/>
                  <w:vAlign w:val="center"/>
                </w:tcPr>
                <w:p w14:paraId="63A5F0F7">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kern w:val="0"/>
                      <w:sz w:val="2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《恶臭污染物排放标准》（GB14554-93）</w:t>
                  </w:r>
                </w:p>
              </w:tc>
              <w:tc>
                <w:tcPr>
                  <w:tcW w:w="525" w:type="pct"/>
                  <w:tcBorders>
                    <w:left w:val="single" w:color="auto" w:sz="4" w:space="0"/>
                    <w:tl2br w:val="nil"/>
                    <w:tr2bl w:val="nil"/>
                  </w:tcBorders>
                  <w:noWrap w:val="0"/>
                  <w:vAlign w:val="center"/>
                </w:tcPr>
                <w:p w14:paraId="5B4F895F">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2000（无量纲）</w:t>
                  </w:r>
                </w:p>
              </w:tc>
              <w:tc>
                <w:tcPr>
                  <w:tcW w:w="429" w:type="pct"/>
                  <w:tcBorders>
                    <w:tl2br w:val="nil"/>
                    <w:tr2bl w:val="nil"/>
                  </w:tcBorders>
                  <w:noWrap w:val="0"/>
                  <w:vAlign w:val="center"/>
                </w:tcPr>
                <w:p w14:paraId="38F7A012">
                  <w:pPr>
                    <w:keepNext w:val="0"/>
                    <w:keepLines w:val="0"/>
                    <w:suppressLineNumbers w:val="0"/>
                    <w:shd w:val="clear" w:color="auto" w:fill="auto"/>
                    <w:adjustRightInd w:val="0"/>
                    <w:snapToGrid w:val="0"/>
                    <w:spacing w:before="0" w:beforeAutospacing="0" w:after="0" w:afterAutospacing="0"/>
                    <w:ind w:left="0" w:right="0"/>
                    <w:jc w:val="center"/>
                    <w:rPr>
                      <w:rFonts w:hint="eastAsia" w:eastAsia="宋体"/>
                      <w:color w:val="000000" w:themeColor="text1"/>
                      <w:kern w:val="0"/>
                      <w:sz w:val="21"/>
                      <w:szCs w:val="21"/>
                      <w:highlight w:val="none"/>
                      <w:lang w:val="en-US" w:eastAsia="zh-CN"/>
                      <w14:textFill>
                        <w14:solidFill>
                          <w14:schemeClr w14:val="tx1"/>
                        </w14:solidFill>
                      </w14:textFill>
                    </w:rPr>
                  </w:pPr>
                  <w:r>
                    <w:rPr>
                      <w:rFonts w:hint="eastAsia"/>
                      <w:color w:val="000000" w:themeColor="text1"/>
                      <w:kern w:val="0"/>
                      <w:sz w:val="21"/>
                      <w:szCs w:val="21"/>
                      <w:highlight w:val="none"/>
                      <w:lang w:val="en-US" w:eastAsia="zh-CN"/>
                      <w14:textFill>
                        <w14:solidFill>
                          <w14:schemeClr w14:val="tx1"/>
                        </w14:solidFill>
                      </w14:textFill>
                    </w:rPr>
                    <w:t>/</w:t>
                  </w:r>
                </w:p>
              </w:tc>
              <w:tc>
                <w:tcPr>
                  <w:tcW w:w="364" w:type="pct"/>
                  <w:tcBorders>
                    <w:tl2br w:val="nil"/>
                    <w:tr2bl w:val="nil"/>
                  </w:tcBorders>
                  <w:noWrap w:val="0"/>
                  <w:vAlign w:val="center"/>
                </w:tcPr>
                <w:p w14:paraId="1954D1CA">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kern w:val="0"/>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r>
            <w:tr w14:paraId="1F1F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vMerge w:val="restart"/>
                  <w:tcBorders>
                    <w:tl2br w:val="nil"/>
                    <w:tr2bl w:val="nil"/>
                  </w:tcBorders>
                  <w:noWrap w:val="0"/>
                  <w:vAlign w:val="center"/>
                </w:tcPr>
                <w:p w14:paraId="3C7DC338">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DA</w:t>
                  </w:r>
                </w:p>
                <w:p w14:paraId="4F429704">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00</w:t>
                  </w:r>
                  <w:r>
                    <w:rPr>
                      <w:rFonts w:hint="eastAsia" w:cs="Times New Roman"/>
                      <w:color w:val="000000" w:themeColor="text1"/>
                      <w:sz w:val="21"/>
                      <w:szCs w:val="21"/>
                      <w:highlight w:val="none"/>
                      <w:lang w:val="en-US" w:eastAsia="zh-CN"/>
                      <w14:textFill>
                        <w14:solidFill>
                          <w14:schemeClr w14:val="tx1"/>
                        </w14:solidFill>
                      </w14:textFill>
                    </w:rPr>
                    <w:t>2</w:t>
                  </w:r>
                </w:p>
              </w:tc>
              <w:tc>
                <w:tcPr>
                  <w:tcW w:w="364" w:type="pct"/>
                  <w:vMerge w:val="restart"/>
                  <w:tcBorders>
                    <w:tl2br w:val="nil"/>
                    <w:tr2bl w:val="nil"/>
                  </w:tcBorders>
                  <w:noWrap w:val="0"/>
                  <w:vAlign w:val="center"/>
                </w:tcPr>
                <w:p w14:paraId="019F2B10">
                  <w:pPr>
                    <w:keepNext w:val="0"/>
                    <w:keepLines w:val="0"/>
                    <w:widowControl/>
                    <w:suppressLineNumbers w:val="0"/>
                    <w:shd w:val="clear" w:color="auto" w:fill="auto"/>
                    <w:spacing w:before="0" w:beforeAutospacing="0" w:after="0" w:afterAutospacing="0"/>
                    <w:ind w:left="0" w:right="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天然气燃烧</w:t>
                  </w:r>
                </w:p>
              </w:tc>
              <w:tc>
                <w:tcPr>
                  <w:tcW w:w="566" w:type="pct"/>
                  <w:tcBorders>
                    <w:tl2br w:val="nil"/>
                    <w:tr2bl w:val="nil"/>
                  </w:tcBorders>
                  <w:shd w:val="clear" w:color="auto" w:fill="auto"/>
                  <w:noWrap w:val="0"/>
                  <w:vAlign w:val="center"/>
                </w:tcPr>
                <w:p w14:paraId="161C0D46">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SO</w:t>
                  </w:r>
                  <w:r>
                    <w:rPr>
                      <w:rFonts w:hint="eastAsia"/>
                      <w:color w:val="000000" w:themeColor="text1"/>
                      <w:kern w:val="0"/>
                      <w:sz w:val="21"/>
                      <w:szCs w:val="21"/>
                      <w:highlight w:val="none"/>
                      <w:vertAlign w:val="subscript"/>
                      <w:lang w:val="en-US" w:eastAsia="zh-CN" w:bidi="ar"/>
                      <w14:textFill>
                        <w14:solidFill>
                          <w14:schemeClr w14:val="tx1"/>
                        </w14:solidFill>
                      </w14:textFill>
                    </w:rPr>
                    <w:t>2</w:t>
                  </w:r>
                </w:p>
              </w:tc>
              <w:tc>
                <w:tcPr>
                  <w:tcW w:w="513" w:type="pct"/>
                  <w:tcBorders>
                    <w:tl2br w:val="nil"/>
                    <w:tr2bl w:val="nil"/>
                  </w:tcBorders>
                  <w:noWrap w:val="0"/>
                  <w:vAlign w:val="center"/>
                </w:tcPr>
                <w:p w14:paraId="0C9C69C2">
                  <w:pPr>
                    <w:keepNext w:val="0"/>
                    <w:keepLines w:val="0"/>
                    <w:widowControl/>
                    <w:suppressLineNumbers w:val="0"/>
                    <w:jc w:val="center"/>
                    <w:textAlignment w:val="center"/>
                    <w:rPr>
                      <w:rFonts w:hint="eastAsia" w:hAnsi="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14.71 </w:t>
                  </w:r>
                </w:p>
              </w:tc>
              <w:tc>
                <w:tcPr>
                  <w:tcW w:w="532" w:type="pct"/>
                  <w:tcBorders>
                    <w:tl2br w:val="nil"/>
                    <w:tr2bl w:val="nil"/>
                  </w:tcBorders>
                  <w:noWrap w:val="0"/>
                  <w:vAlign w:val="center"/>
                </w:tcPr>
                <w:p w14:paraId="183F5227">
                  <w:pPr>
                    <w:keepNext w:val="0"/>
                    <w:keepLines w:val="0"/>
                    <w:widowControl/>
                    <w:suppressLineNumbers w:val="0"/>
                    <w:jc w:val="center"/>
                    <w:textAlignment w:val="center"/>
                    <w:rPr>
                      <w:rFonts w:hint="eastAsia" w:hAnsi="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0.030 </w:t>
                  </w:r>
                </w:p>
              </w:tc>
              <w:tc>
                <w:tcPr>
                  <w:tcW w:w="1288" w:type="pct"/>
                  <w:vMerge w:val="restart"/>
                  <w:tcBorders>
                    <w:tl2br w:val="nil"/>
                    <w:tr2bl w:val="nil"/>
                  </w:tcBorders>
                  <w:noWrap w:val="0"/>
                  <w:vAlign w:val="center"/>
                </w:tcPr>
                <w:p w14:paraId="40A78F29">
                  <w:pPr>
                    <w:keepNext w:val="0"/>
                    <w:keepLines w:val="0"/>
                    <w:suppressLineNumbers w:val="0"/>
                    <w:shd w:val="clear" w:color="auto" w:fill="auto"/>
                    <w:adjustRightInd w:val="0"/>
                    <w:snapToGrid w:val="0"/>
                    <w:spacing w:before="0" w:beforeAutospacing="0" w:after="0" w:afterAutospacing="0"/>
                    <w:ind w:left="0" w:right="0"/>
                    <w:jc w:val="both"/>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《工业炉窑大气污染物排放标准》（DB 50/659-2016）</w:t>
                  </w:r>
                </w:p>
              </w:tc>
              <w:tc>
                <w:tcPr>
                  <w:tcW w:w="525" w:type="pct"/>
                  <w:tcBorders>
                    <w:tl2br w:val="nil"/>
                    <w:tr2bl w:val="nil"/>
                  </w:tcBorders>
                  <w:noWrap w:val="0"/>
                  <w:vAlign w:val="center"/>
                </w:tcPr>
                <w:p w14:paraId="589B29EE">
                  <w:pPr>
                    <w:keepNext w:val="0"/>
                    <w:keepLines w:val="0"/>
                    <w:suppressLineNumbers w:val="0"/>
                    <w:shd w:val="clear" w:color="auto" w:fill="auto"/>
                    <w:adjustRightInd w:val="0"/>
                    <w:snapToGrid w:val="0"/>
                    <w:spacing w:before="0" w:beforeAutospacing="0" w:after="0" w:afterAutospacing="0"/>
                    <w:ind w:left="0" w:right="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400</w:t>
                  </w:r>
                </w:p>
              </w:tc>
              <w:tc>
                <w:tcPr>
                  <w:tcW w:w="429" w:type="pct"/>
                  <w:tcBorders>
                    <w:tl2br w:val="nil"/>
                    <w:tr2bl w:val="nil"/>
                  </w:tcBorders>
                  <w:noWrap w:val="0"/>
                  <w:vAlign w:val="center"/>
                </w:tcPr>
                <w:p w14:paraId="35384B75">
                  <w:pPr>
                    <w:keepNext w:val="0"/>
                    <w:keepLines w:val="0"/>
                    <w:suppressLineNumbers w:val="0"/>
                    <w:shd w:val="clear" w:color="auto" w:fill="auto"/>
                    <w:adjustRightInd w:val="0"/>
                    <w:snapToGrid w:val="0"/>
                    <w:spacing w:before="0" w:beforeAutospacing="0" w:after="0" w:afterAutospacing="0"/>
                    <w:ind w:left="0" w:right="0"/>
                    <w:jc w:val="center"/>
                    <w:rPr>
                      <w:rFonts w:hint="eastAsia" w:eastAsiaTheme="minor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364" w:type="pct"/>
                  <w:tcBorders>
                    <w:tl2br w:val="nil"/>
                    <w:tr2bl w:val="nil"/>
                  </w:tcBorders>
                  <w:noWrap w:val="0"/>
                  <w:vAlign w:val="center"/>
                </w:tcPr>
                <w:p w14:paraId="4D4517E0">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r>
            <w:tr w14:paraId="58BF0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vMerge w:val="continue"/>
                  <w:tcBorders>
                    <w:tl2br w:val="nil"/>
                    <w:tr2bl w:val="nil"/>
                  </w:tcBorders>
                  <w:noWrap w:val="0"/>
                  <w:vAlign w:val="center"/>
                </w:tcPr>
                <w:p w14:paraId="18014D84">
                  <w:pPr>
                    <w:keepNext w:val="0"/>
                    <w:keepLines w:val="0"/>
                    <w:suppressLineNumbers w:val="0"/>
                    <w:shd w:val="clear" w:color="auto" w:fill="auto"/>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p>
              </w:tc>
              <w:tc>
                <w:tcPr>
                  <w:tcW w:w="364" w:type="pct"/>
                  <w:vMerge w:val="continue"/>
                  <w:tcBorders>
                    <w:tl2br w:val="nil"/>
                    <w:tr2bl w:val="nil"/>
                  </w:tcBorders>
                  <w:noWrap w:val="0"/>
                  <w:vAlign w:val="center"/>
                </w:tcPr>
                <w:p w14:paraId="27C7D086">
                  <w:pPr>
                    <w:keepNext w:val="0"/>
                    <w:keepLines w:val="0"/>
                    <w:widowControl/>
                    <w:suppressLineNumbers w:val="0"/>
                    <w:shd w:val="clear" w:color="auto" w:fill="auto"/>
                    <w:spacing w:before="0" w:beforeAutospacing="0" w:after="0" w:afterAutospacing="0"/>
                    <w:ind w:left="0" w:right="0"/>
                    <w:jc w:val="center"/>
                    <w:rPr>
                      <w:rFonts w:hint="eastAsia"/>
                      <w:color w:val="000000" w:themeColor="text1"/>
                      <w:sz w:val="21"/>
                      <w:szCs w:val="21"/>
                      <w:highlight w:val="none"/>
                      <w:lang w:val="en-US" w:eastAsia="zh-CN"/>
                      <w14:textFill>
                        <w14:solidFill>
                          <w14:schemeClr w14:val="tx1"/>
                        </w14:solidFill>
                      </w14:textFill>
                    </w:rPr>
                  </w:pPr>
                </w:p>
              </w:tc>
              <w:tc>
                <w:tcPr>
                  <w:tcW w:w="566" w:type="pct"/>
                  <w:tcBorders>
                    <w:tl2br w:val="nil"/>
                    <w:tr2bl w:val="nil"/>
                  </w:tcBorders>
                  <w:shd w:val="clear" w:color="auto" w:fill="auto"/>
                  <w:noWrap w:val="0"/>
                  <w:vAlign w:val="center"/>
                </w:tcPr>
                <w:p w14:paraId="31F05CF4">
                  <w:pPr>
                    <w:widowControl/>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NO</w:t>
                  </w:r>
                  <w:r>
                    <w:rPr>
                      <w:rFonts w:hint="eastAsia"/>
                      <w:color w:val="000000" w:themeColor="text1"/>
                      <w:kern w:val="0"/>
                      <w:sz w:val="21"/>
                      <w:szCs w:val="21"/>
                      <w:highlight w:val="none"/>
                      <w:vertAlign w:val="subscript"/>
                      <w:lang w:val="en-US" w:eastAsia="zh-CN" w:bidi="ar"/>
                      <w14:textFill>
                        <w14:solidFill>
                          <w14:schemeClr w14:val="tx1"/>
                        </w14:solidFill>
                      </w14:textFill>
                    </w:rPr>
                    <w:t>X</w:t>
                  </w:r>
                </w:p>
              </w:tc>
              <w:tc>
                <w:tcPr>
                  <w:tcW w:w="513" w:type="pct"/>
                  <w:tcBorders>
                    <w:tl2br w:val="nil"/>
                    <w:tr2bl w:val="nil"/>
                  </w:tcBorders>
                  <w:noWrap w:val="0"/>
                  <w:vAlign w:val="center"/>
                </w:tcPr>
                <w:p w14:paraId="44061B98">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137.50 </w:t>
                  </w:r>
                </w:p>
              </w:tc>
              <w:tc>
                <w:tcPr>
                  <w:tcW w:w="532" w:type="pct"/>
                  <w:tcBorders>
                    <w:tl2br w:val="nil"/>
                    <w:tr2bl w:val="nil"/>
                  </w:tcBorders>
                  <w:noWrap w:val="0"/>
                  <w:vAlign w:val="center"/>
                </w:tcPr>
                <w:p w14:paraId="48FDA621">
                  <w:pPr>
                    <w:keepNext w:val="0"/>
                    <w:keepLines w:val="0"/>
                    <w:widowControl/>
                    <w:suppressLineNumbers w:val="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0.281 </w:t>
                  </w:r>
                </w:p>
              </w:tc>
              <w:tc>
                <w:tcPr>
                  <w:tcW w:w="1288" w:type="pct"/>
                  <w:vMerge w:val="continue"/>
                  <w:tcBorders>
                    <w:tl2br w:val="nil"/>
                    <w:tr2bl w:val="nil"/>
                  </w:tcBorders>
                  <w:noWrap w:val="0"/>
                  <w:vAlign w:val="center"/>
                </w:tcPr>
                <w:p w14:paraId="2EF241FC">
                  <w:pPr>
                    <w:keepNext w:val="0"/>
                    <w:keepLines w:val="0"/>
                    <w:suppressLineNumbers w:val="0"/>
                    <w:shd w:val="clear" w:color="auto" w:fill="auto"/>
                    <w:adjustRightInd w:val="0"/>
                    <w:snapToGrid w:val="0"/>
                    <w:spacing w:before="0" w:beforeAutospacing="0" w:after="0" w:afterAutospacing="0"/>
                    <w:ind w:left="0" w:right="0"/>
                    <w:jc w:val="both"/>
                    <w:rPr>
                      <w:rFonts w:hint="eastAsia"/>
                      <w:color w:val="000000" w:themeColor="text1"/>
                      <w:sz w:val="21"/>
                      <w:szCs w:val="21"/>
                      <w:highlight w:val="none"/>
                      <w14:textFill>
                        <w14:solidFill>
                          <w14:schemeClr w14:val="tx1"/>
                        </w14:solidFill>
                      </w14:textFill>
                    </w:rPr>
                  </w:pPr>
                </w:p>
              </w:tc>
              <w:tc>
                <w:tcPr>
                  <w:tcW w:w="525" w:type="pct"/>
                  <w:tcBorders>
                    <w:tl2br w:val="nil"/>
                    <w:tr2bl w:val="nil"/>
                  </w:tcBorders>
                  <w:noWrap w:val="0"/>
                  <w:vAlign w:val="center"/>
                </w:tcPr>
                <w:p w14:paraId="44A9BF0B">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700</w:t>
                  </w:r>
                </w:p>
              </w:tc>
              <w:tc>
                <w:tcPr>
                  <w:tcW w:w="429" w:type="pct"/>
                  <w:tcBorders>
                    <w:tl2br w:val="nil"/>
                    <w:tr2bl w:val="nil"/>
                  </w:tcBorders>
                  <w:noWrap w:val="0"/>
                  <w:vAlign w:val="center"/>
                </w:tcPr>
                <w:p w14:paraId="1061E975">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364" w:type="pct"/>
                  <w:tcBorders>
                    <w:tl2br w:val="nil"/>
                    <w:tr2bl w:val="nil"/>
                  </w:tcBorders>
                  <w:noWrap w:val="0"/>
                  <w:vAlign w:val="center"/>
                </w:tcPr>
                <w:p w14:paraId="31537715">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r>
            <w:tr w14:paraId="507B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4" w:type="pct"/>
                  <w:vMerge w:val="continue"/>
                  <w:tcBorders>
                    <w:tl2br w:val="nil"/>
                    <w:tr2bl w:val="nil"/>
                  </w:tcBorders>
                  <w:noWrap w:val="0"/>
                  <w:vAlign w:val="center"/>
                </w:tcPr>
                <w:p w14:paraId="7257B3BA">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364" w:type="pct"/>
                  <w:vMerge w:val="continue"/>
                  <w:tcBorders>
                    <w:tl2br w:val="nil"/>
                    <w:tr2bl w:val="nil"/>
                  </w:tcBorders>
                  <w:noWrap w:val="0"/>
                  <w:vAlign w:val="center"/>
                </w:tcPr>
                <w:p w14:paraId="72E322AE">
                  <w:pPr>
                    <w:keepNext w:val="0"/>
                    <w:keepLines w:val="0"/>
                    <w:widowControl/>
                    <w:suppressLineNumbers w:val="0"/>
                    <w:shd w:val="clear" w:color="auto" w:fill="auto"/>
                    <w:spacing w:before="0" w:beforeAutospacing="0" w:after="0" w:afterAutospacing="0"/>
                    <w:ind w:left="0" w:right="0"/>
                    <w:jc w:val="center"/>
                    <w:rPr>
                      <w:rFonts w:hint="eastAsia"/>
                      <w:color w:val="000000" w:themeColor="text1"/>
                      <w:sz w:val="21"/>
                      <w:szCs w:val="21"/>
                      <w:highlight w:val="none"/>
                      <w:lang w:val="en-US" w:eastAsia="zh-CN"/>
                      <w14:textFill>
                        <w14:solidFill>
                          <w14:schemeClr w14:val="tx1"/>
                        </w14:solidFill>
                      </w14:textFill>
                    </w:rPr>
                  </w:pPr>
                </w:p>
              </w:tc>
              <w:tc>
                <w:tcPr>
                  <w:tcW w:w="566" w:type="pct"/>
                  <w:tcBorders>
                    <w:tl2br w:val="nil"/>
                    <w:tr2bl w:val="nil"/>
                  </w:tcBorders>
                  <w:shd w:val="clear" w:color="auto" w:fill="auto"/>
                  <w:noWrap w:val="0"/>
                  <w:vAlign w:val="center"/>
                </w:tcPr>
                <w:p w14:paraId="11D447ED">
                  <w:pPr>
                    <w:widowControl/>
                    <w:jc w:val="center"/>
                    <w:textAlignment w:val="cente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颗粒物</w:t>
                  </w:r>
                </w:p>
              </w:tc>
              <w:tc>
                <w:tcPr>
                  <w:tcW w:w="513" w:type="pct"/>
                  <w:tcBorders>
                    <w:tl2br w:val="nil"/>
                    <w:tr2bl w:val="nil"/>
                  </w:tcBorders>
                  <w:noWrap w:val="0"/>
                  <w:vAlign w:val="center"/>
                </w:tcPr>
                <w:p w14:paraId="7D70D0A7">
                  <w:pPr>
                    <w:keepNext w:val="0"/>
                    <w:keepLines w:val="0"/>
                    <w:widowControl/>
                    <w:suppressLineNumbers w:val="0"/>
                    <w:jc w:val="center"/>
                    <w:textAlignment w:val="center"/>
                    <w:rPr>
                      <w:rFonts w:hint="eastAsia" w:hAnsi="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21.03 </w:t>
                  </w:r>
                </w:p>
              </w:tc>
              <w:tc>
                <w:tcPr>
                  <w:tcW w:w="532" w:type="pct"/>
                  <w:tcBorders>
                    <w:tl2br w:val="nil"/>
                    <w:tr2bl w:val="nil"/>
                  </w:tcBorders>
                  <w:noWrap w:val="0"/>
                  <w:vAlign w:val="center"/>
                </w:tcPr>
                <w:p w14:paraId="05B3063E">
                  <w:pPr>
                    <w:keepNext w:val="0"/>
                    <w:keepLines w:val="0"/>
                    <w:widowControl/>
                    <w:suppressLineNumbers w:val="0"/>
                    <w:jc w:val="center"/>
                    <w:textAlignment w:val="center"/>
                    <w:rPr>
                      <w:rFonts w:hint="eastAsia" w:hAnsi="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 xml:space="preserve">0.043 </w:t>
                  </w:r>
                </w:p>
              </w:tc>
              <w:tc>
                <w:tcPr>
                  <w:tcW w:w="1288" w:type="pct"/>
                  <w:vMerge w:val="continue"/>
                  <w:tcBorders>
                    <w:tl2br w:val="nil"/>
                    <w:tr2bl w:val="nil"/>
                  </w:tcBorders>
                  <w:noWrap w:val="0"/>
                  <w:vAlign w:val="center"/>
                </w:tcPr>
                <w:p w14:paraId="13DEA80B">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525" w:type="pct"/>
                  <w:tcBorders>
                    <w:tl2br w:val="nil"/>
                    <w:tr2bl w:val="nil"/>
                  </w:tcBorders>
                  <w:noWrap w:val="0"/>
                  <w:vAlign w:val="center"/>
                </w:tcPr>
                <w:p w14:paraId="157982D3">
                  <w:pPr>
                    <w:keepNext w:val="0"/>
                    <w:keepLines w:val="0"/>
                    <w:suppressLineNumbers w:val="0"/>
                    <w:shd w:val="clear" w:color="auto" w:fill="auto"/>
                    <w:adjustRightInd w:val="0"/>
                    <w:snapToGrid w:val="0"/>
                    <w:spacing w:before="0" w:beforeAutospacing="0" w:after="0" w:afterAutospacing="0"/>
                    <w:ind w:left="0" w:right="0"/>
                    <w:jc w:val="center"/>
                    <w:rPr>
                      <w:rFonts w:hint="default" w:eastAsiaTheme="minorEastAsia"/>
                      <w:color w:val="000000" w:themeColor="text1"/>
                      <w:sz w:val="21"/>
                      <w:szCs w:val="21"/>
                      <w:highlight w:val="none"/>
                      <w:lang w:val="en-US" w:eastAsia="zh-CN"/>
                      <w14:textFill>
                        <w14:solidFill>
                          <w14:schemeClr w14:val="tx1"/>
                        </w14:solidFill>
                      </w14:textFill>
                    </w:rPr>
                  </w:pPr>
                  <w:r>
                    <w:rPr>
                      <w:rFonts w:hint="eastAsia" w:eastAsiaTheme="minorEastAsia"/>
                      <w:color w:val="000000" w:themeColor="text1"/>
                      <w:sz w:val="21"/>
                      <w:szCs w:val="21"/>
                      <w:highlight w:val="none"/>
                      <w:lang w:val="en-US" w:eastAsia="zh-CN"/>
                      <w14:textFill>
                        <w14:solidFill>
                          <w14:schemeClr w14:val="tx1"/>
                        </w14:solidFill>
                      </w14:textFill>
                    </w:rPr>
                    <w:t>100</w:t>
                  </w:r>
                </w:p>
              </w:tc>
              <w:tc>
                <w:tcPr>
                  <w:tcW w:w="429" w:type="pct"/>
                  <w:tcBorders>
                    <w:tl2br w:val="nil"/>
                    <w:tr2bl w:val="nil"/>
                  </w:tcBorders>
                  <w:noWrap w:val="0"/>
                  <w:vAlign w:val="center"/>
                </w:tcPr>
                <w:p w14:paraId="47953316">
                  <w:pPr>
                    <w:keepNext w:val="0"/>
                    <w:keepLines w:val="0"/>
                    <w:suppressLineNumbers w:val="0"/>
                    <w:shd w:val="clear" w:color="auto" w:fill="auto"/>
                    <w:adjustRightInd w:val="0"/>
                    <w:snapToGrid w:val="0"/>
                    <w:spacing w:before="0" w:beforeAutospacing="0" w:after="0" w:afterAutospacing="0"/>
                    <w:ind w:left="0" w:right="0"/>
                    <w:jc w:val="center"/>
                    <w:rPr>
                      <w:rFonts w:hint="eastAsia" w:eastAsiaTheme="minor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364" w:type="pct"/>
                  <w:tcBorders>
                    <w:tl2br w:val="nil"/>
                    <w:tr2bl w:val="nil"/>
                  </w:tcBorders>
                  <w:noWrap w:val="0"/>
                  <w:vAlign w:val="center"/>
                </w:tcPr>
                <w:p w14:paraId="44943B68">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w:t>
                  </w:r>
                </w:p>
              </w:tc>
            </w:tr>
            <w:tr w14:paraId="3B50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9"/>
                  <w:tcBorders>
                    <w:tl2br w:val="nil"/>
                    <w:tr2bl w:val="nil"/>
                  </w:tcBorders>
                  <w:noWrap w:val="0"/>
                  <w:vAlign w:val="center"/>
                </w:tcPr>
                <w:p w14:paraId="27AD7E7B">
                  <w:pPr>
                    <w:snapToGrid w:val="0"/>
                    <w:jc w:val="both"/>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pPr>
                  <w:r>
                    <w:rPr>
                      <w:rFonts w:hint="default" w:ascii="Times New Roman" w:hAnsi="Times New Roman" w:cs="Times New Roman"/>
                      <w:color w:val="000000" w:themeColor="text1"/>
                      <w:sz w:val="18"/>
                      <w:szCs w:val="18"/>
                      <w:highlight w:val="none"/>
                      <w14:textFill>
                        <w14:solidFill>
                          <w14:schemeClr w14:val="tx1"/>
                        </w14:solidFill>
                      </w14:textFill>
                    </w:rPr>
                    <w:t>注：</w:t>
                  </w:r>
                  <w:r>
                    <w:rPr>
                      <w:rFonts w:hint="eastAsia" w:ascii="Times New Roman" w:cs="Times New Roman"/>
                      <w:color w:val="000000" w:themeColor="text1"/>
                      <w:sz w:val="18"/>
                      <w:szCs w:val="18"/>
                      <w:highlight w:val="none"/>
                      <w:lang w:val="en-US" w:eastAsia="zh-CN"/>
                      <w14:textFill>
                        <w14:solidFill>
                          <w14:schemeClr w14:val="tx1"/>
                        </w14:solidFill>
                      </w14:textFill>
                    </w:rPr>
                    <w:t>DA001*：</w:t>
                  </w:r>
                  <w:r>
                    <w:rPr>
                      <w:rFonts w:hint="eastAsia" w:ascii="Times New Roman" w:hAnsi="Times New Roman" w:eastAsia="宋体" w:cs="Times New Roman"/>
                      <w:color w:val="000000" w:themeColor="text1"/>
                      <w:kern w:val="0"/>
                      <w:sz w:val="21"/>
                      <w:szCs w:val="21"/>
                      <w:u w:val="none"/>
                      <w:lang w:bidi="ar"/>
                      <w14:textFill>
                        <w14:solidFill>
                          <w14:schemeClr w14:val="tx1"/>
                        </w14:solidFill>
                      </w14:textFill>
                    </w:rPr>
                    <w:t>因喷涂工序</w:t>
                  </w:r>
                  <w:r>
                    <w:rPr>
                      <w:rFonts w:hint="eastAsia"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为批次进行，</w:t>
                  </w:r>
                  <w:r>
                    <w:rPr>
                      <w:rFonts w:hint="eastAsia" w:ascii="Times New Roman" w:hAnsi="Times New Roman" w:eastAsia="宋体" w:cs="Times New Roman"/>
                      <w:color w:val="000000" w:themeColor="text1"/>
                      <w:kern w:val="0"/>
                      <w:sz w:val="21"/>
                      <w:szCs w:val="21"/>
                      <w:u w:val="none"/>
                      <w:lang w:bidi="ar"/>
                      <w14:textFill>
                        <w14:solidFill>
                          <w14:schemeClr w14:val="tx1"/>
                        </w14:solidFill>
                      </w14:textFill>
                    </w:rPr>
                    <w:t>喷漆</w:t>
                  </w:r>
                  <w:r>
                    <w:rPr>
                      <w:rFonts w:hint="eastAsia" w:cs="Times New Roman"/>
                      <w:color w:val="000000" w:themeColor="text1"/>
                      <w:kern w:val="0"/>
                      <w:sz w:val="21"/>
                      <w:szCs w:val="21"/>
                      <w:u w:val="none"/>
                      <w:lang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u w:val="none"/>
                      <w:lang w:bidi="ar"/>
                      <w14:textFill>
                        <w14:solidFill>
                          <w14:schemeClr w14:val="tx1"/>
                        </w14:solidFill>
                      </w14:textFill>
                    </w:rPr>
                    <w:t>流平固化</w:t>
                  </w:r>
                  <w:r>
                    <w:rPr>
                      <w:rFonts w:hint="eastAsia" w:cs="Times New Roman"/>
                      <w:color w:val="000000" w:themeColor="text1"/>
                      <w:kern w:val="0"/>
                      <w:sz w:val="21"/>
                      <w:szCs w:val="21"/>
                      <w:u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烘干</w:t>
                  </w:r>
                  <w:r>
                    <w:rPr>
                      <w:rFonts w:hint="eastAsia" w:cs="Times New Roman"/>
                      <w:color w:val="000000" w:themeColor="text1"/>
                      <w:kern w:val="0"/>
                      <w:sz w:val="21"/>
                      <w:szCs w:val="21"/>
                      <w:u w:val="none"/>
                      <w:lang w:val="en-US" w:eastAsia="zh-CN" w:bidi="ar"/>
                      <w14:textFill>
                        <w14:solidFill>
                          <w14:schemeClr w14:val="tx1"/>
                        </w14:solidFill>
                      </w14:textFill>
                    </w:rPr>
                    <w:t>依次进行，</w:t>
                  </w:r>
                  <w:r>
                    <w:rPr>
                      <w:rFonts w:hint="eastAsia" w:ascii="Times New Roman" w:hAnsi="Times New Roman" w:eastAsia="宋体" w:cs="Times New Roman"/>
                      <w:color w:val="000000" w:themeColor="text1"/>
                      <w:kern w:val="0"/>
                      <w:sz w:val="21"/>
                      <w:szCs w:val="21"/>
                      <w:u w:val="none"/>
                      <w:lang w:bidi="ar"/>
                      <w14:textFill>
                        <w14:solidFill>
                          <w14:schemeClr w14:val="tx1"/>
                        </w14:solidFill>
                      </w14:textFill>
                    </w:rPr>
                    <w:t>工序所用工作时间不同，因此涂装废气小计中排放速率取</w:t>
                  </w:r>
                  <w:r>
                    <w:rPr>
                      <w:rFonts w:hint="eastAsia"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喷涂工序中同时喷底漆</w:t>
                  </w:r>
                  <w:r>
                    <w:rPr>
                      <w:rFonts w:hint="eastAsia" w:ascii="Times New Roman" w:hAnsi="Times New Roman" w:eastAsia="宋体" w:cs="Times New Roman"/>
                      <w:color w:val="000000" w:themeColor="text1"/>
                      <w:kern w:val="0"/>
                      <w:sz w:val="21"/>
                      <w:szCs w:val="21"/>
                      <w:u w:val="none"/>
                      <w:lang w:bidi="ar"/>
                      <w14:textFill>
                        <w14:solidFill>
                          <w14:schemeClr w14:val="tx1"/>
                        </w14:solidFill>
                      </w14:textFill>
                    </w:rPr>
                    <w:t>最大值</w:t>
                  </w:r>
                  <w:r>
                    <w:rPr>
                      <w:rFonts w:hint="eastAsia" w:ascii="Times New Roman" w:hAnsi="Times New Roman" w:eastAsia="宋体" w:cs="Times New Roman"/>
                      <w:color w:val="000000" w:themeColor="text1"/>
                      <w:kern w:val="0"/>
                      <w:sz w:val="21"/>
                      <w:szCs w:val="21"/>
                      <w:u w:val="none"/>
                      <w:lang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即喷漆值</w:t>
                  </w:r>
                  <w:r>
                    <w:rPr>
                      <w:rFonts w:hint="eastAsia" w:ascii="Times New Roman" w:hAnsi="Times New Roman" w:eastAsia="宋体" w:cs="Times New Roman"/>
                      <w:color w:val="000000" w:themeColor="text1"/>
                      <w:kern w:val="0"/>
                      <w:sz w:val="21"/>
                      <w:szCs w:val="21"/>
                      <w:u w:val="none"/>
                      <w:lang w:bidi="ar"/>
                      <w14:textFill>
                        <w14:solidFill>
                          <w14:schemeClr w14:val="tx1"/>
                        </w14:solidFill>
                      </w14:textFill>
                    </w:rPr>
                    <w:t>。</w:t>
                  </w:r>
                </w:p>
              </w:tc>
            </w:tr>
          </w:tbl>
          <w:p w14:paraId="416FF3E5">
            <w:pPr>
              <w:keepNext w:val="0"/>
              <w:keepLines w:val="0"/>
              <w:suppressLineNumbers w:val="0"/>
              <w:shd w:val="clear" w:color="auto" w:fill="auto"/>
              <w:autoSpaceDE w:val="0"/>
              <w:autoSpaceDN w:val="0"/>
              <w:adjustRightInd w:val="0"/>
              <w:snapToGrid w:val="0"/>
              <w:spacing w:before="0" w:beforeAutospacing="0" w:after="0" w:afterAutospacing="0" w:line="460" w:lineRule="exact"/>
              <w:ind w:left="0" w:right="0"/>
              <w:rPr>
                <w:rFonts w:hint="default"/>
                <w:b/>
                <w:bCs/>
                <w:color w:val="000000" w:themeColor="text1"/>
                <w:sz w:val="24"/>
                <w:highlight w:val="none"/>
                <w14:textFill>
                  <w14:solidFill>
                    <w14:schemeClr w14:val="tx1"/>
                  </w14:solidFill>
                </w14:textFill>
              </w:rPr>
            </w:pPr>
            <w:r>
              <w:rPr>
                <w:rFonts w:hint="eastAsia"/>
                <w:b/>
                <w:bCs/>
                <w:color w:val="000000" w:themeColor="text1"/>
                <w:spacing w:val="-10"/>
                <w:sz w:val="24"/>
                <w:highlight w:val="none"/>
                <w:lang w:val="en-US" w:eastAsia="zh-CN"/>
                <w14:textFill>
                  <w14:solidFill>
                    <w14:schemeClr w14:val="tx1"/>
                  </w14:solidFill>
                </w14:textFill>
              </w:rPr>
              <w:t>1.5、</w:t>
            </w:r>
            <w:r>
              <w:rPr>
                <w:rFonts w:hint="default"/>
                <w:b/>
                <w:bCs/>
                <w:color w:val="000000" w:themeColor="text1"/>
                <w:sz w:val="24"/>
                <w:highlight w:val="none"/>
                <w14:textFill>
                  <w14:solidFill>
                    <w14:schemeClr w14:val="tx1"/>
                  </w14:solidFill>
                </w14:textFill>
              </w:rPr>
              <w:t>非正常工况下大气环境影响分析</w:t>
            </w:r>
          </w:p>
          <w:p w14:paraId="57BD9DF1">
            <w:pPr>
              <w:keepNext w:val="0"/>
              <w:keepLines w:val="0"/>
              <w:suppressLineNumbers w:val="0"/>
              <w:shd w:val="clear" w:color="auto" w:fill="auto"/>
              <w:autoSpaceDE w:val="0"/>
              <w:autoSpaceDN w:val="0"/>
              <w:adjustRightInd w:val="0"/>
              <w:snapToGrid w:val="0"/>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default"/>
                <w:color w:val="000000" w:themeColor="text1"/>
                <w:sz w:val="24"/>
                <w:highlight w:val="none"/>
                <w14:textFill>
                  <w14:solidFill>
                    <w14:schemeClr w14:val="tx1"/>
                  </w14:solidFill>
                </w14:textFill>
              </w:rPr>
              <w:t>本项目的非正常工况主要是污染物排放控制措施达不到应有效率，即废气治理设施去除效率下降</w:t>
            </w:r>
            <w:r>
              <w:rPr>
                <w:rFonts w:hint="eastAsia"/>
                <w:color w:val="000000" w:themeColor="text1"/>
                <w:sz w:val="24"/>
                <w:highlight w:val="none"/>
                <w14:textFill>
                  <w14:solidFill>
                    <w14:schemeClr w14:val="tx1"/>
                  </w14:solidFill>
                </w14:textFill>
              </w:rPr>
              <w:t>50%</w:t>
            </w:r>
            <w:r>
              <w:rPr>
                <w:rFonts w:hint="default"/>
                <w:color w:val="000000" w:themeColor="text1"/>
                <w:sz w:val="24"/>
                <w:highlight w:val="none"/>
                <w14:textFill>
                  <w14:solidFill>
                    <w14:schemeClr w14:val="tx1"/>
                  </w14:solidFill>
                </w14:textFill>
              </w:rPr>
              <w:t>，在非正常工况下，污染物有组织排放情况见表4-</w:t>
            </w:r>
            <w:r>
              <w:rPr>
                <w:rFonts w:hint="eastAsia"/>
                <w:color w:val="000000" w:themeColor="text1"/>
                <w:sz w:val="24"/>
                <w:highlight w:val="none"/>
                <w:lang w:val="en-US" w:eastAsia="zh-CN"/>
                <w14:textFill>
                  <w14:solidFill>
                    <w14:schemeClr w14:val="tx1"/>
                  </w14:solidFill>
                </w14:textFill>
              </w:rPr>
              <w:t>4</w:t>
            </w:r>
            <w:r>
              <w:rPr>
                <w:rFonts w:hint="default"/>
                <w:color w:val="000000" w:themeColor="text1"/>
                <w:sz w:val="24"/>
                <w:highlight w:val="none"/>
                <w14:textFill>
                  <w14:solidFill>
                    <w14:schemeClr w14:val="tx1"/>
                  </w14:solidFill>
                </w14:textFill>
              </w:rPr>
              <w:t>。</w:t>
            </w:r>
          </w:p>
          <w:p w14:paraId="050F646D">
            <w:pPr>
              <w:pStyle w:val="8"/>
              <w:keepNext w:val="0"/>
              <w:keepLines w:val="0"/>
              <w:suppressLineNumbers w:val="0"/>
              <w:shd w:val="clear" w:color="auto" w:fill="auto"/>
              <w:spacing w:before="0" w:beforeAutospacing="0" w:after="0" w:afterAutospacing="0" w:line="460" w:lineRule="exact"/>
              <w:ind w:left="0" w:right="0" w:firstLine="0" w:firstLineChars="0"/>
              <w:jc w:val="center"/>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表4-</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非正常工况排气筒排放情况</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790"/>
              <w:gridCol w:w="2164"/>
              <w:gridCol w:w="1168"/>
              <w:gridCol w:w="1050"/>
              <w:gridCol w:w="871"/>
            </w:tblGrid>
            <w:tr w14:paraId="3AB5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94" w:type="dxa"/>
                  <w:noWrap w:val="0"/>
                  <w:vAlign w:val="center"/>
                </w:tcPr>
                <w:p w14:paraId="374A17FE">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污染源</w:t>
                  </w:r>
                </w:p>
              </w:tc>
              <w:tc>
                <w:tcPr>
                  <w:tcW w:w="1790" w:type="dxa"/>
                  <w:noWrap w:val="0"/>
                  <w:vAlign w:val="center"/>
                </w:tcPr>
                <w:p w14:paraId="1A9A6D2A">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污染物</w:t>
                  </w:r>
                </w:p>
              </w:tc>
              <w:tc>
                <w:tcPr>
                  <w:tcW w:w="2164" w:type="dxa"/>
                  <w:noWrap w:val="0"/>
                  <w:vAlign w:val="center"/>
                </w:tcPr>
                <w:p w14:paraId="4927EEF4">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排放浓度（mg/m</w:t>
                  </w:r>
                  <w:r>
                    <w:rPr>
                      <w:rFonts w:hint="default"/>
                      <w:b/>
                      <w:bCs/>
                      <w:color w:val="000000" w:themeColor="text1"/>
                      <w:sz w:val="21"/>
                      <w:szCs w:val="21"/>
                      <w:highlight w:val="none"/>
                      <w:vertAlign w:val="superscript"/>
                      <w14:textFill>
                        <w14:solidFill>
                          <w14:schemeClr w14:val="tx1"/>
                        </w14:solidFill>
                      </w14:textFill>
                    </w:rPr>
                    <w:t>3</w:t>
                  </w:r>
                  <w:r>
                    <w:rPr>
                      <w:rFonts w:hint="default"/>
                      <w:b/>
                      <w:bCs/>
                      <w:color w:val="000000" w:themeColor="text1"/>
                      <w:sz w:val="21"/>
                      <w:szCs w:val="21"/>
                      <w:highlight w:val="none"/>
                      <w14:textFill>
                        <w14:solidFill>
                          <w14:schemeClr w14:val="tx1"/>
                        </w14:solidFill>
                      </w14:textFill>
                    </w:rPr>
                    <w:t>）</w:t>
                  </w:r>
                </w:p>
              </w:tc>
              <w:tc>
                <w:tcPr>
                  <w:tcW w:w="1168" w:type="dxa"/>
                  <w:noWrap w:val="0"/>
                  <w:vAlign w:val="center"/>
                </w:tcPr>
                <w:p w14:paraId="03043E21">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单次持续时间h</w:t>
                  </w:r>
                </w:p>
              </w:tc>
              <w:tc>
                <w:tcPr>
                  <w:tcW w:w="1050" w:type="dxa"/>
                  <w:noWrap w:val="0"/>
                  <w:vAlign w:val="center"/>
                </w:tcPr>
                <w:p w14:paraId="2FBA4225">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年发生频次</w:t>
                  </w:r>
                </w:p>
              </w:tc>
              <w:tc>
                <w:tcPr>
                  <w:tcW w:w="871" w:type="dxa"/>
                  <w:noWrap w:val="0"/>
                  <w:vAlign w:val="center"/>
                </w:tcPr>
                <w:p w14:paraId="02D1DF81">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应对措施</w:t>
                  </w:r>
                </w:p>
              </w:tc>
            </w:tr>
            <w:tr w14:paraId="09BE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4" w:type="dxa"/>
                  <w:vMerge w:val="restart"/>
                  <w:noWrap w:val="0"/>
                  <w:vAlign w:val="center"/>
                </w:tcPr>
                <w:p w14:paraId="482BB2E3">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DA00</w:t>
                  </w:r>
                  <w:r>
                    <w:rPr>
                      <w:rFonts w:hint="eastAsia" w:ascii="Times New Roman" w:cs="Times New Roman"/>
                      <w:color w:val="000000" w:themeColor="text1"/>
                      <w:sz w:val="21"/>
                      <w:szCs w:val="21"/>
                      <w:highlight w:val="none"/>
                      <w:lang w:val="en-US" w:eastAsia="zh-CN"/>
                      <w14:textFill>
                        <w14:solidFill>
                          <w14:schemeClr w14:val="tx1"/>
                        </w14:solidFill>
                      </w14:textFill>
                    </w:rPr>
                    <w:t>1</w:t>
                  </w:r>
                </w:p>
              </w:tc>
              <w:tc>
                <w:tcPr>
                  <w:tcW w:w="1790" w:type="dxa"/>
                  <w:noWrap w:val="0"/>
                  <w:vAlign w:val="center"/>
                </w:tcPr>
                <w:p w14:paraId="3E94FA20">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 w:val="21"/>
                      <w:szCs w:val="21"/>
                      <w:highlight w:val="none"/>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非甲烷总烃</w:t>
                  </w:r>
                </w:p>
              </w:tc>
              <w:tc>
                <w:tcPr>
                  <w:tcW w:w="2164" w:type="dxa"/>
                  <w:noWrap w:val="0"/>
                  <w:vAlign w:val="center"/>
                </w:tcPr>
                <w:p w14:paraId="4F5B89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55.50 </w:t>
                  </w:r>
                </w:p>
              </w:tc>
              <w:tc>
                <w:tcPr>
                  <w:tcW w:w="1168" w:type="dxa"/>
                  <w:vMerge w:val="restart"/>
                  <w:shd w:val="clear" w:color="auto" w:fill="auto"/>
                  <w:noWrap w:val="0"/>
                  <w:vAlign w:val="center"/>
                </w:tcPr>
                <w:p w14:paraId="6BEFFD27">
                  <w:pPr>
                    <w:pStyle w:val="51"/>
                    <w:keepNext w:val="0"/>
                    <w:keepLines w:val="0"/>
                    <w:suppressLineNumbers w:val="0"/>
                    <w:shd w:val="clear" w:color="auto" w:fill="auto"/>
                    <w:spacing w:before="0" w:beforeAutospacing="0" w:after="0" w:afterAutospacing="0"/>
                    <w:ind w:left="0" w:leftChars="0" w:right="0" w:rightChars="0"/>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050" w:type="dxa"/>
                  <w:vMerge w:val="restart"/>
                  <w:shd w:val="clear" w:color="auto" w:fill="auto"/>
                  <w:noWrap w:val="0"/>
                  <w:vAlign w:val="center"/>
                </w:tcPr>
                <w:p w14:paraId="3D88E314">
                  <w:pPr>
                    <w:keepNext w:val="0"/>
                    <w:keepLines w:val="0"/>
                    <w:suppressLineNumbers w:val="0"/>
                    <w:shd w:val="clear" w:color="auto" w:fill="auto"/>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小概率</w:t>
                  </w:r>
                </w:p>
              </w:tc>
              <w:tc>
                <w:tcPr>
                  <w:tcW w:w="871" w:type="dxa"/>
                  <w:vMerge w:val="restart"/>
                  <w:shd w:val="clear" w:color="auto" w:fill="auto"/>
                  <w:noWrap w:val="0"/>
                  <w:vAlign w:val="center"/>
                </w:tcPr>
                <w:p w14:paraId="2E8DB771">
                  <w:pPr>
                    <w:keepNext w:val="0"/>
                    <w:keepLines w:val="0"/>
                    <w:suppressLineNumbers w:val="0"/>
                    <w:shd w:val="clear" w:color="auto" w:fill="auto"/>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kern w:val="0"/>
                      <w:sz w:val="21"/>
                      <w:szCs w:val="21"/>
                      <w:highlight w:val="none"/>
                      <w14:textFill>
                        <w14:solidFill>
                          <w14:schemeClr w14:val="tx1"/>
                        </w14:solidFill>
                      </w14:textFill>
                    </w:rPr>
                    <w:t>停止生产，立即检修和更换</w:t>
                  </w:r>
                </w:p>
              </w:tc>
            </w:tr>
            <w:tr w14:paraId="6FB7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4" w:type="dxa"/>
                  <w:vMerge w:val="continue"/>
                  <w:noWrap w:val="0"/>
                  <w:vAlign w:val="center"/>
                </w:tcPr>
                <w:p w14:paraId="3319CC47">
                  <w:pPr>
                    <w:pStyle w:val="2"/>
                    <w:keepNext w:val="0"/>
                    <w:keepLines w:val="0"/>
                    <w:suppressLineNumbers w:val="0"/>
                    <w:shd w:val="clear" w:color="auto" w:fill="auto"/>
                    <w:spacing w:before="0" w:beforeAutospacing="0" w:after="0" w:afterAutospacing="0"/>
                    <w:ind w:left="0" w:right="0"/>
                    <w:jc w:val="center"/>
                    <w:rPr>
                      <w:rFonts w:hint="eastAsia" w:ascii="Times New Roman" w:hAnsi="Times New Roman" w:cs="Times New Roman"/>
                      <w:color w:val="000000" w:themeColor="text1"/>
                      <w:sz w:val="21"/>
                      <w:szCs w:val="21"/>
                      <w:highlight w:val="none"/>
                      <w14:textFill>
                        <w14:solidFill>
                          <w14:schemeClr w14:val="tx1"/>
                        </w14:solidFill>
                      </w14:textFill>
                    </w:rPr>
                  </w:pPr>
                </w:p>
              </w:tc>
              <w:tc>
                <w:tcPr>
                  <w:tcW w:w="1790" w:type="dxa"/>
                  <w:shd w:val="clear" w:color="auto" w:fill="auto"/>
                  <w:noWrap w:val="0"/>
                  <w:vAlign w:val="center"/>
                </w:tcPr>
                <w:p w14:paraId="19498FE6">
                  <w:pPr>
                    <w:keepNext w:val="0"/>
                    <w:keepLines w:val="0"/>
                    <w:widowControl/>
                    <w:suppressLineNumbers w:val="0"/>
                    <w:shd w:val="clear" w:color="auto" w:fill="auto"/>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color w:val="000000" w:themeColor="text1"/>
                      <w:kern w:val="0"/>
                      <w:sz w:val="21"/>
                      <w:szCs w:val="21"/>
                      <w:highlight w:val="none"/>
                      <w14:textFill>
                        <w14:solidFill>
                          <w14:schemeClr w14:val="tx1"/>
                        </w14:solidFill>
                      </w14:textFill>
                    </w:rPr>
                    <w:t>颗粒物</w:t>
                  </w:r>
                </w:p>
              </w:tc>
              <w:tc>
                <w:tcPr>
                  <w:tcW w:w="2164" w:type="dxa"/>
                  <w:shd w:val="clear" w:color="auto" w:fill="auto"/>
                  <w:noWrap w:val="0"/>
                  <w:vAlign w:val="center"/>
                </w:tcPr>
                <w:p w14:paraId="6F112F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255.33 </w:t>
                  </w:r>
                </w:p>
              </w:tc>
              <w:tc>
                <w:tcPr>
                  <w:tcW w:w="1168" w:type="dxa"/>
                  <w:vMerge w:val="continue"/>
                  <w:shd w:val="clear" w:color="auto" w:fill="auto"/>
                  <w:noWrap w:val="0"/>
                  <w:vAlign w:val="center"/>
                </w:tcPr>
                <w:p w14:paraId="3522F981">
                  <w:pPr>
                    <w:pStyle w:val="51"/>
                    <w:keepNext w:val="0"/>
                    <w:keepLines w:val="0"/>
                    <w:suppressLineNumbers w:val="0"/>
                    <w:shd w:val="clear" w:color="auto" w:fill="auto"/>
                    <w:spacing w:before="0" w:beforeAutospacing="0" w:after="0" w:afterAutospacing="0"/>
                    <w:ind w:left="0" w:leftChars="0" w:right="0" w:rightChars="0"/>
                    <w:rPr>
                      <w:rFonts w:hint="eastAsia"/>
                      <w:color w:val="000000" w:themeColor="text1"/>
                      <w:sz w:val="21"/>
                      <w:szCs w:val="21"/>
                      <w:highlight w:val="none"/>
                      <w14:textFill>
                        <w14:solidFill>
                          <w14:schemeClr w14:val="tx1"/>
                        </w14:solidFill>
                      </w14:textFill>
                    </w:rPr>
                  </w:pPr>
                </w:p>
              </w:tc>
              <w:tc>
                <w:tcPr>
                  <w:tcW w:w="1050" w:type="dxa"/>
                  <w:vMerge w:val="continue"/>
                  <w:shd w:val="clear" w:color="auto" w:fill="auto"/>
                  <w:noWrap w:val="0"/>
                  <w:vAlign w:val="center"/>
                </w:tcPr>
                <w:p w14:paraId="42B85ACF">
                  <w:pPr>
                    <w:keepNext w:val="0"/>
                    <w:keepLines w:val="0"/>
                    <w:suppressLineNumbers w:val="0"/>
                    <w:shd w:val="clear" w:color="auto" w:fill="auto"/>
                    <w:adjustRightInd w:val="0"/>
                    <w:snapToGrid w:val="0"/>
                    <w:spacing w:before="0" w:beforeAutospacing="0" w:after="0" w:afterAutospacing="0"/>
                    <w:ind w:left="0" w:leftChars="0" w:right="0" w:rightChars="0"/>
                    <w:jc w:val="center"/>
                    <w:rPr>
                      <w:rFonts w:hint="eastAsia"/>
                      <w:color w:val="000000" w:themeColor="text1"/>
                      <w:sz w:val="21"/>
                      <w:szCs w:val="21"/>
                      <w:highlight w:val="none"/>
                      <w14:textFill>
                        <w14:solidFill>
                          <w14:schemeClr w14:val="tx1"/>
                        </w14:solidFill>
                      </w14:textFill>
                    </w:rPr>
                  </w:pPr>
                </w:p>
              </w:tc>
              <w:tc>
                <w:tcPr>
                  <w:tcW w:w="871" w:type="dxa"/>
                  <w:vMerge w:val="continue"/>
                  <w:shd w:val="clear" w:color="auto" w:fill="auto"/>
                  <w:noWrap w:val="0"/>
                  <w:vAlign w:val="center"/>
                </w:tcPr>
                <w:p w14:paraId="532D08B2">
                  <w:pPr>
                    <w:keepNext w:val="0"/>
                    <w:keepLines w:val="0"/>
                    <w:suppressLineNumbers w:val="0"/>
                    <w:shd w:val="clear" w:color="auto" w:fill="auto"/>
                    <w:adjustRightInd w:val="0"/>
                    <w:snapToGrid w:val="0"/>
                    <w:spacing w:before="0" w:beforeAutospacing="0" w:after="0" w:afterAutospacing="0"/>
                    <w:ind w:left="0" w:leftChars="0" w:right="0" w:rightChars="0"/>
                    <w:jc w:val="center"/>
                    <w:rPr>
                      <w:rFonts w:hint="eastAsia"/>
                      <w:color w:val="000000" w:themeColor="text1"/>
                      <w:kern w:val="0"/>
                      <w:sz w:val="21"/>
                      <w:szCs w:val="21"/>
                      <w:highlight w:val="none"/>
                      <w14:textFill>
                        <w14:solidFill>
                          <w14:schemeClr w14:val="tx1"/>
                        </w14:solidFill>
                      </w14:textFill>
                    </w:rPr>
                  </w:pPr>
                </w:p>
              </w:tc>
            </w:tr>
            <w:tr w14:paraId="3D43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94" w:type="dxa"/>
                  <w:vMerge w:val="continue"/>
                  <w:shd w:val="clear" w:color="auto" w:fill="auto"/>
                  <w:noWrap w:val="0"/>
                  <w:vAlign w:val="center"/>
                </w:tcPr>
                <w:p w14:paraId="284B195C">
                  <w:pPr>
                    <w:pStyle w:val="2"/>
                    <w:keepNext w:val="0"/>
                    <w:keepLines w:val="0"/>
                    <w:suppressLineNumbers w:val="0"/>
                    <w:shd w:val="clear" w:color="auto" w:fill="auto"/>
                    <w:spacing w:before="0" w:beforeAutospacing="0" w:after="0" w:afterAutospacing="0"/>
                    <w:ind w:left="0" w:right="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p>
              </w:tc>
              <w:tc>
                <w:tcPr>
                  <w:tcW w:w="1790" w:type="dxa"/>
                  <w:noWrap w:val="0"/>
                  <w:vAlign w:val="center"/>
                </w:tcPr>
                <w:p w14:paraId="771E8CEF">
                  <w:pPr>
                    <w:keepNext w:val="0"/>
                    <w:keepLines w:val="0"/>
                    <w:widowControl/>
                    <w:suppressLineNumbers w:val="0"/>
                    <w:shd w:val="clear" w:color="auto" w:fill="auto"/>
                    <w:spacing w:before="0" w:beforeAutospacing="0" w:after="0" w:afterAutospacing="0"/>
                    <w:ind w:left="0" w:right="0"/>
                    <w:jc w:val="center"/>
                    <w:textAlignment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臭气浓度</w:t>
                  </w:r>
                </w:p>
              </w:tc>
              <w:tc>
                <w:tcPr>
                  <w:tcW w:w="2164" w:type="dxa"/>
                  <w:noWrap w:val="0"/>
                  <w:vAlign w:val="center"/>
                </w:tcPr>
                <w:p w14:paraId="3EAE2D2A">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1168" w:type="dxa"/>
                  <w:vMerge w:val="continue"/>
                  <w:noWrap w:val="0"/>
                  <w:vAlign w:val="center"/>
                </w:tcPr>
                <w:p w14:paraId="336FA689">
                  <w:pPr>
                    <w:pStyle w:val="51"/>
                    <w:keepNext w:val="0"/>
                    <w:keepLines w:val="0"/>
                    <w:suppressLineNumbers w:val="0"/>
                    <w:shd w:val="clear" w:color="auto" w:fill="auto"/>
                    <w:spacing w:before="0" w:beforeAutospacing="0" w:after="0" w:afterAutospacing="0"/>
                    <w:ind w:left="0" w:right="0"/>
                    <w:rPr>
                      <w:rFonts w:hint="default"/>
                      <w:color w:val="000000" w:themeColor="text1"/>
                      <w:sz w:val="21"/>
                      <w:szCs w:val="21"/>
                      <w:highlight w:val="none"/>
                      <w14:textFill>
                        <w14:solidFill>
                          <w14:schemeClr w14:val="tx1"/>
                        </w14:solidFill>
                      </w14:textFill>
                    </w:rPr>
                  </w:pPr>
                </w:p>
              </w:tc>
              <w:tc>
                <w:tcPr>
                  <w:tcW w:w="1050" w:type="dxa"/>
                  <w:vMerge w:val="continue"/>
                  <w:noWrap w:val="0"/>
                  <w:vAlign w:val="center"/>
                </w:tcPr>
                <w:p w14:paraId="4011C563">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871" w:type="dxa"/>
                  <w:vMerge w:val="continue"/>
                  <w:noWrap w:val="0"/>
                  <w:vAlign w:val="center"/>
                </w:tcPr>
                <w:p w14:paraId="648291C4">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r>
          </w:tbl>
          <w:p w14:paraId="62608ADC">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460" w:lineRule="exact"/>
              <w:ind w:left="0" w:right="0" w:firstLine="480" w:firstLineChars="200"/>
              <w:textAlignment w:val="auto"/>
              <w:rPr>
                <w:rFonts w:hint="default"/>
                <w:color w:val="000000" w:themeColor="text1"/>
                <w:sz w:val="24"/>
                <w:highlight w:val="none"/>
                <w14:textFill>
                  <w14:solidFill>
                    <w14:schemeClr w14:val="tx1"/>
                  </w14:solidFill>
                </w14:textFill>
              </w:rPr>
            </w:pPr>
            <w:r>
              <w:rPr>
                <w:rFonts w:hint="default"/>
                <w:color w:val="000000" w:themeColor="text1"/>
                <w:sz w:val="24"/>
                <w:highlight w:val="none"/>
                <w14:textFill>
                  <w14:solidFill>
                    <w14:schemeClr w14:val="tx1"/>
                  </w14:solidFill>
                </w14:textFill>
              </w:rPr>
              <w:t>由上表可知，非正常工况下，</w:t>
            </w:r>
            <w:r>
              <w:rPr>
                <w:rFonts w:hint="eastAsia"/>
                <w:color w:val="000000" w:themeColor="text1"/>
                <w:sz w:val="24"/>
                <w:highlight w:val="none"/>
                <w:lang w:val="en-US" w:eastAsia="zh-CN"/>
                <w14:textFill>
                  <w14:solidFill>
                    <w14:schemeClr w14:val="tx1"/>
                  </w14:solidFill>
                </w14:textFill>
              </w:rPr>
              <w:t>废气排放浓度超标，</w:t>
            </w:r>
            <w:r>
              <w:rPr>
                <w:rFonts w:hint="default"/>
                <w:color w:val="000000" w:themeColor="text1"/>
                <w:sz w:val="24"/>
                <w:highlight w:val="none"/>
                <w14:textFill>
                  <w14:solidFill>
                    <w14:schemeClr w14:val="tx1"/>
                  </w14:solidFill>
                </w14:textFill>
              </w:rP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5E511E56">
            <w:pPr>
              <w:keepNext w:val="0"/>
              <w:keepLines w:val="0"/>
              <w:suppressLineNumbers w:val="0"/>
              <w:shd w:val="clear" w:color="auto" w:fill="auto"/>
              <w:autoSpaceDE w:val="0"/>
              <w:autoSpaceDN w:val="0"/>
              <w:adjustRightInd w:val="0"/>
              <w:snapToGrid w:val="0"/>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default"/>
                <w:color w:val="000000" w:themeColor="text1"/>
                <w:sz w:val="24"/>
                <w:highlight w:val="none"/>
                <w14:textFill>
                  <w14:solidFill>
                    <w14:schemeClr w14:val="tx1"/>
                  </w14:solidFill>
                </w14:textFill>
              </w:rPr>
              <w:t>①安排专人负责环保设备的日常维护和管理，每个固定时间检查、汇报情况，及时发现废气处理设备的隐患，确保废气处理系统正常运行；</w:t>
            </w:r>
          </w:p>
          <w:p w14:paraId="32074A34">
            <w:pPr>
              <w:keepNext w:val="0"/>
              <w:keepLines w:val="0"/>
              <w:suppressLineNumbers w:val="0"/>
              <w:shd w:val="clear" w:color="auto" w:fill="auto"/>
              <w:autoSpaceDE w:val="0"/>
              <w:autoSpaceDN w:val="0"/>
              <w:adjustRightInd w:val="0"/>
              <w:snapToGrid w:val="0"/>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default"/>
                <w:color w:val="000000" w:themeColor="text1"/>
                <w:sz w:val="24"/>
                <w:highlight w:val="none"/>
                <w14:textFill>
                  <w14:solidFill>
                    <w14:schemeClr w14:val="tx1"/>
                  </w14:solidFill>
                </w14:textFill>
              </w:rPr>
              <w:t>②</w:t>
            </w:r>
            <w:r>
              <w:rPr>
                <w:rFonts w:hint="eastAsia"/>
                <w:color w:val="000000" w:themeColor="text1"/>
                <w:sz w:val="24"/>
                <w:highlight w:val="none"/>
                <w14:textFill>
                  <w14:solidFill>
                    <w14:schemeClr w14:val="tx1"/>
                  </w14:solidFill>
                </w14:textFill>
              </w:rPr>
              <w:t>定期更换活性炭</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过滤盒、过滤棉</w:t>
            </w:r>
            <w:r>
              <w:rPr>
                <w:rFonts w:hint="default"/>
                <w:color w:val="000000" w:themeColor="text1"/>
                <w:sz w:val="24"/>
                <w:highlight w:val="none"/>
                <w14:textFill>
                  <w14:solidFill>
                    <w14:schemeClr w14:val="tx1"/>
                  </w14:solidFill>
                </w14:textFill>
              </w:rPr>
              <w:t>等；</w:t>
            </w:r>
          </w:p>
          <w:p w14:paraId="5E050461">
            <w:pPr>
              <w:keepNext w:val="0"/>
              <w:keepLines w:val="0"/>
              <w:suppressLineNumbers w:val="0"/>
              <w:shd w:val="clear" w:color="auto" w:fill="auto"/>
              <w:autoSpaceDE w:val="0"/>
              <w:autoSpaceDN w:val="0"/>
              <w:adjustRightInd w:val="0"/>
              <w:snapToGrid w:val="0"/>
              <w:spacing w:before="0" w:beforeAutospacing="0" w:after="0" w:afterAutospacing="0" w:line="460" w:lineRule="exact"/>
              <w:ind w:left="0" w:right="0" w:firstLine="480" w:firstLineChars="200"/>
              <w:rPr>
                <w:rFonts w:hint="default"/>
                <w:color w:val="000000" w:themeColor="text1"/>
                <w:sz w:val="24"/>
                <w:highlight w:val="none"/>
                <w14:textFill>
                  <w14:solidFill>
                    <w14:schemeClr w14:val="tx1"/>
                  </w14:solidFill>
                </w14:textFill>
              </w:rPr>
            </w:pPr>
            <w:r>
              <w:rPr>
                <w:rFonts w:hint="default"/>
                <w:color w:val="000000" w:themeColor="text1"/>
                <w:sz w:val="24"/>
                <w:highlight w:val="none"/>
                <w14:textFill>
                  <w14:solidFill>
                    <w14:schemeClr w14:val="tx1"/>
                  </w14:solidFill>
                </w14:textFill>
              </w:rPr>
              <w:t>③建立健全的环保管理机构，对环保管理人员和技术人员进行岗位培训，委托具有专业资质的环境检测单位对项目排放的各类污染物进行检测；</w:t>
            </w:r>
          </w:p>
          <w:p w14:paraId="7607DE30">
            <w:pPr>
              <w:keepNext w:val="0"/>
              <w:keepLines w:val="0"/>
              <w:suppressLineNumbers w:val="0"/>
              <w:shd w:val="clear" w:color="auto" w:fill="auto"/>
              <w:autoSpaceDE w:val="0"/>
              <w:autoSpaceDN w:val="0"/>
              <w:adjustRightInd w:val="0"/>
              <w:snapToGrid w:val="0"/>
              <w:spacing w:before="0" w:beforeAutospacing="0" w:after="0" w:afterAutospacing="0" w:line="440" w:lineRule="exact"/>
              <w:ind w:left="0" w:right="0" w:firstLine="480" w:firstLineChars="200"/>
              <w:rPr>
                <w:rFonts w:hint="default"/>
                <w:color w:val="000000" w:themeColor="text1"/>
                <w:sz w:val="24"/>
                <w:highlight w:val="none"/>
                <w14:textFill>
                  <w14:solidFill>
                    <w14:schemeClr w14:val="tx1"/>
                  </w14:solidFill>
                </w14:textFill>
              </w:rPr>
            </w:pPr>
            <w:r>
              <w:rPr>
                <w:rFonts w:hint="default"/>
                <w:color w:val="000000" w:themeColor="text1"/>
                <w:sz w:val="24"/>
                <w:highlight w:val="none"/>
                <w14:textFill>
                  <w14:solidFill>
                    <w14:schemeClr w14:val="tx1"/>
                  </w14:solidFill>
                </w14:textFill>
              </w:rPr>
              <w:t>④应定期维护、检修废气净化装置，以保持废气处理装置的净化能力和净化容量。</w:t>
            </w:r>
          </w:p>
          <w:p w14:paraId="3DE8C8AE">
            <w:pPr>
              <w:pStyle w:val="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default" w:ascii="Times New Roman" w:cs="Times New Roman"/>
                <w:b/>
                <w:bCs/>
                <w:color w:val="000000" w:themeColor="text1"/>
                <w:vertAlign w:val="baseline"/>
                <w:lang w:val="en-US" w:eastAsia="zh-CN"/>
                <w14:textFill>
                  <w14:solidFill>
                    <w14:schemeClr w14:val="tx1"/>
                  </w14:solidFill>
                </w14:textFill>
              </w:rPr>
            </w:pPr>
            <w:r>
              <w:rPr>
                <w:rFonts w:hint="eastAsia" w:ascii="Times New Roman" w:cs="Times New Roman"/>
                <w:b/>
                <w:bCs/>
                <w:color w:val="000000" w:themeColor="text1"/>
                <w:vertAlign w:val="baseline"/>
                <w:lang w:val="en-US" w:eastAsia="zh-CN"/>
                <w14:textFill>
                  <w14:solidFill>
                    <w14:schemeClr w14:val="tx1"/>
                  </w14:solidFill>
                </w14:textFill>
              </w:rPr>
              <w:t>1.6、</w:t>
            </w:r>
            <w:r>
              <w:rPr>
                <w:rFonts w:hint="default" w:ascii="Times New Roman" w:cs="Times New Roman"/>
                <w:b/>
                <w:bCs/>
                <w:color w:val="000000" w:themeColor="text1"/>
                <w:vertAlign w:val="baseline"/>
                <w:lang w:val="en-US" w:eastAsia="zh-CN"/>
                <w14:textFill>
                  <w14:solidFill>
                    <w14:schemeClr w14:val="tx1"/>
                  </w14:solidFill>
                </w14:textFill>
              </w:rPr>
              <w:t>大气环境影响分析</w:t>
            </w:r>
          </w:p>
          <w:p w14:paraId="6B1BFF4D">
            <w:pPr>
              <w:pStyle w:val="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cs="Times New Roman"/>
                <w:b w:val="0"/>
                <w:bCs w:val="0"/>
                <w:color w:val="000000" w:themeColor="text1"/>
                <w:vertAlign w:val="baseline"/>
                <w:lang w:val="en-US" w:eastAsia="zh-CN"/>
                <w14:textFill>
                  <w14:solidFill>
                    <w14:schemeClr w14:val="tx1"/>
                  </w14:solidFill>
                </w14:textFill>
              </w:rPr>
            </w:pPr>
            <w:r>
              <w:rPr>
                <w:rFonts w:hint="default" w:ascii="Times New Roman" w:cs="Times New Roman"/>
                <w:b w:val="0"/>
                <w:bCs w:val="0"/>
                <w:color w:val="000000" w:themeColor="text1"/>
                <w:vertAlign w:val="baseline"/>
                <w:lang w:val="en-US" w:eastAsia="zh-CN"/>
                <w14:textFill>
                  <w14:solidFill>
                    <w14:schemeClr w14:val="tx1"/>
                  </w14:solidFill>
                </w14:textFill>
              </w:rPr>
              <w:t>本项目位于</w:t>
            </w:r>
            <w:r>
              <w:rPr>
                <w:rFonts w:hint="eastAsia" w:ascii="Times New Roman" w:cs="Times New Roman"/>
                <w:b w:val="0"/>
                <w:bCs w:val="0"/>
                <w:color w:val="000000" w:themeColor="text1"/>
                <w:vertAlign w:val="baseline"/>
                <w:lang w:val="en-US" w:eastAsia="zh-CN"/>
                <w14:textFill>
                  <w14:solidFill>
                    <w14:schemeClr w14:val="tx1"/>
                  </w14:solidFill>
                </w14:textFill>
              </w:rPr>
              <w:t>璧山区青杠街道龙青路59号</w:t>
            </w:r>
            <w:r>
              <w:rPr>
                <w:rFonts w:hint="default" w:ascii="Times New Roman" w:cs="Times New Roman"/>
                <w:b w:val="0"/>
                <w:bCs w:val="0"/>
                <w:color w:val="000000" w:themeColor="text1"/>
                <w:vertAlign w:val="baseline"/>
                <w:lang w:val="en-US" w:eastAsia="zh-CN"/>
                <w14:textFill>
                  <w14:solidFill>
                    <w14:schemeClr w14:val="tx1"/>
                  </w14:solidFill>
                </w14:textFill>
              </w:rPr>
              <w:t>，项目厂界外500m范围大气环境</w:t>
            </w:r>
            <w:r>
              <w:rPr>
                <w:rFonts w:hint="eastAsia" w:ascii="Times New Roman" w:cs="Times New Roman"/>
                <w:b w:val="0"/>
                <w:bCs w:val="0"/>
                <w:color w:val="000000" w:themeColor="text1"/>
                <w:vertAlign w:val="baseline"/>
                <w:lang w:val="en-US" w:eastAsia="zh-CN"/>
                <w14:textFill>
                  <w14:solidFill>
                    <w14:schemeClr w14:val="tx1"/>
                  </w14:solidFill>
                </w14:textFill>
              </w:rPr>
              <w:t>存在</w:t>
            </w:r>
            <w:r>
              <w:rPr>
                <w:rFonts w:hint="default" w:ascii="Times New Roman" w:cs="Times New Roman"/>
                <w:b w:val="0"/>
                <w:bCs w:val="0"/>
                <w:color w:val="000000" w:themeColor="text1"/>
                <w:vertAlign w:val="baseline"/>
                <w:lang w:val="en-US" w:eastAsia="zh-CN"/>
                <w14:textFill>
                  <w14:solidFill>
                    <w14:schemeClr w14:val="tx1"/>
                  </w14:solidFill>
                </w14:textFill>
              </w:rPr>
              <w:t>保护目标，无其他自然保护区、风景名胜区、文化区及规划居住用地等大气环境保护目标。项目拟采取的各项废气污染治理措施，从技术、经济诸方面考虑上述措施能够满足废气治理的需要，可做到达标排放，产生的废气对周边环境影响较小。综上所述，本项目废气处理措施有较好的针对性，废气可实现达标排放，对环境影响小。</w:t>
            </w:r>
          </w:p>
          <w:p w14:paraId="2EB95D28">
            <w:pPr>
              <w:pStyle w:val="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default" w:ascii="Times New Roman" w:cs="Times New Roman"/>
                <w:b/>
                <w:bCs/>
                <w:color w:val="000000" w:themeColor="text1"/>
                <w:vertAlign w:val="baseline"/>
                <w:lang w:val="en-US" w:eastAsia="zh-CN"/>
                <w14:textFill>
                  <w14:solidFill>
                    <w14:schemeClr w14:val="tx1"/>
                  </w14:solidFill>
                </w14:textFill>
              </w:rPr>
            </w:pPr>
            <w:r>
              <w:rPr>
                <w:rFonts w:hint="eastAsia" w:ascii="Times New Roman" w:cs="Times New Roman"/>
                <w:b/>
                <w:bCs/>
                <w:color w:val="000000" w:themeColor="text1"/>
                <w:vertAlign w:val="baseline"/>
                <w:lang w:val="en-US" w:eastAsia="zh-CN"/>
                <w14:textFill>
                  <w14:solidFill>
                    <w14:schemeClr w14:val="tx1"/>
                  </w14:solidFill>
                </w14:textFill>
              </w:rPr>
              <w:t>1.7、监测计划</w:t>
            </w:r>
          </w:p>
          <w:p w14:paraId="5B079C09">
            <w:pPr>
              <w:pStyle w:val="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cs="Times New Roman"/>
                <w:b w:val="0"/>
                <w:bCs w:val="0"/>
                <w:color w:val="000000" w:themeColor="text1"/>
                <w:vertAlign w:val="baseline"/>
                <w:lang w:val="en-US" w:eastAsia="zh-CN"/>
                <w14:textFill>
                  <w14:solidFill>
                    <w14:schemeClr w14:val="tx1"/>
                  </w14:solidFill>
                </w14:textFill>
              </w:rPr>
            </w:pPr>
            <w:r>
              <w:rPr>
                <w:rFonts w:hint="default" w:ascii="Times New Roman" w:cs="Times New Roman"/>
                <w:b w:val="0"/>
                <w:bCs w:val="0"/>
                <w:color w:val="000000" w:themeColor="text1"/>
                <w:vertAlign w:val="baseline"/>
                <w:lang w:val="en-US" w:eastAsia="zh-CN"/>
                <w14:textFill>
                  <w14:solidFill>
                    <w14:schemeClr w14:val="tx1"/>
                  </w14:solidFill>
                </w14:textFill>
              </w:rPr>
              <w:t>根据《排污单位自行监测技术指南 总则》（HJ819-2017）、《排污许可证申请与核发技术规范</w:t>
            </w:r>
            <w:r>
              <w:rPr>
                <w:rFonts w:hint="eastAsia" w:ascii="Times New Roman" w:cs="Times New Roman"/>
                <w:b w:val="0"/>
                <w:bCs w:val="0"/>
                <w:color w:val="000000" w:themeColor="text1"/>
                <w:vertAlign w:val="baseline"/>
                <w:lang w:val="en-US" w:eastAsia="zh-CN"/>
                <w14:textFill>
                  <w14:solidFill>
                    <w14:schemeClr w14:val="tx1"/>
                  </w14:solidFill>
                </w14:textFill>
              </w:rPr>
              <w:t xml:space="preserve"> </w:t>
            </w:r>
            <w:r>
              <w:rPr>
                <w:rFonts w:hint="default" w:ascii="Times New Roman" w:cs="Times New Roman"/>
                <w:b w:val="0"/>
                <w:bCs w:val="0"/>
                <w:color w:val="000000" w:themeColor="text1"/>
                <w:vertAlign w:val="baseline"/>
                <w:lang w:val="en-US" w:eastAsia="zh-CN"/>
                <w14:textFill>
                  <w14:solidFill>
                    <w14:schemeClr w14:val="tx1"/>
                  </w14:solidFill>
                </w14:textFill>
              </w:rPr>
              <w:t>工业炉窑》（HJ1121-2020）</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排污许可证申请与核发技术规范</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铁路、船舶、航空航天和其他运输设备制造业</w:t>
            </w:r>
            <w:r>
              <w:rPr>
                <w:rFonts w:hint="eastAsia"/>
                <w:color w:val="000000" w:themeColor="text1"/>
                <w:lang w:eastAsia="zh-CN"/>
                <w14:textFill>
                  <w14:solidFill>
                    <w14:schemeClr w14:val="tx1"/>
                  </w14:solidFill>
                </w14:textFill>
              </w:rPr>
              <w:t>》</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HJ1124-2020</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cs="Times New Roman"/>
                <w:b w:val="0"/>
                <w:bCs w:val="0"/>
                <w:color w:val="000000" w:themeColor="text1"/>
                <w:vertAlign w:val="baseline"/>
                <w:lang w:val="en-US" w:eastAsia="zh-CN"/>
                <w14:textFill>
                  <w14:solidFill>
                    <w14:schemeClr w14:val="tx1"/>
                  </w14:solidFill>
                </w14:textFill>
              </w:rPr>
              <w:t>等相关技术指南，本项目营运期废气自行监测计划详见表4</w:t>
            </w:r>
            <w:r>
              <w:rPr>
                <w:rFonts w:hint="eastAsia" w:ascii="Times New Roman" w:cs="Times New Roman"/>
                <w:b w:val="0"/>
                <w:bCs w:val="0"/>
                <w:color w:val="000000" w:themeColor="text1"/>
                <w:vertAlign w:val="baseline"/>
                <w:lang w:val="en-US" w:eastAsia="zh-CN"/>
                <w14:textFill>
                  <w14:solidFill>
                    <w14:schemeClr w14:val="tx1"/>
                  </w14:solidFill>
                </w14:textFill>
              </w:rPr>
              <w:t>-5</w:t>
            </w:r>
            <w:r>
              <w:rPr>
                <w:rFonts w:hint="default" w:ascii="Times New Roman" w:cs="Times New Roman"/>
                <w:b w:val="0"/>
                <w:bCs w:val="0"/>
                <w:color w:val="000000" w:themeColor="text1"/>
                <w:vertAlign w:val="baseline"/>
                <w:lang w:val="en-US" w:eastAsia="zh-CN"/>
                <w14:textFill>
                  <w14:solidFill>
                    <w14:schemeClr w14:val="tx1"/>
                  </w14:solidFill>
                </w14:textFill>
              </w:rPr>
              <w:t>。</w:t>
            </w:r>
          </w:p>
          <w:p w14:paraId="124CB27E">
            <w:pPr>
              <w:pStyle w:val="8"/>
              <w:keepNext w:val="0"/>
              <w:keepLines w:val="0"/>
              <w:suppressLineNumbers w:val="0"/>
              <w:shd w:val="clear" w:color="auto" w:fill="auto"/>
              <w:spacing w:before="0" w:beforeAutospacing="0" w:after="0" w:afterAutospacing="0" w:line="440" w:lineRule="exact"/>
              <w:ind w:left="0" w:right="0" w:firstLine="0" w:firstLineChars="0"/>
              <w:jc w:val="center"/>
              <w:rPr>
                <w:rFonts w:hint="default" w:ascii="Times New Roman" w:hAnsi="Times New Roman" w:cs="Times New Roman"/>
                <w:b/>
                <w:bCs/>
                <w:color w:val="000000" w:themeColor="text1"/>
                <w:sz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表4-5</w:t>
            </w:r>
            <w:r>
              <w:rPr>
                <w:rFonts w:hint="eastAsia" w:ascii="Times New Roman" w:hAnsi="Times New Roman" w:cs="Times New Roman"/>
                <w:b/>
                <w:bCs/>
                <w:color w:val="000000" w:themeColor="text1"/>
                <w:sz w:val="24"/>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本项目大气监测计划</w:t>
            </w:r>
          </w:p>
          <w:tbl>
            <w:tblPr>
              <w:tblStyle w:val="21"/>
              <w:tblW w:w="47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544"/>
              <w:gridCol w:w="1533"/>
              <w:gridCol w:w="3729"/>
            </w:tblGrid>
            <w:tr w14:paraId="5474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1" w:type="pct"/>
                  <w:noWrap w:val="0"/>
                  <w:vAlign w:val="center"/>
                </w:tcPr>
                <w:p w14:paraId="277808D9">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监测点位</w:t>
                  </w:r>
                </w:p>
              </w:tc>
              <w:tc>
                <w:tcPr>
                  <w:tcW w:w="972" w:type="pct"/>
                  <w:noWrap w:val="0"/>
                  <w:vAlign w:val="center"/>
                </w:tcPr>
                <w:p w14:paraId="47050103">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监测指标</w:t>
                  </w:r>
                </w:p>
              </w:tc>
              <w:tc>
                <w:tcPr>
                  <w:tcW w:w="965" w:type="pct"/>
                  <w:noWrap w:val="0"/>
                  <w:vAlign w:val="center"/>
                </w:tcPr>
                <w:p w14:paraId="4FFFF557">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监测频次</w:t>
                  </w:r>
                </w:p>
              </w:tc>
              <w:tc>
                <w:tcPr>
                  <w:tcW w:w="2349" w:type="pct"/>
                  <w:noWrap w:val="0"/>
                  <w:vAlign w:val="center"/>
                </w:tcPr>
                <w:p w14:paraId="359B35B3">
                  <w:pPr>
                    <w:keepNext w:val="0"/>
                    <w:keepLines w:val="0"/>
                    <w:suppressLineNumbers w:val="0"/>
                    <w:shd w:val="clear" w:color="auto" w:fill="auto"/>
                    <w:adjustRightInd w:val="0"/>
                    <w:snapToGrid w:val="0"/>
                    <w:spacing w:before="0" w:beforeAutospacing="0" w:after="0" w:afterAutospacing="0"/>
                    <w:ind w:left="0" w:right="0"/>
                    <w:jc w:val="center"/>
                    <w:rPr>
                      <w:rFonts w:hint="default"/>
                      <w:b/>
                      <w:bCs/>
                      <w:color w:val="000000" w:themeColor="text1"/>
                      <w:szCs w:val="21"/>
                      <w:highlight w:val="none"/>
                      <w14:textFill>
                        <w14:solidFill>
                          <w14:schemeClr w14:val="tx1"/>
                        </w14:solidFill>
                      </w14:textFill>
                    </w:rPr>
                  </w:pPr>
                  <w:r>
                    <w:rPr>
                      <w:rFonts w:hint="default"/>
                      <w:b/>
                      <w:bCs/>
                      <w:color w:val="000000" w:themeColor="text1"/>
                      <w:szCs w:val="21"/>
                      <w:highlight w:val="none"/>
                      <w14:textFill>
                        <w14:solidFill>
                          <w14:schemeClr w14:val="tx1"/>
                        </w14:solidFill>
                      </w14:textFill>
                    </w:rPr>
                    <w:t>执行标准</w:t>
                  </w:r>
                </w:p>
              </w:tc>
            </w:tr>
            <w:tr w14:paraId="55BDB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11" w:type="pct"/>
                  <w:vMerge w:val="restart"/>
                  <w:noWrap w:val="0"/>
                  <w:vAlign w:val="center"/>
                </w:tcPr>
                <w:p w14:paraId="23D2A83E">
                  <w:pPr>
                    <w:keepNext w:val="0"/>
                    <w:keepLines w:val="0"/>
                    <w:suppressLineNumbers w:val="0"/>
                    <w:shd w:val="clear" w:color="auto" w:fill="auto"/>
                    <w:adjustRightInd w:val="0"/>
                    <w:snapToGrid w:val="0"/>
                    <w:spacing w:before="0" w:beforeAutospacing="0" w:after="0" w:afterAutospacing="0"/>
                    <w:ind w:left="0" w:right="0"/>
                    <w:jc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14:textFill>
                        <w14:solidFill>
                          <w14:schemeClr w14:val="tx1"/>
                        </w14:solidFill>
                      </w14:textFill>
                    </w:rPr>
                    <w:t>DA00</w:t>
                  </w:r>
                  <w:r>
                    <w:rPr>
                      <w:rFonts w:hint="eastAsia"/>
                      <w:color w:val="000000" w:themeColor="text1"/>
                      <w:szCs w:val="21"/>
                      <w:highlight w:val="none"/>
                      <w:lang w:val="en-US" w:eastAsia="zh-CN"/>
                      <w14:textFill>
                        <w14:solidFill>
                          <w14:schemeClr w14:val="tx1"/>
                        </w14:solidFill>
                      </w14:textFill>
                    </w:rPr>
                    <w:t>1</w:t>
                  </w:r>
                </w:p>
              </w:tc>
              <w:tc>
                <w:tcPr>
                  <w:tcW w:w="972" w:type="pct"/>
                  <w:noWrap w:val="0"/>
                  <w:vAlign w:val="center"/>
                </w:tcPr>
                <w:p w14:paraId="76A152EC">
                  <w:pPr>
                    <w:keepNext w:val="0"/>
                    <w:keepLines w:val="0"/>
                    <w:suppressLineNumbers w:val="0"/>
                    <w:shd w:val="clear" w:color="auto" w:fill="auto"/>
                    <w:adjustRightInd w:val="0"/>
                    <w:snapToGrid w:val="0"/>
                    <w:spacing w:before="0" w:beforeAutospacing="0" w:after="0" w:afterAutospacing="0"/>
                    <w:ind w:left="0" w:right="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p w14:paraId="0EE012D8">
                  <w:pPr>
                    <w:keepNext w:val="0"/>
                    <w:keepLines w:val="0"/>
                    <w:suppressLineNumbers w:val="0"/>
                    <w:shd w:val="clear" w:color="auto" w:fill="auto"/>
                    <w:adjustRightInd w:val="0"/>
                    <w:snapToGrid w:val="0"/>
                    <w:spacing w:before="0" w:beforeAutospacing="0" w:after="0" w:afterAutospacing="0"/>
                    <w:ind w:left="0" w:right="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965" w:type="pct"/>
                  <w:vMerge w:val="restart"/>
                  <w:noWrap w:val="0"/>
                  <w:vAlign w:val="center"/>
                </w:tcPr>
                <w:p w14:paraId="4430D3EE">
                  <w:pPr>
                    <w:keepNext w:val="0"/>
                    <w:keepLines w:val="0"/>
                    <w:suppressLineNumbers w:val="0"/>
                    <w:shd w:val="clear" w:color="auto" w:fill="auto"/>
                    <w:adjustRightInd w:val="0"/>
                    <w:snapToGrid w:val="0"/>
                    <w:spacing w:before="0" w:beforeAutospacing="0" w:after="0" w:afterAutospacing="0"/>
                    <w:ind w:left="0" w:right="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验收时监测一次，营运期</w:t>
                  </w:r>
                  <w:r>
                    <w:rPr>
                      <w:rFonts w:hint="eastAsia"/>
                      <w:color w:val="000000" w:themeColor="text1"/>
                      <w:szCs w:val="21"/>
                      <w:highlight w:val="none"/>
                      <w14:textFill>
                        <w14:solidFill>
                          <w14:schemeClr w14:val="tx1"/>
                        </w14:solidFill>
                      </w14:textFill>
                    </w:rPr>
                    <w:t>每</w:t>
                  </w:r>
                  <w:r>
                    <w:rPr>
                      <w:rFonts w:hint="eastAsia"/>
                      <w:color w:val="000000" w:themeColor="text1"/>
                      <w:szCs w:val="21"/>
                      <w:highlight w:val="none"/>
                      <w:lang w:val="en-US" w:eastAsia="zh-CN"/>
                      <w14:textFill>
                        <w14:solidFill>
                          <w14:schemeClr w14:val="tx1"/>
                        </w14:solidFill>
                      </w14:textFill>
                    </w:rPr>
                    <w:t>年</w:t>
                  </w:r>
                  <w:r>
                    <w:rPr>
                      <w:rFonts w:hint="default"/>
                      <w:color w:val="000000" w:themeColor="text1"/>
                      <w:szCs w:val="21"/>
                      <w:highlight w:val="none"/>
                      <w14:textFill>
                        <w14:solidFill>
                          <w14:schemeClr w14:val="tx1"/>
                        </w14:solidFill>
                      </w14:textFill>
                    </w:rPr>
                    <w:t>监测一次</w:t>
                  </w:r>
                </w:p>
              </w:tc>
              <w:tc>
                <w:tcPr>
                  <w:tcW w:w="2349" w:type="pct"/>
                  <w:noWrap w:val="0"/>
                  <w:vAlign w:val="center"/>
                </w:tcPr>
                <w:p w14:paraId="7C61CC54">
                  <w:pPr>
                    <w:keepNext w:val="0"/>
                    <w:keepLines w:val="0"/>
                    <w:suppressLineNumbers w:val="0"/>
                    <w:shd w:val="clear" w:color="auto" w:fill="auto"/>
                    <w:adjustRightInd w:val="0"/>
                    <w:snapToGrid w:val="0"/>
                    <w:spacing w:before="0" w:beforeAutospacing="0" w:after="0" w:afterAutospacing="0"/>
                    <w:ind w:left="0" w:right="0"/>
                    <w:jc w:val="both"/>
                    <w:rPr>
                      <w:rFonts w:hint="eastAsia" w:eastAsia="宋体"/>
                      <w:color w:val="000000" w:themeColor="text1"/>
                      <w:szCs w:val="21"/>
                      <w:highlight w:val="none"/>
                      <w:lang w:eastAsia="zh-CN"/>
                      <w14:textFill>
                        <w14:solidFill>
                          <w14:schemeClr w14:val="tx1"/>
                        </w14:solidFill>
                      </w14:textFill>
                    </w:rPr>
                  </w:pPr>
                  <w:r>
                    <w:rPr>
                      <w:rFonts w:hint="default"/>
                      <w:color w:val="000000" w:themeColor="text1"/>
                      <w:szCs w:val="21"/>
                      <w:highlight w:val="none"/>
                      <w14:textFill>
                        <w14:solidFill>
                          <w14:schemeClr w14:val="tx1"/>
                        </w14:solidFill>
                      </w14:textFill>
                    </w:rPr>
                    <w:t>《摩托车及汽车配件制造表面涂装大气污染物排放标准》（DB 50/660-2016）</w:t>
                  </w:r>
                </w:p>
              </w:tc>
            </w:tr>
            <w:tr w14:paraId="329C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711" w:type="pct"/>
                  <w:vMerge w:val="continue"/>
                  <w:noWrap w:val="0"/>
                  <w:vAlign w:val="center"/>
                </w:tcPr>
                <w:p w14:paraId="5E20366B">
                  <w:pPr>
                    <w:keepNext w:val="0"/>
                    <w:keepLines w:val="0"/>
                    <w:suppressLineNumbers w:val="0"/>
                    <w:shd w:val="clear" w:color="auto" w:fill="auto"/>
                    <w:adjustRightInd w:val="0"/>
                    <w:snapToGrid w:val="0"/>
                    <w:spacing w:before="0" w:beforeAutospacing="0" w:after="0" w:afterAutospacing="0"/>
                    <w:ind w:left="0" w:right="0"/>
                    <w:jc w:val="center"/>
                    <w:rPr>
                      <w:color w:val="000000" w:themeColor="text1"/>
                      <w14:textFill>
                        <w14:solidFill>
                          <w14:schemeClr w14:val="tx1"/>
                        </w14:solidFill>
                      </w14:textFill>
                    </w:rPr>
                  </w:pPr>
                </w:p>
              </w:tc>
              <w:tc>
                <w:tcPr>
                  <w:tcW w:w="972" w:type="pct"/>
                  <w:noWrap w:val="0"/>
                  <w:vAlign w:val="center"/>
                </w:tcPr>
                <w:p w14:paraId="6621D5EA">
                  <w:pPr>
                    <w:keepNext w:val="0"/>
                    <w:keepLines w:val="0"/>
                    <w:suppressLineNumbers w:val="0"/>
                    <w:shd w:val="clear" w:color="auto" w:fill="auto"/>
                    <w:adjustRightInd w:val="0"/>
                    <w:snapToGrid w:val="0"/>
                    <w:spacing w:before="0" w:beforeAutospacing="0" w:after="0" w:afterAutospacing="0"/>
                    <w:ind w:left="0" w:right="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臭气浓度</w:t>
                  </w:r>
                </w:p>
              </w:tc>
              <w:tc>
                <w:tcPr>
                  <w:tcW w:w="965" w:type="pct"/>
                  <w:vMerge w:val="continue"/>
                  <w:noWrap w:val="0"/>
                  <w:vAlign w:val="center"/>
                </w:tcPr>
                <w:p w14:paraId="03C77A69">
                  <w:pPr>
                    <w:keepNext w:val="0"/>
                    <w:keepLines w:val="0"/>
                    <w:suppressLineNumbers w:val="0"/>
                    <w:shd w:val="clear" w:color="auto" w:fill="auto"/>
                    <w:adjustRightInd w:val="0"/>
                    <w:snapToGrid w:val="0"/>
                    <w:spacing w:before="0" w:beforeAutospacing="0" w:after="0" w:afterAutospacing="0"/>
                    <w:ind w:left="0" w:right="0"/>
                    <w:jc w:val="center"/>
                    <w:rPr>
                      <w:rFonts w:hint="eastAsia"/>
                      <w:color w:val="000000" w:themeColor="text1"/>
                      <w:szCs w:val="21"/>
                      <w:highlight w:val="none"/>
                      <w14:textFill>
                        <w14:solidFill>
                          <w14:schemeClr w14:val="tx1"/>
                        </w14:solidFill>
                      </w14:textFill>
                    </w:rPr>
                  </w:pPr>
                </w:p>
              </w:tc>
              <w:tc>
                <w:tcPr>
                  <w:tcW w:w="2349" w:type="pct"/>
                  <w:noWrap w:val="0"/>
                  <w:vAlign w:val="center"/>
                </w:tcPr>
                <w:p w14:paraId="6FFA3F8F">
                  <w:pPr>
                    <w:keepNext w:val="0"/>
                    <w:keepLines w:val="0"/>
                    <w:suppressLineNumbers w:val="0"/>
                    <w:shd w:val="clear" w:color="auto" w:fill="auto"/>
                    <w:adjustRightInd w:val="0"/>
                    <w:snapToGrid w:val="0"/>
                    <w:spacing w:before="0" w:beforeAutospacing="0" w:after="0" w:afterAutospacing="0"/>
                    <w:ind w:left="0" w:right="0"/>
                    <w:jc w:val="both"/>
                    <w:rPr>
                      <w:rFonts w:hint="eastAsia"/>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《恶臭污染物排放标准》（GB14554-93）</w:t>
                  </w:r>
                </w:p>
              </w:tc>
            </w:tr>
            <w:tr w14:paraId="7104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11" w:type="pct"/>
                  <w:noWrap w:val="0"/>
                  <w:vAlign w:val="center"/>
                </w:tcPr>
                <w:p w14:paraId="18328ACE">
                  <w:pPr>
                    <w:keepNext w:val="0"/>
                    <w:keepLines w:val="0"/>
                    <w:suppressLineNumbers w:val="0"/>
                    <w:shd w:val="clear" w:color="auto" w:fill="auto"/>
                    <w:adjustRightInd w:val="0"/>
                    <w:snapToGrid w:val="0"/>
                    <w:spacing w:before="0" w:beforeAutospacing="0" w:after="0" w:afterAutospacing="0"/>
                    <w:ind w:left="0" w:right="0"/>
                    <w:jc w:val="center"/>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DA00</w:t>
                  </w:r>
                  <w:r>
                    <w:rPr>
                      <w:rFonts w:hint="eastAsia"/>
                      <w:color w:val="000000" w:themeColor="text1"/>
                      <w:szCs w:val="21"/>
                      <w:highlight w:val="none"/>
                      <w:lang w:val="en-US" w:eastAsia="zh-CN"/>
                      <w14:textFill>
                        <w14:solidFill>
                          <w14:schemeClr w14:val="tx1"/>
                        </w14:solidFill>
                      </w14:textFill>
                    </w:rPr>
                    <w:t>2</w:t>
                  </w:r>
                </w:p>
              </w:tc>
              <w:tc>
                <w:tcPr>
                  <w:tcW w:w="972" w:type="pct"/>
                  <w:noWrap w:val="0"/>
                  <w:vAlign w:val="center"/>
                </w:tcPr>
                <w:p w14:paraId="07CBC2C3">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二氧化硫</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颗粒物</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氮氧化物</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14:textFill>
                        <w14:solidFill>
                          <w14:schemeClr w14:val="tx1"/>
                        </w14:solidFill>
                      </w14:textFill>
                    </w:rPr>
                    <w:t>烟气黑度</w:t>
                  </w:r>
                </w:p>
              </w:tc>
              <w:tc>
                <w:tcPr>
                  <w:tcW w:w="965" w:type="pct"/>
                  <w:noWrap w:val="0"/>
                  <w:vAlign w:val="center"/>
                </w:tcPr>
                <w:p w14:paraId="4447CF9B">
                  <w:pPr>
                    <w:keepNext w:val="0"/>
                    <w:keepLines w:val="0"/>
                    <w:suppressLineNumbers w:val="0"/>
                    <w:shd w:val="clear" w:color="auto" w:fill="auto"/>
                    <w:adjustRightInd w:val="0"/>
                    <w:snapToGrid w:val="0"/>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验收时监测一次，营运期</w:t>
                  </w:r>
                  <w:r>
                    <w:rPr>
                      <w:rFonts w:hint="eastAsia"/>
                      <w:color w:val="000000" w:themeColor="text1"/>
                      <w:szCs w:val="21"/>
                      <w:highlight w:val="none"/>
                      <w14:textFill>
                        <w14:solidFill>
                          <w14:schemeClr w14:val="tx1"/>
                        </w14:solidFill>
                      </w14:textFill>
                    </w:rPr>
                    <w:t>每年</w:t>
                  </w:r>
                  <w:r>
                    <w:rPr>
                      <w:rFonts w:hint="default"/>
                      <w:color w:val="000000" w:themeColor="text1"/>
                      <w:szCs w:val="21"/>
                      <w:highlight w:val="none"/>
                      <w14:textFill>
                        <w14:solidFill>
                          <w14:schemeClr w14:val="tx1"/>
                        </w14:solidFill>
                      </w14:textFill>
                    </w:rPr>
                    <w:t>监测一次</w:t>
                  </w:r>
                </w:p>
              </w:tc>
              <w:tc>
                <w:tcPr>
                  <w:tcW w:w="2349" w:type="pct"/>
                  <w:noWrap w:val="0"/>
                  <w:vAlign w:val="center"/>
                </w:tcPr>
                <w:p w14:paraId="3DD624C2">
                  <w:pPr>
                    <w:keepNext w:val="0"/>
                    <w:keepLines w:val="0"/>
                    <w:suppressLineNumbers w:val="0"/>
                    <w:shd w:val="clear" w:color="auto" w:fill="auto"/>
                    <w:adjustRightInd w:val="0"/>
                    <w:snapToGrid w:val="0"/>
                    <w:spacing w:before="0" w:beforeAutospacing="0" w:after="0" w:afterAutospacing="0"/>
                    <w:ind w:left="0" w:right="0"/>
                    <w:jc w:val="both"/>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《工业炉窑大气污染物排放标准》（DB 50/659-2016）</w:t>
                  </w:r>
                </w:p>
              </w:tc>
            </w:tr>
            <w:tr w14:paraId="1483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11" w:type="pct"/>
                  <w:vMerge w:val="restart"/>
                  <w:noWrap w:val="0"/>
                  <w:vAlign w:val="center"/>
                </w:tcPr>
                <w:p w14:paraId="64C3DEB2">
                  <w:pPr>
                    <w:keepNext w:val="0"/>
                    <w:keepLines w:val="0"/>
                    <w:suppressLineNumbers w:val="0"/>
                    <w:shd w:val="clear" w:color="auto" w:fill="auto"/>
                    <w:adjustRightInd w:val="0"/>
                    <w:snapToGrid w:val="0"/>
                    <w:spacing w:before="0" w:beforeAutospacing="0" w:after="0" w:afterAutospacing="0"/>
                    <w:ind w:left="0" w:right="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厂界</w:t>
                  </w:r>
                </w:p>
              </w:tc>
              <w:tc>
                <w:tcPr>
                  <w:tcW w:w="972" w:type="pct"/>
                  <w:shd w:val="clear" w:color="auto" w:fill="auto"/>
                  <w:noWrap w:val="0"/>
                  <w:vAlign w:val="center"/>
                </w:tcPr>
                <w:p w14:paraId="6C02FA36">
                  <w:pPr>
                    <w:keepNext w:val="0"/>
                    <w:keepLines w:val="0"/>
                    <w:suppressLineNumbers w:val="0"/>
                    <w:shd w:val="clear" w:color="auto" w:fill="auto"/>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965" w:type="pct"/>
                  <w:vMerge w:val="restart"/>
                  <w:shd w:val="clear" w:color="auto" w:fill="auto"/>
                  <w:noWrap w:val="0"/>
                  <w:vAlign w:val="center"/>
                </w:tcPr>
                <w:p w14:paraId="1FFA16C0">
                  <w:pPr>
                    <w:keepNext w:val="0"/>
                    <w:keepLines w:val="0"/>
                    <w:suppressLineNumbers w:val="0"/>
                    <w:shd w:val="clear" w:color="auto" w:fill="auto"/>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验收时监测一次，营运期</w:t>
                  </w:r>
                  <w:r>
                    <w:rPr>
                      <w:rFonts w:hint="eastAsia"/>
                      <w:color w:val="000000" w:themeColor="text1"/>
                      <w:szCs w:val="21"/>
                      <w:highlight w:val="none"/>
                      <w14:textFill>
                        <w14:solidFill>
                          <w14:schemeClr w14:val="tx1"/>
                        </w14:solidFill>
                      </w14:textFill>
                    </w:rPr>
                    <w:t>每年</w:t>
                  </w:r>
                  <w:r>
                    <w:rPr>
                      <w:rFonts w:hint="default"/>
                      <w:color w:val="000000" w:themeColor="text1"/>
                      <w:szCs w:val="21"/>
                      <w:highlight w:val="none"/>
                      <w14:textFill>
                        <w14:solidFill>
                          <w14:schemeClr w14:val="tx1"/>
                        </w14:solidFill>
                      </w14:textFill>
                    </w:rPr>
                    <w:t>监测一次</w:t>
                  </w:r>
                </w:p>
              </w:tc>
              <w:tc>
                <w:tcPr>
                  <w:tcW w:w="2349" w:type="pct"/>
                  <w:shd w:val="clear" w:color="auto" w:fill="auto"/>
                  <w:noWrap w:val="0"/>
                  <w:vAlign w:val="center"/>
                </w:tcPr>
                <w:p w14:paraId="592D303B">
                  <w:pPr>
                    <w:keepNext w:val="0"/>
                    <w:keepLines w:val="0"/>
                    <w:suppressLineNumbers w:val="0"/>
                    <w:shd w:val="clear" w:color="auto" w:fill="auto"/>
                    <w:adjustRightInd w:val="0"/>
                    <w:snapToGrid w:val="0"/>
                    <w:spacing w:before="0" w:beforeAutospacing="0" w:after="0" w:afterAutospacing="0"/>
                    <w:ind w:left="0" w:right="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《摩托车及汽车配件制造表面涂装大气污染物排放标准》（DB 50/660-2016）</w:t>
                  </w:r>
                </w:p>
              </w:tc>
            </w:tr>
            <w:tr w14:paraId="6A5D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11" w:type="pct"/>
                  <w:vMerge w:val="continue"/>
                  <w:noWrap w:val="0"/>
                  <w:vAlign w:val="center"/>
                </w:tcPr>
                <w:p w14:paraId="419DDE22">
                  <w:pPr>
                    <w:keepNext w:val="0"/>
                    <w:keepLines w:val="0"/>
                    <w:suppressLineNumbers w:val="0"/>
                    <w:shd w:val="clear" w:color="auto" w:fill="auto"/>
                    <w:adjustRightInd w:val="0"/>
                    <w:snapToGrid w:val="0"/>
                    <w:spacing w:before="0" w:beforeAutospacing="0" w:after="0" w:afterAutospacing="0"/>
                    <w:ind w:left="0" w:right="0"/>
                    <w:jc w:val="center"/>
                    <w:rPr>
                      <w:color w:val="000000" w:themeColor="text1"/>
                      <w14:textFill>
                        <w14:solidFill>
                          <w14:schemeClr w14:val="tx1"/>
                        </w14:solidFill>
                      </w14:textFill>
                    </w:rPr>
                  </w:pPr>
                </w:p>
              </w:tc>
              <w:tc>
                <w:tcPr>
                  <w:tcW w:w="972" w:type="pct"/>
                  <w:shd w:val="clear" w:color="auto" w:fill="auto"/>
                  <w:noWrap w:val="0"/>
                  <w:vAlign w:val="center"/>
                </w:tcPr>
                <w:p w14:paraId="00C9A90C">
                  <w:pPr>
                    <w:keepNext w:val="0"/>
                    <w:keepLines w:val="0"/>
                    <w:suppressLineNumbers w:val="0"/>
                    <w:shd w:val="clear" w:color="auto" w:fill="auto"/>
                    <w:adjustRightInd w:val="0"/>
                    <w:snapToGrid w:val="0"/>
                    <w:spacing w:before="0" w:beforeAutospacing="0" w:after="0" w:afterAutospacing="0"/>
                    <w:ind w:left="0" w:right="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颗粒物</w:t>
                  </w:r>
                </w:p>
              </w:tc>
              <w:tc>
                <w:tcPr>
                  <w:tcW w:w="965" w:type="pct"/>
                  <w:vMerge w:val="continue"/>
                  <w:shd w:val="clear" w:color="auto" w:fill="auto"/>
                  <w:noWrap w:val="0"/>
                  <w:vAlign w:val="center"/>
                </w:tcPr>
                <w:p w14:paraId="4E36A840">
                  <w:pPr>
                    <w:keepNext w:val="0"/>
                    <w:keepLines w:val="0"/>
                    <w:suppressLineNumbers w:val="0"/>
                    <w:shd w:val="clear" w:color="auto" w:fill="auto"/>
                    <w:adjustRightInd w:val="0"/>
                    <w:snapToGrid w:val="0"/>
                    <w:spacing w:before="0" w:beforeAutospacing="0" w:after="0" w:afterAutospacing="0"/>
                    <w:ind w:left="0" w:right="0"/>
                    <w:jc w:val="center"/>
                    <w:rPr>
                      <w:rFonts w:hint="eastAsia"/>
                      <w:color w:val="000000" w:themeColor="text1"/>
                      <w:szCs w:val="21"/>
                      <w:highlight w:val="none"/>
                      <w14:textFill>
                        <w14:solidFill>
                          <w14:schemeClr w14:val="tx1"/>
                        </w14:solidFill>
                      </w14:textFill>
                    </w:rPr>
                  </w:pPr>
                </w:p>
              </w:tc>
              <w:tc>
                <w:tcPr>
                  <w:tcW w:w="2349" w:type="pct"/>
                  <w:shd w:val="clear" w:color="auto" w:fill="auto"/>
                  <w:noWrap w:val="0"/>
                  <w:vAlign w:val="center"/>
                </w:tcPr>
                <w:p w14:paraId="3A7BB6EC">
                  <w:pPr>
                    <w:keepNext w:val="0"/>
                    <w:keepLines w:val="0"/>
                    <w:suppressLineNumbers w:val="0"/>
                    <w:shd w:val="clear" w:color="auto" w:fill="auto"/>
                    <w:adjustRightInd w:val="0"/>
                    <w:snapToGrid w:val="0"/>
                    <w:spacing w:before="0" w:beforeAutospacing="0" w:after="0" w:afterAutospacing="0"/>
                    <w:ind w:left="0" w:right="0"/>
                    <w:jc w:val="both"/>
                    <w:rPr>
                      <w:rFonts w:hint="eastAsia"/>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《大气污染物综合排放标准》（DB 50/418－2016）</w:t>
                  </w:r>
                </w:p>
              </w:tc>
            </w:tr>
            <w:tr w14:paraId="4755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11" w:type="pct"/>
                  <w:vMerge w:val="continue"/>
                  <w:noWrap w:val="0"/>
                  <w:vAlign w:val="center"/>
                </w:tcPr>
                <w:p w14:paraId="2EF3AD48">
                  <w:pPr>
                    <w:keepNext w:val="0"/>
                    <w:keepLines w:val="0"/>
                    <w:suppressLineNumbers w:val="0"/>
                    <w:shd w:val="clear" w:color="auto" w:fill="auto"/>
                    <w:adjustRightInd w:val="0"/>
                    <w:snapToGrid w:val="0"/>
                    <w:spacing w:before="0" w:beforeAutospacing="0" w:after="0" w:afterAutospacing="0"/>
                    <w:ind w:left="0" w:right="0"/>
                    <w:jc w:val="center"/>
                    <w:rPr>
                      <w:rFonts w:hint="eastAsia"/>
                      <w:color w:val="000000" w:themeColor="text1"/>
                      <w:szCs w:val="21"/>
                      <w:highlight w:val="none"/>
                      <w14:textFill>
                        <w14:solidFill>
                          <w14:schemeClr w14:val="tx1"/>
                        </w14:solidFill>
                      </w14:textFill>
                    </w:rPr>
                  </w:pPr>
                </w:p>
              </w:tc>
              <w:tc>
                <w:tcPr>
                  <w:tcW w:w="972" w:type="pct"/>
                  <w:shd w:val="clear" w:color="auto" w:fill="auto"/>
                  <w:noWrap w:val="0"/>
                  <w:vAlign w:val="center"/>
                </w:tcPr>
                <w:p w14:paraId="4E386B9F">
                  <w:pPr>
                    <w:keepNext w:val="0"/>
                    <w:keepLines w:val="0"/>
                    <w:suppressLineNumbers w:val="0"/>
                    <w:shd w:val="clear" w:color="auto" w:fill="auto"/>
                    <w:adjustRightInd w:val="0"/>
                    <w:snapToGrid w:val="0"/>
                    <w:spacing w:before="0" w:beforeAutospacing="0" w:after="0" w:afterAutospacing="0"/>
                    <w:ind w:left="0" w:right="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臭气浓度</w:t>
                  </w:r>
                </w:p>
              </w:tc>
              <w:tc>
                <w:tcPr>
                  <w:tcW w:w="965" w:type="pct"/>
                  <w:vMerge w:val="continue"/>
                  <w:shd w:val="clear" w:color="auto" w:fill="auto"/>
                  <w:noWrap w:val="0"/>
                  <w:vAlign w:val="center"/>
                </w:tcPr>
                <w:p w14:paraId="47E874E7">
                  <w:pPr>
                    <w:keepNext w:val="0"/>
                    <w:keepLines w:val="0"/>
                    <w:suppressLineNumbers w:val="0"/>
                    <w:shd w:val="clear" w:color="auto" w:fill="auto"/>
                    <w:adjustRightInd w:val="0"/>
                    <w:snapToGrid w:val="0"/>
                    <w:spacing w:before="0" w:beforeAutospacing="0" w:after="0" w:afterAutospacing="0"/>
                    <w:ind w:left="0" w:right="0"/>
                    <w:jc w:val="center"/>
                    <w:rPr>
                      <w:rFonts w:hint="eastAsia"/>
                      <w:color w:val="000000" w:themeColor="text1"/>
                      <w:szCs w:val="21"/>
                      <w:highlight w:val="none"/>
                      <w14:textFill>
                        <w14:solidFill>
                          <w14:schemeClr w14:val="tx1"/>
                        </w14:solidFill>
                      </w14:textFill>
                    </w:rPr>
                  </w:pPr>
                </w:p>
              </w:tc>
              <w:tc>
                <w:tcPr>
                  <w:tcW w:w="2349" w:type="pct"/>
                  <w:shd w:val="clear" w:color="auto" w:fill="auto"/>
                  <w:noWrap w:val="0"/>
                  <w:vAlign w:val="center"/>
                </w:tcPr>
                <w:p w14:paraId="29CAA49B">
                  <w:pPr>
                    <w:keepNext w:val="0"/>
                    <w:keepLines w:val="0"/>
                    <w:suppressLineNumbers w:val="0"/>
                    <w:shd w:val="clear" w:color="auto" w:fill="auto"/>
                    <w:adjustRightInd w:val="0"/>
                    <w:snapToGrid w:val="0"/>
                    <w:spacing w:before="0" w:beforeAutospacing="0" w:after="0" w:afterAutospacing="0"/>
                    <w:ind w:left="0" w:right="0"/>
                    <w:jc w:val="both"/>
                    <w:rPr>
                      <w:rFonts w:hint="eastAsia"/>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《恶臭污染物排放标准》（GB14554-93）</w:t>
                  </w:r>
                </w:p>
              </w:tc>
            </w:tr>
            <w:tr w14:paraId="6838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1" w:type="pct"/>
                  <w:shd w:val="clear" w:color="auto" w:fill="auto"/>
                  <w:noWrap w:val="0"/>
                  <w:vAlign w:val="center"/>
                </w:tcPr>
                <w:p w14:paraId="26B7619F">
                  <w:pPr>
                    <w:keepNext w:val="0"/>
                    <w:keepLines w:val="0"/>
                    <w:suppressLineNumbers w:val="0"/>
                    <w:shd w:val="clear" w:color="auto" w:fill="auto"/>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厂房外设置监控点</w:t>
                  </w:r>
                </w:p>
              </w:tc>
              <w:tc>
                <w:tcPr>
                  <w:tcW w:w="972" w:type="pct"/>
                  <w:shd w:val="clear" w:color="auto" w:fill="auto"/>
                  <w:noWrap w:val="0"/>
                  <w:vAlign w:val="center"/>
                </w:tcPr>
                <w:p w14:paraId="6B39887B">
                  <w:pPr>
                    <w:keepNext w:val="0"/>
                    <w:keepLines w:val="0"/>
                    <w:suppressLineNumbers w:val="0"/>
                    <w:shd w:val="clear" w:color="auto" w:fill="auto"/>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非甲烷总烃</w:t>
                  </w:r>
                </w:p>
              </w:tc>
              <w:tc>
                <w:tcPr>
                  <w:tcW w:w="965" w:type="pct"/>
                  <w:shd w:val="clear" w:color="auto" w:fill="auto"/>
                  <w:noWrap w:val="0"/>
                  <w:vAlign w:val="center"/>
                </w:tcPr>
                <w:p w14:paraId="4C0E0852">
                  <w:pPr>
                    <w:keepNext w:val="0"/>
                    <w:keepLines w:val="0"/>
                    <w:suppressLineNumbers w:val="0"/>
                    <w:shd w:val="clear" w:color="auto" w:fill="auto"/>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验收时监测一次，营运期</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每年监测一次</w:t>
                  </w:r>
                </w:p>
              </w:tc>
              <w:tc>
                <w:tcPr>
                  <w:tcW w:w="2349" w:type="pct"/>
                  <w:shd w:val="clear" w:color="auto" w:fill="auto"/>
                  <w:noWrap w:val="0"/>
                  <w:vAlign w:val="center"/>
                </w:tcPr>
                <w:p w14:paraId="6724959A">
                  <w:pPr>
                    <w:keepNext w:val="0"/>
                    <w:keepLines w:val="0"/>
                    <w:suppressLineNumbers w:val="0"/>
                    <w:shd w:val="clear" w:color="auto" w:fill="auto"/>
                    <w:adjustRightInd w:val="0"/>
                    <w:snapToGrid w:val="0"/>
                    <w:spacing w:before="0" w:beforeAutospacing="0" w:after="0" w:afterAutospacing="0"/>
                    <w:ind w:left="0" w:right="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Cs w:val="21"/>
                      <w:highlight w:val="none"/>
                      <w14:textFill>
                        <w14:solidFill>
                          <w14:schemeClr w14:val="tx1"/>
                        </w14:solidFill>
                      </w14:textFill>
                    </w:rPr>
                    <w:t>《挥发性有机物无组织排放控制标准》（GB 37822-2019）</w:t>
                  </w:r>
                </w:p>
              </w:tc>
            </w:tr>
          </w:tbl>
          <w:p w14:paraId="55E4FECB">
            <w:pPr>
              <w:pStyle w:val="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default" w:ascii="Times New Roman" w:cs="Times New Roman"/>
                <w:b/>
                <w:bCs/>
                <w:color w:val="000000" w:themeColor="text1"/>
                <w:vertAlign w:val="baseline"/>
                <w:lang w:val="en-US" w:eastAsia="zh-CN"/>
                <w14:textFill>
                  <w14:solidFill>
                    <w14:schemeClr w14:val="tx1"/>
                  </w14:solidFill>
                </w14:textFill>
              </w:rPr>
            </w:pPr>
            <w:r>
              <w:rPr>
                <w:rFonts w:hint="eastAsia" w:ascii="Times New Roman" w:cs="Times New Roman"/>
                <w:b/>
                <w:bCs/>
                <w:color w:val="000000" w:themeColor="text1"/>
                <w:vertAlign w:val="baseline"/>
                <w:lang w:val="en-US" w:eastAsia="zh-CN"/>
                <w14:textFill>
                  <w14:solidFill>
                    <w14:schemeClr w14:val="tx1"/>
                  </w14:solidFill>
                </w14:textFill>
              </w:rPr>
              <w:t>2、废水</w:t>
            </w:r>
          </w:p>
          <w:p w14:paraId="087DD1CD">
            <w:pPr>
              <w:pStyle w:val="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default" w:ascii="Times New Roman" w:cs="Times New Roman"/>
                <w:b/>
                <w:bCs/>
                <w:color w:val="000000" w:themeColor="text1"/>
                <w:vertAlign w:val="baseline"/>
                <w:lang w:val="en-US" w:eastAsia="zh-CN"/>
                <w14:textFill>
                  <w14:solidFill>
                    <w14:schemeClr w14:val="tx1"/>
                  </w14:solidFill>
                </w14:textFill>
              </w:rPr>
            </w:pPr>
            <w:r>
              <w:rPr>
                <w:rFonts w:hint="eastAsia" w:ascii="Times New Roman" w:cs="Times New Roman"/>
                <w:b/>
                <w:bCs/>
                <w:color w:val="000000" w:themeColor="text1"/>
                <w:vertAlign w:val="baseline"/>
                <w:lang w:val="en-US" w:eastAsia="zh-CN"/>
                <w14:textFill>
                  <w14:solidFill>
                    <w14:schemeClr w14:val="tx1"/>
                  </w14:solidFill>
                </w14:textFill>
              </w:rPr>
              <w:t>2.1、</w:t>
            </w:r>
            <w:r>
              <w:rPr>
                <w:rFonts w:hint="default" w:ascii="Times New Roman" w:cs="Times New Roman"/>
                <w:b/>
                <w:bCs/>
                <w:color w:val="000000" w:themeColor="text1"/>
                <w:vertAlign w:val="baseline"/>
                <w:lang w:val="en-US" w:eastAsia="zh-CN"/>
                <w14:textFill>
                  <w14:solidFill>
                    <w14:schemeClr w14:val="tx1"/>
                  </w14:solidFill>
                </w14:textFill>
              </w:rPr>
              <w:t>废水源强</w:t>
            </w:r>
          </w:p>
          <w:p w14:paraId="554A4336">
            <w:pPr>
              <w:pStyle w:val="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eastAsia" w:ascii="Times New Roman" w:cs="Times New Roman"/>
                <w:b w:val="0"/>
                <w:bCs w:val="0"/>
                <w:color w:val="000000" w:themeColor="text1"/>
                <w:vertAlign w:val="baseline"/>
                <w:lang w:val="en-US" w:eastAsia="zh-CN"/>
                <w14:textFill>
                  <w14:solidFill>
                    <w14:schemeClr w14:val="tx1"/>
                  </w14:solidFill>
                </w14:textFill>
              </w:rPr>
            </w:pPr>
            <w:r>
              <w:rPr>
                <w:rFonts w:hint="default" w:ascii="Times New Roman" w:cs="Times New Roman"/>
                <w:b w:val="0"/>
                <w:bCs w:val="0"/>
                <w:color w:val="000000" w:themeColor="text1"/>
                <w:vertAlign w:val="baseline"/>
                <w:lang w:val="en-US" w:eastAsia="zh-CN"/>
                <w14:textFill>
                  <w14:solidFill>
                    <w14:schemeClr w14:val="tx1"/>
                  </w14:solidFill>
                </w14:textFill>
              </w:rPr>
              <w:t>本项目营运期污废水主要为员工生活污水</w:t>
            </w:r>
            <w:r>
              <w:rPr>
                <w:rFonts w:hint="eastAsia" w:ascii="Times New Roman" w:cs="Times New Roman"/>
                <w:b w:val="0"/>
                <w:bCs w:val="0"/>
                <w:color w:val="000000" w:themeColor="text1"/>
                <w:vertAlign w:val="baseline"/>
                <w:lang w:val="en-US" w:eastAsia="zh-CN"/>
                <w14:textFill>
                  <w14:solidFill>
                    <w14:schemeClr w14:val="tx1"/>
                  </w14:solidFill>
                </w14:textFill>
              </w:rPr>
              <w:t>、洗手废水、洗枪废水、水帘柜废水。洗枪废水回用于调漆；工人洗手废水经油水分离器预处理；水帘柜废水经一体化生产废水处理站预处理，预处理后的水与员工生活污水一起依托已建生化池（设计处理规模为100m</w:t>
            </w:r>
            <w:r>
              <w:rPr>
                <w:rFonts w:hint="eastAsia" w:ascii="Times New Roman" w:cs="Times New Roman"/>
                <w:b w:val="0"/>
                <w:bCs w:val="0"/>
                <w:color w:val="000000" w:themeColor="text1"/>
                <w:vertAlign w:val="superscript"/>
                <w:lang w:val="en-US" w:eastAsia="zh-CN"/>
                <w14:textFill>
                  <w14:solidFill>
                    <w14:schemeClr w14:val="tx1"/>
                  </w14:solidFill>
                </w14:textFill>
              </w:rPr>
              <w:t>3</w:t>
            </w:r>
            <w:r>
              <w:rPr>
                <w:rFonts w:hint="eastAsia" w:ascii="Times New Roman" w:cs="Times New Roman"/>
                <w:b w:val="0"/>
                <w:bCs w:val="0"/>
                <w:color w:val="000000" w:themeColor="text1"/>
                <w:vertAlign w:val="baseline"/>
                <w:lang w:val="en-US" w:eastAsia="zh-CN"/>
                <w14:textFill>
                  <w14:solidFill>
                    <w14:schemeClr w14:val="tx1"/>
                  </w14:solidFill>
                </w14:textFill>
              </w:rPr>
              <w:t>/d）处理，达《污水综合排放标准》（GB8978-1996）三级标准后经园区市政污水管网排入青杠污水处理厂深度处理，</w:t>
            </w:r>
            <w:r>
              <w:rPr>
                <w:rFonts w:hint="default" w:ascii="Times New Roman" w:hAnsi="Times New Roman" w:cs="Times New Roman"/>
                <w:color w:val="000000" w:themeColor="text1"/>
                <w:sz w:val="24"/>
                <w:szCs w:val="24"/>
                <w:lang w:val="en-US" w:eastAsia="zh-CN"/>
                <w14:textFill>
                  <w14:solidFill>
                    <w14:schemeClr w14:val="tx1"/>
                  </w14:solidFill>
                </w14:textFill>
              </w:rPr>
              <w:t>COD、BOD</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color w:val="000000" w:themeColor="text1"/>
                <w:sz w:val="24"/>
                <w:szCs w:val="24"/>
                <w:lang w:val="en-US" w:eastAsia="zh-CN"/>
                <w14:textFill>
                  <w14:solidFill>
                    <w14:schemeClr w14:val="tx1"/>
                  </w14:solidFill>
                </w14:textFill>
              </w:rPr>
              <w:t>、NH</w:t>
            </w:r>
            <w:r>
              <w:rPr>
                <w:rFonts w:hint="default" w:ascii="Times New Roman" w:hAnsi="Times New Roman" w:cs="Times New Roman"/>
                <w:color w:val="000000" w:themeColor="text1"/>
                <w:sz w:val="24"/>
                <w:szCs w:val="24"/>
                <w:vertAlign w:val="subscript"/>
                <w:lang w:val="en-US" w:eastAsia="zh-CN"/>
                <w14:textFill>
                  <w14:solidFill>
                    <w14:schemeClr w14:val="tx1"/>
                  </w14:solidFill>
                </w14:textFill>
              </w:rPr>
              <w:t>3</w:t>
            </w:r>
            <w:r>
              <w:rPr>
                <w:rFonts w:hint="default" w:ascii="Times New Roman" w:hAnsi="Times New Roman" w:cs="Times New Roman"/>
                <w:color w:val="000000" w:themeColor="text1"/>
                <w:sz w:val="24"/>
                <w:szCs w:val="24"/>
                <w:lang w:val="en-US" w:eastAsia="zh-CN"/>
                <w14:textFill>
                  <w14:solidFill>
                    <w14:schemeClr w14:val="tx1"/>
                  </w14:solidFill>
                </w14:textFill>
              </w:rPr>
              <w:t>-N、TP达《地表水环境质量标准》（GB3838-2002）IV类标准，其余污染物达《城镇污水处理厂污染物排放标准》（GB18918-2002）一级A标准排入璧南河。</w:t>
            </w:r>
          </w:p>
          <w:p w14:paraId="6D314D7A">
            <w:pPr>
              <w:pStyle w:val="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cs="Times New Roman"/>
                <w:b w:val="0"/>
                <w:bCs w:val="0"/>
                <w:color w:val="000000" w:themeColor="text1"/>
                <w:vertAlign w:val="baseline"/>
                <w:lang w:val="en-US" w:eastAsia="zh-CN"/>
                <w14:textFill>
                  <w14:solidFill>
                    <w14:schemeClr w14:val="tx1"/>
                  </w14:solidFill>
                </w14:textFill>
              </w:rPr>
            </w:pPr>
            <w:r>
              <w:rPr>
                <w:rFonts w:hint="eastAsia" w:ascii="Times New Roman" w:cs="Times New Roman"/>
                <w:b w:val="0"/>
                <w:bCs w:val="0"/>
                <w:color w:val="000000" w:themeColor="text1"/>
                <w:vertAlign w:val="baseline"/>
                <w:lang w:val="en-US" w:eastAsia="zh-CN"/>
                <w14:textFill>
                  <w14:solidFill>
                    <w14:schemeClr w14:val="tx1"/>
                  </w14:solidFill>
                </w14:textFill>
              </w:rPr>
              <w:t>项目废水产排情况见下表。</w:t>
            </w:r>
          </w:p>
        </w:tc>
      </w:tr>
    </w:tbl>
    <w:p w14:paraId="610CC1F9">
      <w:pPr>
        <w:pStyle w:val="2"/>
        <w:rPr>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2"/>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3118"/>
      </w:tblGrid>
      <w:tr w14:paraId="10315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2" w:hRule="atLeast"/>
          <w:jc w:val="center"/>
        </w:trPr>
        <w:tc>
          <w:tcPr>
            <w:tcW w:w="488" w:type="dxa"/>
            <w:vAlign w:val="center"/>
          </w:tcPr>
          <w:p w14:paraId="0400E28F">
            <w:pPr>
              <w:keepNext w:val="0"/>
              <w:keepLines w:val="0"/>
              <w:suppressLineNumbers w:val="0"/>
              <w:spacing w:before="0" w:beforeAutospacing="0" w:after="0" w:afterAutospacing="0"/>
              <w:ind w:left="0" w:right="0"/>
              <w:jc w:val="center"/>
              <w:rPr>
                <w:rFonts w:hint="default"/>
                <w:color w:val="000000" w:themeColor="text1"/>
                <w:szCs w:val="21"/>
                <w14:textFill>
                  <w14:solidFill>
                    <w14:schemeClr w14:val="tx1"/>
                  </w14:solidFill>
                </w14:textFill>
              </w:rPr>
            </w:pPr>
            <w:r>
              <w:rPr>
                <w:rFonts w:hint="default"/>
                <w:bCs/>
                <w:color w:val="000000" w:themeColor="text1"/>
                <w:sz w:val="24"/>
                <w:szCs w:val="24"/>
                <w14:textFill>
                  <w14:solidFill>
                    <w14:schemeClr w14:val="tx1"/>
                  </w14:solidFill>
                </w14:textFill>
              </w:rPr>
              <w:t>运营期环境影响和保护措施</w:t>
            </w:r>
          </w:p>
        </w:tc>
        <w:tc>
          <w:tcPr>
            <w:tcW w:w="13118" w:type="dxa"/>
            <w:vAlign w:val="top"/>
          </w:tcPr>
          <w:p w14:paraId="32C59DC4">
            <w:pPr>
              <w:keepNext w:val="0"/>
              <w:keepLines w:val="0"/>
              <w:suppressLineNumbers w:val="0"/>
              <w:spacing w:before="0" w:beforeAutospacing="0" w:after="0" w:afterAutospacing="0"/>
              <w:ind w:left="0" w:right="0"/>
              <w:jc w:val="center"/>
              <w:rPr>
                <w:rFonts w:hint="default"/>
                <w:b/>
                <w:bCs/>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表4-</w:t>
            </w:r>
            <w:r>
              <w:rPr>
                <w:rFonts w:hint="eastAsia"/>
                <w:b/>
                <w:bCs/>
                <w:color w:val="000000" w:themeColor="text1"/>
                <w:sz w:val="24"/>
                <w:szCs w:val="24"/>
                <w14:textFill>
                  <w14:solidFill>
                    <w14:schemeClr w14:val="tx1"/>
                  </w14:solidFill>
                </w14:textFill>
              </w:rPr>
              <w:t>6</w:t>
            </w:r>
            <w:r>
              <w:rPr>
                <w:rFonts w:hint="default"/>
                <w:b/>
                <w:bCs/>
                <w:color w:val="000000" w:themeColor="text1"/>
                <w:sz w:val="24"/>
                <w:szCs w:val="24"/>
                <w14:textFill>
                  <w14:solidFill>
                    <w14:schemeClr w14:val="tx1"/>
                  </w14:solidFill>
                </w14:textFill>
              </w:rPr>
              <w:t xml:space="preserve"> 废水污染物排放情况表</w:t>
            </w:r>
          </w:p>
          <w:tbl>
            <w:tblPr>
              <w:tblStyle w:val="21"/>
              <w:tblW w:w="48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617"/>
              <w:gridCol w:w="961"/>
              <w:gridCol w:w="1068"/>
              <w:gridCol w:w="1168"/>
              <w:gridCol w:w="901"/>
              <w:gridCol w:w="1311"/>
              <w:gridCol w:w="824"/>
              <w:gridCol w:w="1088"/>
              <w:gridCol w:w="854"/>
              <w:gridCol w:w="956"/>
              <w:gridCol w:w="968"/>
            </w:tblGrid>
            <w:tr w14:paraId="6C8F5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3" w:type="pct"/>
                  <w:vMerge w:val="restart"/>
                  <w:vAlign w:val="center"/>
                </w:tcPr>
                <w:p w14:paraId="45DCE576">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产排污环节</w:t>
                  </w:r>
                </w:p>
              </w:tc>
              <w:tc>
                <w:tcPr>
                  <w:tcW w:w="648" w:type="pct"/>
                  <w:vMerge w:val="restart"/>
                  <w:vAlign w:val="center"/>
                </w:tcPr>
                <w:p w14:paraId="079D686A">
                  <w:pPr>
                    <w:keepNext w:val="0"/>
                    <w:keepLines w:val="0"/>
                    <w:suppressLineNumbers w:val="0"/>
                    <w:spacing w:before="0" w:beforeAutospacing="0" w:after="0" w:afterAutospacing="0"/>
                    <w:ind w:left="0" w:right="0"/>
                    <w:jc w:val="center"/>
                    <w:rPr>
                      <w:rFonts w:hint="default" w:eastAsia="宋体"/>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名称</w:t>
                  </w:r>
                </w:p>
              </w:tc>
              <w:tc>
                <w:tcPr>
                  <w:tcW w:w="385" w:type="pct"/>
                  <w:vMerge w:val="restart"/>
                  <w:vAlign w:val="center"/>
                </w:tcPr>
                <w:p w14:paraId="5D14F8E0">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废水量</w:t>
                  </w:r>
                  <w:r>
                    <w:rPr>
                      <w:rFonts w:hint="eastAsia"/>
                      <w:b/>
                      <w:bCs/>
                      <w:color w:val="000000" w:themeColor="text1"/>
                      <w:sz w:val="21"/>
                      <w:szCs w:val="21"/>
                      <w:lang w:eastAsia="zh-CN"/>
                      <w14:textFill>
                        <w14:solidFill>
                          <w14:schemeClr w14:val="tx1"/>
                        </w14:solidFill>
                      </w14:textFill>
                    </w:rPr>
                    <w:t>（</w:t>
                  </w:r>
                  <w:r>
                    <w:rPr>
                      <w:rFonts w:hint="default"/>
                      <w:b/>
                      <w:bCs/>
                      <w:color w:val="000000" w:themeColor="text1"/>
                      <w:sz w:val="21"/>
                      <w:szCs w:val="21"/>
                      <w14:textFill>
                        <w14:solidFill>
                          <w14:schemeClr w14:val="tx1"/>
                        </w14:solidFill>
                      </w14:textFill>
                    </w:rPr>
                    <w:t>m</w:t>
                  </w:r>
                  <w:r>
                    <w:rPr>
                      <w:rFonts w:hint="default"/>
                      <w:b/>
                      <w:bCs/>
                      <w:color w:val="000000" w:themeColor="text1"/>
                      <w:sz w:val="21"/>
                      <w:szCs w:val="21"/>
                      <w:vertAlign w:val="superscript"/>
                      <w14:textFill>
                        <w14:solidFill>
                          <w14:schemeClr w14:val="tx1"/>
                        </w14:solidFill>
                      </w14:textFill>
                    </w:rPr>
                    <w:t>3</w:t>
                  </w:r>
                  <w:r>
                    <w:rPr>
                      <w:rFonts w:hint="default"/>
                      <w:b/>
                      <w:bCs/>
                      <w:color w:val="000000" w:themeColor="text1"/>
                      <w:sz w:val="21"/>
                      <w:szCs w:val="21"/>
                      <w14:textFill>
                        <w14:solidFill>
                          <w14:schemeClr w14:val="tx1"/>
                        </w14:solidFill>
                      </w14:textFill>
                    </w:rPr>
                    <w:t>/a</w:t>
                  </w:r>
                  <w:r>
                    <w:rPr>
                      <w:rFonts w:hint="eastAsia"/>
                      <w:b/>
                      <w:bCs/>
                      <w:color w:val="000000" w:themeColor="text1"/>
                      <w:sz w:val="21"/>
                      <w:szCs w:val="21"/>
                      <w:lang w:eastAsia="zh-CN"/>
                      <w14:textFill>
                        <w14:solidFill>
                          <w14:schemeClr w14:val="tx1"/>
                        </w14:solidFill>
                      </w14:textFill>
                    </w:rPr>
                    <w:t>）</w:t>
                  </w:r>
                </w:p>
              </w:tc>
              <w:tc>
                <w:tcPr>
                  <w:tcW w:w="428" w:type="pct"/>
                  <w:vMerge w:val="restart"/>
                  <w:vAlign w:val="center"/>
                </w:tcPr>
                <w:p w14:paraId="7CDB61AA">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污染物种类</w:t>
                  </w:r>
                </w:p>
              </w:tc>
              <w:tc>
                <w:tcPr>
                  <w:tcW w:w="829" w:type="pct"/>
                  <w:gridSpan w:val="2"/>
                  <w:vAlign w:val="center"/>
                </w:tcPr>
                <w:p w14:paraId="751A6C07">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产生情况</w:t>
                  </w:r>
                </w:p>
              </w:tc>
              <w:tc>
                <w:tcPr>
                  <w:tcW w:w="855" w:type="pct"/>
                  <w:gridSpan w:val="2"/>
                  <w:vAlign w:val="center"/>
                </w:tcPr>
                <w:p w14:paraId="3DCA03DB">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pPr>
                  <w:r>
                    <w:rPr>
                      <w:rFonts w:hint="default"/>
                      <w:b/>
                      <w:bCs/>
                      <w:color w:val="000000" w:themeColor="text1"/>
                      <w:sz w:val="21"/>
                      <w:szCs w:val="21"/>
                      <w14:textFill>
                        <w14:solidFill>
                          <w14:schemeClr w14:val="tx1"/>
                        </w14:solidFill>
                      </w14:textFill>
                    </w:rPr>
                    <w:t>治理设施</w:t>
                  </w:r>
                </w:p>
              </w:tc>
              <w:tc>
                <w:tcPr>
                  <w:tcW w:w="778" w:type="pct"/>
                  <w:gridSpan w:val="2"/>
                  <w:shd w:val="clear" w:color="auto" w:fill="auto"/>
                  <w:vAlign w:val="center"/>
                </w:tcPr>
                <w:p w14:paraId="5DF047CB">
                  <w:pPr>
                    <w:keepNext w:val="0"/>
                    <w:keepLines w:val="0"/>
                    <w:widowControl w:val="0"/>
                    <w:suppressLineNumbers w:val="0"/>
                    <w:snapToGrid w:val="0"/>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t>排入市政污水管网</w:t>
                  </w:r>
                </w:p>
              </w:tc>
              <w:tc>
                <w:tcPr>
                  <w:tcW w:w="771" w:type="pct"/>
                  <w:gridSpan w:val="2"/>
                  <w:shd w:val="clear" w:color="auto" w:fill="auto"/>
                  <w:vAlign w:val="center"/>
                </w:tcPr>
                <w:p w14:paraId="1CACF089">
                  <w:pPr>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t>排出污水处理厂</w:t>
                  </w:r>
                </w:p>
              </w:tc>
            </w:tr>
            <w:tr w14:paraId="68C11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vAlign w:val="center"/>
                </w:tcPr>
                <w:p w14:paraId="2562F73B">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p>
              </w:tc>
              <w:tc>
                <w:tcPr>
                  <w:tcW w:w="648" w:type="pct"/>
                  <w:vMerge w:val="continue"/>
                  <w:vAlign w:val="center"/>
                </w:tcPr>
                <w:p w14:paraId="5A9B969F">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p>
              </w:tc>
              <w:tc>
                <w:tcPr>
                  <w:tcW w:w="385" w:type="pct"/>
                  <w:vMerge w:val="continue"/>
                  <w:vAlign w:val="center"/>
                </w:tcPr>
                <w:p w14:paraId="22F88D6F">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p>
              </w:tc>
              <w:tc>
                <w:tcPr>
                  <w:tcW w:w="428" w:type="pct"/>
                  <w:vMerge w:val="continue"/>
                  <w:vAlign w:val="center"/>
                </w:tcPr>
                <w:p w14:paraId="343F6127">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p>
              </w:tc>
              <w:tc>
                <w:tcPr>
                  <w:tcW w:w="468" w:type="pct"/>
                  <w:vAlign w:val="center"/>
                </w:tcPr>
                <w:p w14:paraId="2EB1E832">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产生浓度</w:t>
                  </w:r>
                </w:p>
                <w:p w14:paraId="4B386F6C">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eastAsia" w:eastAsia="宋体" w:cs="Times New Roman"/>
                      <w:b/>
                      <w:bCs/>
                      <w:snapToGrid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t>mg/L</w:t>
                  </w:r>
                  <w:r>
                    <w:rPr>
                      <w:rFonts w:hint="eastAsia" w:eastAsia="宋体" w:cs="Times New Roman"/>
                      <w:b/>
                      <w:bCs/>
                      <w:snapToGrid w:val="0"/>
                      <w:color w:val="000000" w:themeColor="text1"/>
                      <w:kern w:val="2"/>
                      <w:sz w:val="21"/>
                      <w:szCs w:val="21"/>
                      <w:highlight w:val="none"/>
                      <w:lang w:val="en-US" w:eastAsia="zh-CN" w:bidi="ar-SA"/>
                      <w14:textFill>
                        <w14:solidFill>
                          <w14:schemeClr w14:val="tx1"/>
                        </w14:solidFill>
                      </w14:textFill>
                    </w:rPr>
                    <w:t>）</w:t>
                  </w:r>
                </w:p>
              </w:tc>
              <w:tc>
                <w:tcPr>
                  <w:tcW w:w="361" w:type="pct"/>
                  <w:vAlign w:val="center"/>
                </w:tcPr>
                <w:p w14:paraId="4584C5C2">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产生量</w:t>
                  </w:r>
                </w:p>
                <w:p w14:paraId="64F2F738">
                  <w:pPr>
                    <w:keepNext w:val="0"/>
                    <w:keepLines w:val="0"/>
                    <w:suppressLineNumbers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eastAsia" w:eastAsia="宋体" w:cs="Times New Roman"/>
                      <w:b/>
                      <w:bCs/>
                      <w:snapToGrid w:val="0"/>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t>t/a</w:t>
                  </w:r>
                  <w:r>
                    <w:rPr>
                      <w:rFonts w:hint="eastAsia" w:eastAsia="宋体" w:cs="Times New Roman"/>
                      <w:b/>
                      <w:bCs/>
                      <w:snapToGrid w:val="0"/>
                      <w:color w:val="000000" w:themeColor="text1"/>
                      <w:kern w:val="2"/>
                      <w:sz w:val="21"/>
                      <w:szCs w:val="21"/>
                      <w:highlight w:val="none"/>
                      <w:lang w:val="en-US" w:eastAsia="zh-CN" w:bidi="ar-SA"/>
                      <w14:textFill>
                        <w14:solidFill>
                          <w14:schemeClr w14:val="tx1"/>
                        </w14:solidFill>
                      </w14:textFill>
                    </w:rPr>
                    <w:t>）</w:t>
                  </w:r>
                </w:p>
              </w:tc>
              <w:tc>
                <w:tcPr>
                  <w:tcW w:w="525" w:type="pct"/>
                  <w:vAlign w:val="center"/>
                </w:tcPr>
                <w:p w14:paraId="1123498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pPr>
                  <w:r>
                    <w:rPr>
                      <w:rFonts w:hint="default"/>
                      <w:b/>
                      <w:bCs/>
                      <w:color w:val="000000" w:themeColor="text1"/>
                      <w:sz w:val="21"/>
                      <w:szCs w:val="21"/>
                      <w14:textFill>
                        <w14:solidFill>
                          <w14:schemeClr w14:val="tx1"/>
                        </w14:solidFill>
                      </w14:textFill>
                    </w:rPr>
                    <w:t>设施名称及工艺</w:t>
                  </w:r>
                </w:p>
              </w:tc>
              <w:tc>
                <w:tcPr>
                  <w:tcW w:w="330" w:type="pct"/>
                  <w:vAlign w:val="center"/>
                </w:tcPr>
                <w:p w14:paraId="1C957313">
                  <w:pPr>
                    <w:keepNext w:val="0"/>
                    <w:keepLines w:val="0"/>
                    <w:widowControl w:val="0"/>
                    <w:suppressLineNumbers w:val="0"/>
                    <w:snapToGrid w:val="0"/>
                    <w:spacing w:before="0" w:beforeAutospacing="0" w:after="0" w:afterAutospacing="0" w:line="240" w:lineRule="auto"/>
                    <w:ind w:left="0" w:right="0" w:firstLine="0" w:firstLineChars="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是否为可行技术</w:t>
                  </w:r>
                </w:p>
              </w:tc>
              <w:tc>
                <w:tcPr>
                  <w:tcW w:w="436" w:type="pct"/>
                  <w:shd w:val="clear" w:color="auto" w:fill="auto"/>
                  <w:vAlign w:val="center"/>
                </w:tcPr>
                <w:p w14:paraId="31FB8645">
                  <w:pPr>
                    <w:keepNext w:val="0"/>
                    <w:keepLines w:val="0"/>
                    <w:widowControl w:val="0"/>
                    <w:suppressLineNumbers w:val="0"/>
                    <w:snapToGrid w:val="0"/>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t>排放浓度</w:t>
                  </w:r>
                </w:p>
                <w:p w14:paraId="6F10C63E">
                  <w:pPr>
                    <w:keepNext w:val="0"/>
                    <w:keepLines w:val="0"/>
                    <w:widowControl w:val="0"/>
                    <w:suppressLineNumbers w:val="0"/>
                    <w:snapToGrid w:val="0"/>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t>（mg/L）</w:t>
                  </w:r>
                </w:p>
              </w:tc>
              <w:tc>
                <w:tcPr>
                  <w:tcW w:w="342" w:type="pct"/>
                  <w:shd w:val="clear" w:color="auto" w:fill="auto"/>
                  <w:vAlign w:val="center"/>
                </w:tcPr>
                <w:p w14:paraId="425BFAEA">
                  <w:pPr>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t>排放量（t/a）</w:t>
                  </w:r>
                </w:p>
              </w:tc>
              <w:tc>
                <w:tcPr>
                  <w:tcW w:w="383" w:type="pct"/>
                  <w:shd w:val="clear" w:color="auto" w:fill="auto"/>
                  <w:vAlign w:val="center"/>
                </w:tcPr>
                <w:p w14:paraId="7E956F2C">
                  <w:pPr>
                    <w:keepNext w:val="0"/>
                    <w:keepLines w:val="0"/>
                    <w:widowControl w:val="0"/>
                    <w:suppressLineNumbers w:val="0"/>
                    <w:snapToGrid w:val="0"/>
                    <w:spacing w:before="0" w:beforeAutospacing="0" w:after="0" w:afterAutospacing="0" w:line="240" w:lineRule="auto"/>
                    <w:ind w:left="-105" w:leftChars="-50" w:right="-105" w:rightChars="-50"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t>排放浓度（mg/L）</w:t>
                  </w:r>
                </w:p>
              </w:tc>
              <w:tc>
                <w:tcPr>
                  <w:tcW w:w="388" w:type="pct"/>
                  <w:shd w:val="clear" w:color="auto" w:fill="auto"/>
                  <w:vAlign w:val="center"/>
                </w:tcPr>
                <w:p w14:paraId="01505252">
                  <w:pPr>
                    <w:keepNext w:val="0"/>
                    <w:keepLines w:val="0"/>
                    <w:widowControl w:val="0"/>
                    <w:suppressLineNumbers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highlight w:val="none"/>
                      <w:lang w:val="en-US" w:eastAsia="zh-CN" w:bidi="ar-SA"/>
                      <w14:textFill>
                        <w14:solidFill>
                          <w14:schemeClr w14:val="tx1"/>
                        </w14:solidFill>
                      </w14:textFill>
                    </w:rPr>
                    <w:t>排放量（t/a）</w:t>
                  </w:r>
                </w:p>
              </w:tc>
            </w:tr>
            <w:tr w14:paraId="0EE33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restart"/>
                  <w:vAlign w:val="center"/>
                </w:tcPr>
                <w:p w14:paraId="4ED574C0">
                  <w:pPr>
                    <w:keepNext w:val="0"/>
                    <w:keepLines w:val="0"/>
                    <w:widowControl/>
                    <w:suppressLineNumbers w:val="0"/>
                    <w:spacing w:before="0" w:beforeAutospacing="0" w:after="0" w:afterAutospacing="0"/>
                    <w:ind w:left="0" w:right="0"/>
                    <w:jc w:val="center"/>
                    <w:textAlignment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生活</w:t>
                  </w:r>
                </w:p>
              </w:tc>
              <w:tc>
                <w:tcPr>
                  <w:tcW w:w="648" w:type="pct"/>
                  <w:vMerge w:val="restart"/>
                  <w:vAlign w:val="center"/>
                </w:tcPr>
                <w:p w14:paraId="36CC4E27">
                  <w:pPr>
                    <w:keepNext w:val="0"/>
                    <w:keepLines w:val="0"/>
                    <w:widowControl/>
                    <w:suppressLineNumbers w:val="0"/>
                    <w:spacing w:before="0" w:beforeAutospacing="0" w:after="0" w:afterAutospacing="0"/>
                    <w:ind w:left="0" w:right="0"/>
                    <w:jc w:val="center"/>
                    <w:textAlignment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生活污水</w:t>
                  </w:r>
                </w:p>
              </w:tc>
              <w:tc>
                <w:tcPr>
                  <w:tcW w:w="385" w:type="pct"/>
                  <w:vMerge w:val="restart"/>
                  <w:vAlign w:val="center"/>
                </w:tcPr>
                <w:p w14:paraId="057E17B3">
                  <w:pPr>
                    <w:keepNext w:val="0"/>
                    <w:keepLines w:val="0"/>
                    <w:widowControl/>
                    <w:suppressLineNumbers w:val="0"/>
                    <w:spacing w:before="0" w:beforeAutospacing="0" w:after="0" w:afterAutospacing="0"/>
                    <w:ind w:left="0" w:right="0"/>
                    <w:jc w:val="center"/>
                    <w:textAlignment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270</w:t>
                  </w:r>
                </w:p>
              </w:tc>
              <w:tc>
                <w:tcPr>
                  <w:tcW w:w="428" w:type="pct"/>
                  <w:vAlign w:val="center"/>
                </w:tcPr>
                <w:p w14:paraId="6BCAE925">
                  <w:pPr>
                    <w:keepNext w:val="0"/>
                    <w:keepLines w:val="0"/>
                    <w:widowControl/>
                    <w:suppressLineNumbers w:val="0"/>
                    <w:spacing w:before="0" w:beforeAutospacing="0" w:after="0" w:afterAutospacing="0"/>
                    <w:ind w:left="0" w:right="0"/>
                    <w:jc w:val="center"/>
                    <w:textAlignment w:val="center"/>
                    <w:rPr>
                      <w:rFonts w:hint="default"/>
                      <w:color w:val="000000" w:themeColor="text1"/>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COD</w:t>
                  </w:r>
                </w:p>
              </w:tc>
              <w:tc>
                <w:tcPr>
                  <w:tcW w:w="468" w:type="pct"/>
                  <w:vAlign w:val="center"/>
                </w:tcPr>
                <w:p w14:paraId="16D7EA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550</w:t>
                  </w:r>
                </w:p>
              </w:tc>
              <w:tc>
                <w:tcPr>
                  <w:tcW w:w="901" w:type="dxa"/>
                  <w:vAlign w:val="center"/>
                </w:tcPr>
                <w:p w14:paraId="282E8AF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0.1485 </w:t>
                  </w:r>
                </w:p>
              </w:tc>
              <w:tc>
                <w:tcPr>
                  <w:tcW w:w="525" w:type="pct"/>
                  <w:vMerge w:val="restart"/>
                  <w:vAlign w:val="center"/>
                </w:tcPr>
                <w:p w14:paraId="4513F75F">
                  <w:pPr>
                    <w:keepNext w:val="0"/>
                    <w:keepLines w:val="0"/>
                    <w:widowControl/>
                    <w:suppressLineNumbers w:val="0"/>
                    <w:spacing w:before="0" w:beforeAutospacing="0" w:after="0" w:afterAutospacing="0"/>
                    <w:ind w:left="0" w:right="0"/>
                    <w:jc w:val="center"/>
                    <w:textAlignment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生化池</w:t>
                  </w:r>
                </w:p>
              </w:tc>
              <w:tc>
                <w:tcPr>
                  <w:tcW w:w="330" w:type="pct"/>
                  <w:vMerge w:val="restart"/>
                  <w:vAlign w:val="center"/>
                </w:tcPr>
                <w:p w14:paraId="1E534A44">
                  <w:pPr>
                    <w:keepNext w:val="0"/>
                    <w:keepLines w:val="0"/>
                    <w:widowControl/>
                    <w:suppressLineNumbers w:val="0"/>
                    <w:spacing w:before="0" w:beforeAutospacing="0" w:after="0" w:afterAutospacing="0"/>
                    <w:ind w:left="0" w:right="0"/>
                    <w:jc w:val="center"/>
                    <w:textAlignment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是</w:t>
                  </w:r>
                </w:p>
              </w:tc>
              <w:tc>
                <w:tcPr>
                  <w:tcW w:w="436" w:type="pct"/>
                  <w:shd w:val="clear" w:color="auto" w:fill="auto"/>
                  <w:vAlign w:val="center"/>
                </w:tcPr>
                <w:p w14:paraId="386ABB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500</w:t>
                  </w:r>
                </w:p>
              </w:tc>
              <w:tc>
                <w:tcPr>
                  <w:tcW w:w="854" w:type="dxa"/>
                  <w:shd w:val="clear" w:color="auto" w:fill="auto"/>
                  <w:vAlign w:val="center"/>
                </w:tcPr>
                <w:p w14:paraId="0BEB004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0.1350 </w:t>
                  </w:r>
                </w:p>
              </w:tc>
              <w:tc>
                <w:tcPr>
                  <w:tcW w:w="383" w:type="pct"/>
                  <w:shd w:val="clear" w:color="auto" w:fill="auto"/>
                  <w:vAlign w:val="center"/>
                </w:tcPr>
                <w:p w14:paraId="23B450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30</w:t>
                  </w:r>
                </w:p>
              </w:tc>
              <w:tc>
                <w:tcPr>
                  <w:tcW w:w="968" w:type="dxa"/>
                  <w:shd w:val="clear" w:color="auto" w:fill="auto"/>
                  <w:vAlign w:val="center"/>
                </w:tcPr>
                <w:p w14:paraId="3C2B22C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0.0081 </w:t>
                  </w:r>
                </w:p>
              </w:tc>
            </w:tr>
            <w:tr w14:paraId="447C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vAlign w:val="center"/>
                </w:tcPr>
                <w:p w14:paraId="5F65E4AD">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648" w:type="pct"/>
                  <w:vMerge w:val="continue"/>
                  <w:vAlign w:val="center"/>
                </w:tcPr>
                <w:p w14:paraId="3DA24535">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385" w:type="pct"/>
                  <w:vMerge w:val="continue"/>
                  <w:vAlign w:val="center"/>
                </w:tcPr>
                <w:p w14:paraId="3DCFD548">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428" w:type="pct"/>
                  <w:vAlign w:val="center"/>
                </w:tcPr>
                <w:p w14:paraId="6972F5B1">
                  <w:pPr>
                    <w:keepNext w:val="0"/>
                    <w:keepLines w:val="0"/>
                    <w:widowControl/>
                    <w:suppressLineNumbers w:val="0"/>
                    <w:spacing w:before="0" w:beforeAutospacing="0" w:after="0" w:afterAutospacing="0"/>
                    <w:ind w:left="0" w:right="0"/>
                    <w:jc w:val="center"/>
                    <w:textAlignment w:val="center"/>
                    <w:rPr>
                      <w:rFonts w:hint="default"/>
                      <w:color w:val="000000" w:themeColor="text1"/>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BOD</w:t>
                  </w:r>
                  <w:r>
                    <w:rPr>
                      <w:rFonts w:hint="default"/>
                      <w:color w:val="000000" w:themeColor="text1"/>
                      <w:kern w:val="0"/>
                      <w:sz w:val="21"/>
                      <w:szCs w:val="21"/>
                      <w:vertAlign w:val="subscript"/>
                      <w14:textFill>
                        <w14:solidFill>
                          <w14:schemeClr w14:val="tx1"/>
                        </w14:solidFill>
                      </w14:textFill>
                    </w:rPr>
                    <w:t>5</w:t>
                  </w:r>
                </w:p>
              </w:tc>
              <w:tc>
                <w:tcPr>
                  <w:tcW w:w="468" w:type="pct"/>
                  <w:vAlign w:val="center"/>
                </w:tcPr>
                <w:p w14:paraId="5173B7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400</w:t>
                  </w:r>
                </w:p>
              </w:tc>
              <w:tc>
                <w:tcPr>
                  <w:tcW w:w="901" w:type="dxa"/>
                  <w:vAlign w:val="center"/>
                </w:tcPr>
                <w:p w14:paraId="7A41A4B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0.1080 </w:t>
                  </w:r>
                </w:p>
              </w:tc>
              <w:tc>
                <w:tcPr>
                  <w:tcW w:w="525" w:type="pct"/>
                  <w:vMerge w:val="continue"/>
                  <w:vAlign w:val="center"/>
                </w:tcPr>
                <w:p w14:paraId="1EDEBB00">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30" w:type="pct"/>
                  <w:vMerge w:val="continue"/>
                  <w:vAlign w:val="center"/>
                </w:tcPr>
                <w:p w14:paraId="45973571">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436" w:type="pct"/>
                  <w:shd w:val="clear" w:color="auto" w:fill="auto"/>
                  <w:vAlign w:val="bottom"/>
                </w:tcPr>
                <w:p w14:paraId="56153A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300</w:t>
                  </w:r>
                </w:p>
              </w:tc>
              <w:tc>
                <w:tcPr>
                  <w:tcW w:w="854" w:type="dxa"/>
                  <w:shd w:val="clear" w:color="auto" w:fill="auto"/>
                  <w:vAlign w:val="center"/>
                </w:tcPr>
                <w:p w14:paraId="3F768FB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0.0810 </w:t>
                  </w:r>
                </w:p>
              </w:tc>
              <w:tc>
                <w:tcPr>
                  <w:tcW w:w="383" w:type="pct"/>
                  <w:shd w:val="clear" w:color="auto" w:fill="auto"/>
                  <w:vAlign w:val="bottom"/>
                </w:tcPr>
                <w:p w14:paraId="59DB70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6</w:t>
                  </w:r>
                </w:p>
              </w:tc>
              <w:tc>
                <w:tcPr>
                  <w:tcW w:w="968" w:type="dxa"/>
                  <w:shd w:val="clear" w:color="auto" w:fill="auto"/>
                  <w:vAlign w:val="center"/>
                </w:tcPr>
                <w:p w14:paraId="3505747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0.0016 </w:t>
                  </w:r>
                </w:p>
              </w:tc>
            </w:tr>
            <w:tr w14:paraId="72AC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vAlign w:val="center"/>
                </w:tcPr>
                <w:p w14:paraId="59B6D618">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648" w:type="pct"/>
                  <w:vMerge w:val="continue"/>
                  <w:vAlign w:val="center"/>
                </w:tcPr>
                <w:p w14:paraId="601AF482">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385" w:type="pct"/>
                  <w:vMerge w:val="continue"/>
                  <w:vAlign w:val="center"/>
                </w:tcPr>
                <w:p w14:paraId="23E2BBE1">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428" w:type="pct"/>
                  <w:vAlign w:val="center"/>
                </w:tcPr>
                <w:p w14:paraId="361DB68C">
                  <w:pPr>
                    <w:keepNext w:val="0"/>
                    <w:keepLines w:val="0"/>
                    <w:widowControl/>
                    <w:suppressLineNumbers w:val="0"/>
                    <w:spacing w:before="0" w:beforeAutospacing="0" w:after="0" w:afterAutospacing="0"/>
                    <w:ind w:left="0" w:right="0"/>
                    <w:jc w:val="center"/>
                    <w:textAlignment w:val="center"/>
                    <w:rPr>
                      <w:rFonts w:hint="default"/>
                      <w:color w:val="000000" w:themeColor="text1"/>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SS</w:t>
                  </w:r>
                </w:p>
              </w:tc>
              <w:tc>
                <w:tcPr>
                  <w:tcW w:w="468" w:type="pct"/>
                  <w:vAlign w:val="center"/>
                </w:tcPr>
                <w:p w14:paraId="3FDBAB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450</w:t>
                  </w:r>
                </w:p>
              </w:tc>
              <w:tc>
                <w:tcPr>
                  <w:tcW w:w="901" w:type="dxa"/>
                  <w:vAlign w:val="center"/>
                </w:tcPr>
                <w:p w14:paraId="1DA1723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0.1215 </w:t>
                  </w:r>
                </w:p>
              </w:tc>
              <w:tc>
                <w:tcPr>
                  <w:tcW w:w="525" w:type="pct"/>
                  <w:vMerge w:val="continue"/>
                  <w:vAlign w:val="center"/>
                </w:tcPr>
                <w:p w14:paraId="5D395F61">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30" w:type="pct"/>
                  <w:vMerge w:val="continue"/>
                  <w:vAlign w:val="center"/>
                </w:tcPr>
                <w:p w14:paraId="3A4FBEE1">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436" w:type="pct"/>
                  <w:shd w:val="clear" w:color="auto" w:fill="auto"/>
                  <w:vAlign w:val="bottom"/>
                </w:tcPr>
                <w:p w14:paraId="12FD9C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400</w:t>
                  </w:r>
                </w:p>
              </w:tc>
              <w:tc>
                <w:tcPr>
                  <w:tcW w:w="854" w:type="dxa"/>
                  <w:shd w:val="clear" w:color="auto" w:fill="auto"/>
                  <w:vAlign w:val="center"/>
                </w:tcPr>
                <w:p w14:paraId="0B287CD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0.1080 </w:t>
                  </w:r>
                </w:p>
              </w:tc>
              <w:tc>
                <w:tcPr>
                  <w:tcW w:w="383" w:type="pct"/>
                  <w:shd w:val="clear" w:color="auto" w:fill="auto"/>
                  <w:vAlign w:val="bottom"/>
                </w:tcPr>
                <w:p w14:paraId="73B209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10</w:t>
                  </w:r>
                </w:p>
              </w:tc>
              <w:tc>
                <w:tcPr>
                  <w:tcW w:w="968" w:type="dxa"/>
                  <w:shd w:val="clear" w:color="auto" w:fill="auto"/>
                  <w:vAlign w:val="center"/>
                </w:tcPr>
                <w:p w14:paraId="7B57ABF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0.0027 </w:t>
                  </w:r>
                </w:p>
              </w:tc>
            </w:tr>
            <w:tr w14:paraId="56753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vAlign w:val="center"/>
                </w:tcPr>
                <w:p w14:paraId="2E965D55">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648" w:type="pct"/>
                  <w:vMerge w:val="continue"/>
                  <w:vAlign w:val="center"/>
                </w:tcPr>
                <w:p w14:paraId="1E5526D3">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385" w:type="pct"/>
                  <w:vMerge w:val="continue"/>
                  <w:vAlign w:val="center"/>
                </w:tcPr>
                <w:p w14:paraId="2FD4D2D4">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428" w:type="pct"/>
                  <w:vAlign w:val="center"/>
                </w:tcPr>
                <w:p w14:paraId="2403CC84">
                  <w:pPr>
                    <w:keepNext w:val="0"/>
                    <w:keepLines w:val="0"/>
                    <w:widowControl/>
                    <w:suppressLineNumbers w:val="0"/>
                    <w:spacing w:before="0" w:beforeAutospacing="0" w:after="0" w:afterAutospacing="0"/>
                    <w:ind w:left="0" w:right="0"/>
                    <w:jc w:val="center"/>
                    <w:textAlignment w:val="center"/>
                    <w:rPr>
                      <w:rFonts w:hint="default"/>
                      <w:color w:val="000000" w:themeColor="text1"/>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NH</w:t>
                  </w:r>
                  <w:r>
                    <w:rPr>
                      <w:rFonts w:hint="default"/>
                      <w:color w:val="000000" w:themeColor="text1"/>
                      <w:kern w:val="0"/>
                      <w:sz w:val="21"/>
                      <w:szCs w:val="21"/>
                      <w:vertAlign w:val="subscript"/>
                      <w14:textFill>
                        <w14:solidFill>
                          <w14:schemeClr w14:val="tx1"/>
                        </w14:solidFill>
                      </w14:textFill>
                    </w:rPr>
                    <w:t>3</w:t>
                  </w:r>
                  <w:r>
                    <w:rPr>
                      <w:rFonts w:hint="default"/>
                      <w:color w:val="000000" w:themeColor="text1"/>
                      <w:kern w:val="0"/>
                      <w:sz w:val="21"/>
                      <w:szCs w:val="21"/>
                      <w14:textFill>
                        <w14:solidFill>
                          <w14:schemeClr w14:val="tx1"/>
                        </w14:solidFill>
                      </w14:textFill>
                    </w:rPr>
                    <w:t>-N</w:t>
                  </w:r>
                </w:p>
              </w:tc>
              <w:tc>
                <w:tcPr>
                  <w:tcW w:w="468" w:type="pct"/>
                  <w:vAlign w:val="center"/>
                </w:tcPr>
                <w:p w14:paraId="4368B1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60</w:t>
                  </w:r>
                </w:p>
              </w:tc>
              <w:tc>
                <w:tcPr>
                  <w:tcW w:w="901" w:type="dxa"/>
                  <w:vAlign w:val="center"/>
                </w:tcPr>
                <w:p w14:paraId="258996FD">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0.0162 </w:t>
                  </w:r>
                </w:p>
              </w:tc>
              <w:tc>
                <w:tcPr>
                  <w:tcW w:w="525" w:type="pct"/>
                  <w:vMerge w:val="continue"/>
                  <w:vAlign w:val="center"/>
                </w:tcPr>
                <w:p w14:paraId="6BD34CE5">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30" w:type="pct"/>
                  <w:vMerge w:val="continue"/>
                  <w:vAlign w:val="center"/>
                </w:tcPr>
                <w:p w14:paraId="7D576D20">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436" w:type="pct"/>
                  <w:shd w:val="clear" w:color="auto" w:fill="auto"/>
                  <w:vAlign w:val="bottom"/>
                </w:tcPr>
                <w:p w14:paraId="6A4B18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45</w:t>
                  </w:r>
                </w:p>
              </w:tc>
              <w:tc>
                <w:tcPr>
                  <w:tcW w:w="854" w:type="dxa"/>
                  <w:shd w:val="clear" w:color="auto" w:fill="auto"/>
                  <w:vAlign w:val="center"/>
                </w:tcPr>
                <w:p w14:paraId="43BF9F4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0.0122 </w:t>
                  </w:r>
                </w:p>
              </w:tc>
              <w:tc>
                <w:tcPr>
                  <w:tcW w:w="383" w:type="pct"/>
                  <w:shd w:val="clear" w:color="auto" w:fill="auto"/>
                  <w:vAlign w:val="bottom"/>
                </w:tcPr>
                <w:p w14:paraId="578F1E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1.5</w:t>
                  </w:r>
                </w:p>
              </w:tc>
              <w:tc>
                <w:tcPr>
                  <w:tcW w:w="968" w:type="dxa"/>
                  <w:shd w:val="clear" w:color="auto" w:fill="auto"/>
                  <w:vAlign w:val="center"/>
                </w:tcPr>
                <w:p w14:paraId="548F27E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0.0004 </w:t>
                  </w:r>
                </w:p>
              </w:tc>
            </w:tr>
            <w:tr w14:paraId="1FA70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vAlign w:val="center"/>
                </w:tcPr>
                <w:p w14:paraId="0D17F8C4">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648" w:type="pct"/>
                  <w:vMerge w:val="continue"/>
                  <w:vAlign w:val="center"/>
                </w:tcPr>
                <w:p w14:paraId="4C27D308">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385" w:type="pct"/>
                  <w:vMerge w:val="continue"/>
                  <w:vAlign w:val="center"/>
                </w:tcPr>
                <w:p w14:paraId="33F38D44">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428" w:type="pct"/>
                  <w:vAlign w:val="center"/>
                </w:tcPr>
                <w:p w14:paraId="773B9D21">
                  <w:pPr>
                    <w:keepNext w:val="0"/>
                    <w:keepLines w:val="0"/>
                    <w:widowControl/>
                    <w:suppressLineNumbers w:val="0"/>
                    <w:spacing w:before="0" w:beforeAutospacing="0" w:after="0" w:afterAutospacing="0"/>
                    <w:ind w:left="0" w:right="0"/>
                    <w:jc w:val="center"/>
                    <w:textAlignment w:val="center"/>
                    <w:rPr>
                      <w:rFonts w:hint="default"/>
                      <w:color w:val="000000" w:themeColor="text1"/>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总磷</w:t>
                  </w:r>
                </w:p>
              </w:tc>
              <w:tc>
                <w:tcPr>
                  <w:tcW w:w="468" w:type="pct"/>
                  <w:vAlign w:val="center"/>
                </w:tcPr>
                <w:p w14:paraId="753D80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w:t>
                  </w:r>
                </w:p>
              </w:tc>
              <w:tc>
                <w:tcPr>
                  <w:tcW w:w="901" w:type="dxa"/>
                  <w:vAlign w:val="center"/>
                </w:tcPr>
                <w:p w14:paraId="1815F99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0.0027 </w:t>
                  </w:r>
                </w:p>
              </w:tc>
              <w:tc>
                <w:tcPr>
                  <w:tcW w:w="525" w:type="pct"/>
                  <w:vMerge w:val="continue"/>
                  <w:vAlign w:val="center"/>
                </w:tcPr>
                <w:p w14:paraId="4E633035">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330" w:type="pct"/>
                  <w:vMerge w:val="continue"/>
                  <w:vAlign w:val="center"/>
                </w:tcPr>
                <w:p w14:paraId="18553603">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436" w:type="pct"/>
                  <w:shd w:val="clear" w:color="auto" w:fill="auto"/>
                  <w:vAlign w:val="bottom"/>
                </w:tcPr>
                <w:p w14:paraId="31328E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8</w:t>
                  </w:r>
                </w:p>
              </w:tc>
              <w:tc>
                <w:tcPr>
                  <w:tcW w:w="854" w:type="dxa"/>
                  <w:shd w:val="clear" w:color="auto" w:fill="auto"/>
                  <w:vAlign w:val="center"/>
                </w:tcPr>
                <w:p w14:paraId="0AA9D80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0.0022 </w:t>
                  </w:r>
                </w:p>
              </w:tc>
              <w:tc>
                <w:tcPr>
                  <w:tcW w:w="383" w:type="pct"/>
                  <w:shd w:val="clear" w:color="auto" w:fill="auto"/>
                  <w:vAlign w:val="bottom"/>
                </w:tcPr>
                <w:p w14:paraId="101939B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0.3</w:t>
                  </w:r>
                </w:p>
              </w:tc>
              <w:tc>
                <w:tcPr>
                  <w:tcW w:w="968" w:type="dxa"/>
                  <w:shd w:val="clear" w:color="auto" w:fill="auto"/>
                  <w:vAlign w:val="center"/>
                </w:tcPr>
                <w:p w14:paraId="2EF15AC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0.0001 </w:t>
                  </w:r>
                </w:p>
              </w:tc>
            </w:tr>
            <w:tr w14:paraId="263A8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restart"/>
                  <w:vAlign w:val="center"/>
                </w:tcPr>
                <w:p w14:paraId="32D4A64C">
                  <w:pPr>
                    <w:keepNext w:val="0"/>
                    <w:keepLines w:val="0"/>
                    <w:suppressLineNumbers w:val="0"/>
                    <w:spacing w:before="0" w:beforeAutospacing="0" w:after="0" w:afterAutospacing="0"/>
                    <w:ind w:left="0" w:right="0"/>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员工洗手</w:t>
                  </w:r>
                </w:p>
              </w:tc>
              <w:tc>
                <w:tcPr>
                  <w:tcW w:w="648" w:type="pct"/>
                  <w:vMerge w:val="restart"/>
                  <w:vAlign w:val="center"/>
                </w:tcPr>
                <w:p w14:paraId="30706BE9">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洗手废水</w:t>
                  </w:r>
                </w:p>
              </w:tc>
              <w:tc>
                <w:tcPr>
                  <w:tcW w:w="385" w:type="pct"/>
                  <w:vMerge w:val="restart"/>
                  <w:vAlign w:val="center"/>
                </w:tcPr>
                <w:p w14:paraId="1740E467">
                  <w:pPr>
                    <w:keepNext w:val="0"/>
                    <w:keepLines w:val="0"/>
                    <w:suppressLineNumbers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27</w:t>
                  </w:r>
                </w:p>
              </w:tc>
              <w:tc>
                <w:tcPr>
                  <w:tcW w:w="428" w:type="pct"/>
                  <w:shd w:val="clear" w:color="auto" w:fill="auto"/>
                  <w:vAlign w:val="center"/>
                </w:tcPr>
                <w:p w14:paraId="2919F6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COD</w:t>
                  </w:r>
                </w:p>
              </w:tc>
              <w:tc>
                <w:tcPr>
                  <w:tcW w:w="468" w:type="pct"/>
                  <w:vAlign w:val="center"/>
                </w:tcPr>
                <w:p w14:paraId="117983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550</w:t>
                  </w:r>
                </w:p>
              </w:tc>
              <w:tc>
                <w:tcPr>
                  <w:tcW w:w="901" w:type="dxa"/>
                  <w:vAlign w:val="center"/>
                </w:tcPr>
                <w:p w14:paraId="1A720A61">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0.0149 </w:t>
                  </w:r>
                </w:p>
              </w:tc>
              <w:tc>
                <w:tcPr>
                  <w:tcW w:w="525" w:type="pct"/>
                  <w:vMerge w:val="restart"/>
                  <w:vAlign w:val="center"/>
                </w:tcPr>
                <w:p w14:paraId="228BAF77">
                  <w:pPr>
                    <w:keepNext w:val="0"/>
                    <w:keepLines w:val="0"/>
                    <w:suppressLineNumbers w:val="0"/>
                    <w:spacing w:before="0" w:beforeAutospacing="0" w:after="0" w:afterAutospacing="0"/>
                    <w:ind w:left="0" w:right="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油水分离器</w:t>
                  </w:r>
                </w:p>
              </w:tc>
              <w:tc>
                <w:tcPr>
                  <w:tcW w:w="330" w:type="pct"/>
                  <w:vMerge w:val="restart"/>
                  <w:vAlign w:val="center"/>
                </w:tcPr>
                <w:p w14:paraId="3EE47C6E">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是</w:t>
                  </w:r>
                </w:p>
              </w:tc>
              <w:tc>
                <w:tcPr>
                  <w:tcW w:w="436" w:type="pct"/>
                  <w:shd w:val="clear" w:color="auto" w:fill="auto"/>
                  <w:vAlign w:val="bottom"/>
                </w:tcPr>
                <w:p w14:paraId="361C30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500</w:t>
                  </w:r>
                </w:p>
              </w:tc>
              <w:tc>
                <w:tcPr>
                  <w:tcW w:w="854" w:type="dxa"/>
                  <w:shd w:val="clear" w:color="auto" w:fill="auto"/>
                  <w:vAlign w:val="center"/>
                </w:tcPr>
                <w:p w14:paraId="1B42809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0.0135 </w:t>
                  </w:r>
                </w:p>
              </w:tc>
              <w:tc>
                <w:tcPr>
                  <w:tcW w:w="383" w:type="pct"/>
                  <w:shd w:val="clear" w:color="auto" w:fill="auto"/>
                  <w:vAlign w:val="bottom"/>
                </w:tcPr>
                <w:p w14:paraId="722EF0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30</w:t>
                  </w:r>
                </w:p>
              </w:tc>
              <w:tc>
                <w:tcPr>
                  <w:tcW w:w="968" w:type="dxa"/>
                  <w:shd w:val="clear" w:color="auto" w:fill="auto"/>
                  <w:vAlign w:val="center"/>
                </w:tcPr>
                <w:p w14:paraId="091A9A9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0.0008 </w:t>
                  </w:r>
                </w:p>
              </w:tc>
            </w:tr>
            <w:tr w14:paraId="7520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vAlign w:val="center"/>
                </w:tcPr>
                <w:p w14:paraId="39ADDCF5">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648" w:type="pct"/>
                  <w:vMerge w:val="continue"/>
                  <w:vAlign w:val="center"/>
                </w:tcPr>
                <w:p w14:paraId="5B484135">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385" w:type="pct"/>
                  <w:vMerge w:val="continue"/>
                  <w:vAlign w:val="center"/>
                </w:tcPr>
                <w:p w14:paraId="0101262C">
                  <w:pPr>
                    <w:keepNext w:val="0"/>
                    <w:keepLines w:val="0"/>
                    <w:widowControl/>
                    <w:suppressLineNumbers w:val="0"/>
                    <w:spacing w:before="0" w:beforeAutospacing="0" w:after="0" w:afterAutospacing="0"/>
                    <w:ind w:left="0" w:right="0"/>
                    <w:jc w:val="center"/>
                    <w:textAlignment w:val="center"/>
                    <w:rPr>
                      <w:rFonts w:hint="default" w:eastAsia="宋体"/>
                      <w:color w:val="000000" w:themeColor="text1"/>
                      <w:kern w:val="0"/>
                      <w:sz w:val="21"/>
                      <w:szCs w:val="21"/>
                      <w:lang w:val="en-US" w:eastAsia="zh-CN"/>
                      <w14:textFill>
                        <w14:solidFill>
                          <w14:schemeClr w14:val="tx1"/>
                        </w14:solidFill>
                      </w14:textFill>
                    </w:rPr>
                  </w:pPr>
                </w:p>
              </w:tc>
              <w:tc>
                <w:tcPr>
                  <w:tcW w:w="428" w:type="pct"/>
                  <w:shd w:val="clear" w:color="auto" w:fill="auto"/>
                  <w:vAlign w:val="center"/>
                </w:tcPr>
                <w:p w14:paraId="13F4703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SS</w:t>
                  </w:r>
                </w:p>
              </w:tc>
              <w:tc>
                <w:tcPr>
                  <w:tcW w:w="468" w:type="pct"/>
                  <w:vAlign w:val="center"/>
                </w:tcPr>
                <w:p w14:paraId="2F76CC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450</w:t>
                  </w:r>
                </w:p>
              </w:tc>
              <w:tc>
                <w:tcPr>
                  <w:tcW w:w="901" w:type="dxa"/>
                  <w:vAlign w:val="center"/>
                </w:tcPr>
                <w:p w14:paraId="6EC899EF">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0.0122 </w:t>
                  </w:r>
                </w:p>
              </w:tc>
              <w:tc>
                <w:tcPr>
                  <w:tcW w:w="525" w:type="pct"/>
                  <w:vMerge w:val="continue"/>
                  <w:vAlign w:val="center"/>
                </w:tcPr>
                <w:p w14:paraId="08DE039E">
                  <w:pPr>
                    <w:keepNext w:val="0"/>
                    <w:keepLines w:val="0"/>
                    <w:suppressLineNumbers w:val="0"/>
                    <w:spacing w:before="0" w:beforeAutospacing="0" w:after="0" w:afterAutospacing="0"/>
                    <w:ind w:left="0" w:right="0"/>
                    <w:jc w:val="center"/>
                    <w:rPr>
                      <w:rFonts w:hint="eastAsia"/>
                      <w:color w:val="000000" w:themeColor="text1"/>
                      <w:sz w:val="21"/>
                      <w:szCs w:val="21"/>
                      <w:highlight w:val="none"/>
                      <w14:textFill>
                        <w14:solidFill>
                          <w14:schemeClr w14:val="tx1"/>
                        </w14:solidFill>
                      </w14:textFill>
                    </w:rPr>
                  </w:pPr>
                </w:p>
              </w:tc>
              <w:tc>
                <w:tcPr>
                  <w:tcW w:w="330" w:type="pct"/>
                  <w:vMerge w:val="continue"/>
                  <w:vAlign w:val="center"/>
                </w:tcPr>
                <w:p w14:paraId="78999587">
                  <w:pPr>
                    <w:keepNext w:val="0"/>
                    <w:keepLines w:val="0"/>
                    <w:suppressLineNumbers w:val="0"/>
                    <w:spacing w:before="0" w:beforeAutospacing="0" w:after="0" w:afterAutospacing="0"/>
                    <w:ind w:left="0" w:right="0"/>
                    <w:jc w:val="center"/>
                    <w:rPr>
                      <w:rFonts w:hint="eastAsia"/>
                      <w:color w:val="000000" w:themeColor="text1"/>
                      <w:sz w:val="21"/>
                      <w:szCs w:val="21"/>
                      <w:highlight w:val="none"/>
                      <w14:textFill>
                        <w14:solidFill>
                          <w14:schemeClr w14:val="tx1"/>
                        </w14:solidFill>
                      </w14:textFill>
                    </w:rPr>
                  </w:pPr>
                </w:p>
              </w:tc>
              <w:tc>
                <w:tcPr>
                  <w:tcW w:w="436" w:type="pct"/>
                  <w:shd w:val="clear" w:color="auto" w:fill="auto"/>
                  <w:vAlign w:val="bottom"/>
                </w:tcPr>
                <w:p w14:paraId="50C82E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400</w:t>
                  </w:r>
                </w:p>
              </w:tc>
              <w:tc>
                <w:tcPr>
                  <w:tcW w:w="854" w:type="dxa"/>
                  <w:shd w:val="clear" w:color="auto" w:fill="auto"/>
                  <w:vAlign w:val="center"/>
                </w:tcPr>
                <w:p w14:paraId="625023B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0.0108 </w:t>
                  </w:r>
                </w:p>
              </w:tc>
              <w:tc>
                <w:tcPr>
                  <w:tcW w:w="383" w:type="pct"/>
                  <w:shd w:val="clear" w:color="auto" w:fill="auto"/>
                  <w:vAlign w:val="bottom"/>
                </w:tcPr>
                <w:p w14:paraId="33EA0E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10</w:t>
                  </w:r>
                </w:p>
              </w:tc>
              <w:tc>
                <w:tcPr>
                  <w:tcW w:w="968" w:type="dxa"/>
                  <w:shd w:val="clear" w:color="auto" w:fill="auto"/>
                  <w:vAlign w:val="center"/>
                </w:tcPr>
                <w:p w14:paraId="7D3E7FA2">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0.0003 </w:t>
                  </w:r>
                </w:p>
              </w:tc>
            </w:tr>
            <w:tr w14:paraId="04B48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vAlign w:val="center"/>
                </w:tcPr>
                <w:p w14:paraId="3F1BD65B">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648" w:type="pct"/>
                  <w:vMerge w:val="continue"/>
                  <w:vAlign w:val="center"/>
                </w:tcPr>
                <w:p w14:paraId="249E824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385" w:type="pct"/>
                  <w:vMerge w:val="continue"/>
                  <w:vAlign w:val="center"/>
                </w:tcPr>
                <w:p w14:paraId="7926174A">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428" w:type="pct"/>
                  <w:vAlign w:val="center"/>
                </w:tcPr>
                <w:p w14:paraId="347088A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石油类</w:t>
                  </w:r>
                </w:p>
              </w:tc>
              <w:tc>
                <w:tcPr>
                  <w:tcW w:w="468" w:type="pct"/>
                  <w:vAlign w:val="center"/>
                </w:tcPr>
                <w:p w14:paraId="4F2185E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30</w:t>
                  </w:r>
                </w:p>
              </w:tc>
              <w:tc>
                <w:tcPr>
                  <w:tcW w:w="901" w:type="dxa"/>
                  <w:vAlign w:val="center"/>
                </w:tcPr>
                <w:p w14:paraId="6C11746E">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0.0008 </w:t>
                  </w:r>
                </w:p>
              </w:tc>
              <w:tc>
                <w:tcPr>
                  <w:tcW w:w="525" w:type="pct"/>
                  <w:vMerge w:val="continue"/>
                  <w:vAlign w:val="center"/>
                </w:tcPr>
                <w:p w14:paraId="78F0CB04">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330" w:type="pct"/>
                  <w:vMerge w:val="continue"/>
                  <w:vAlign w:val="center"/>
                </w:tcPr>
                <w:p w14:paraId="2D4FAF72">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436" w:type="pct"/>
                  <w:shd w:val="clear" w:color="auto" w:fill="auto"/>
                  <w:vAlign w:val="bottom"/>
                </w:tcPr>
                <w:p w14:paraId="266046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20</w:t>
                  </w:r>
                </w:p>
              </w:tc>
              <w:tc>
                <w:tcPr>
                  <w:tcW w:w="854" w:type="dxa"/>
                  <w:shd w:val="clear" w:color="auto" w:fill="auto"/>
                  <w:vAlign w:val="center"/>
                </w:tcPr>
                <w:p w14:paraId="4000DF8D">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0.0005 </w:t>
                  </w:r>
                </w:p>
              </w:tc>
              <w:tc>
                <w:tcPr>
                  <w:tcW w:w="383" w:type="pct"/>
                  <w:shd w:val="clear" w:color="auto" w:fill="auto"/>
                  <w:vAlign w:val="bottom"/>
                </w:tcPr>
                <w:p w14:paraId="50A93A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w:t>
                  </w:r>
                </w:p>
              </w:tc>
              <w:tc>
                <w:tcPr>
                  <w:tcW w:w="968" w:type="dxa"/>
                  <w:shd w:val="clear" w:color="auto" w:fill="auto"/>
                  <w:vAlign w:val="center"/>
                </w:tcPr>
                <w:p w14:paraId="2A04FFB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0.00003 </w:t>
                  </w:r>
                </w:p>
              </w:tc>
            </w:tr>
            <w:tr w14:paraId="5949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restart"/>
                  <w:vAlign w:val="center"/>
                </w:tcPr>
                <w:p w14:paraId="6C9CE507">
                  <w:pPr>
                    <w:keepNext w:val="0"/>
                    <w:keepLines w:val="0"/>
                    <w:suppressLineNumbers w:val="0"/>
                    <w:spacing w:before="0" w:beforeAutospacing="0" w:after="0" w:afterAutospacing="0"/>
                    <w:ind w:left="0" w:right="0"/>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喷漆</w:t>
                  </w:r>
                </w:p>
              </w:tc>
              <w:tc>
                <w:tcPr>
                  <w:tcW w:w="648" w:type="pct"/>
                  <w:vMerge w:val="restart"/>
                  <w:vAlign w:val="center"/>
                </w:tcPr>
                <w:p w14:paraId="5785043E">
                  <w:pPr>
                    <w:keepNext w:val="0"/>
                    <w:keepLines w:val="0"/>
                    <w:suppressLineNumbers w:val="0"/>
                    <w:adjustRightInd w:val="0"/>
                    <w:snapToGrid w:val="0"/>
                    <w:spacing w:before="0" w:beforeAutospacing="0" w:after="0" w:afterAutospacing="0"/>
                    <w:ind w:left="0" w:right="0"/>
                    <w:jc w:val="both"/>
                    <w:rPr>
                      <w:rFonts w:hint="eastAsia"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水帘湿式去漆雾循环水池废水</w:t>
                  </w:r>
                </w:p>
              </w:tc>
              <w:tc>
                <w:tcPr>
                  <w:tcW w:w="385" w:type="pct"/>
                  <w:vMerge w:val="restart"/>
                  <w:vAlign w:val="center"/>
                </w:tcPr>
                <w:p w14:paraId="010A728B">
                  <w:pPr>
                    <w:keepNext w:val="0"/>
                    <w:keepLines w:val="0"/>
                    <w:suppressLineNumbers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20</w:t>
                  </w:r>
                </w:p>
              </w:tc>
              <w:tc>
                <w:tcPr>
                  <w:tcW w:w="428" w:type="pct"/>
                  <w:shd w:val="clear" w:color="auto" w:fill="auto"/>
                  <w:vAlign w:val="center"/>
                </w:tcPr>
                <w:p w14:paraId="23492EB1">
                  <w:pPr>
                    <w:keepNext w:val="0"/>
                    <w:keepLines w:val="0"/>
                    <w:widowControl/>
                    <w:suppressLineNumbers w:val="0"/>
                    <w:shd w:val="clear" w:color="auto" w:fill="auto"/>
                    <w:spacing w:before="0" w:beforeAutospacing="0" w:after="0" w:afterAutospacing="0"/>
                    <w:ind w:left="0" w:right="0"/>
                    <w:jc w:val="center"/>
                    <w:textAlignment w:val="center"/>
                    <w:rPr>
                      <w:rFonts w:hint="eastAsia" w:ascii="Times New Roman" w:hAnsi="Times New Roman" w:eastAsia="等线"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eastAsia="等线"/>
                      <w:color w:val="000000" w:themeColor="text1"/>
                      <w:kern w:val="0"/>
                      <w:sz w:val="21"/>
                      <w:szCs w:val="21"/>
                      <w:highlight w:val="none"/>
                      <w:vertAlign w:val="baseline"/>
                      <w14:textFill>
                        <w14:solidFill>
                          <w14:schemeClr w14:val="tx1"/>
                        </w14:solidFill>
                      </w14:textFill>
                    </w:rPr>
                    <w:t>COD</w:t>
                  </w:r>
                </w:p>
              </w:tc>
              <w:tc>
                <w:tcPr>
                  <w:tcW w:w="1168" w:type="dxa"/>
                  <w:shd w:val="clear" w:color="auto" w:fill="auto"/>
                  <w:vAlign w:val="center"/>
                </w:tcPr>
                <w:p w14:paraId="0E9D250D">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r>
                    <w:rPr>
                      <w:rFonts w:hint="eastAsia" w:cs="Times New Roman"/>
                      <w:i w:val="0"/>
                      <w:iCs w:val="0"/>
                      <w:color w:val="000000" w:themeColor="text1"/>
                      <w:kern w:val="0"/>
                      <w:sz w:val="21"/>
                      <w:szCs w:val="21"/>
                      <w:u w:val="none"/>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w:t>
                  </w:r>
                </w:p>
              </w:tc>
              <w:tc>
                <w:tcPr>
                  <w:tcW w:w="901" w:type="dxa"/>
                  <w:vAlign w:val="center"/>
                </w:tcPr>
                <w:p w14:paraId="610DCFC4">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0.0240 </w:t>
                  </w:r>
                </w:p>
              </w:tc>
              <w:tc>
                <w:tcPr>
                  <w:tcW w:w="525" w:type="pct"/>
                  <w:vMerge w:val="restart"/>
                  <w:vAlign w:val="center"/>
                </w:tcPr>
                <w:p w14:paraId="3C80C5E2">
                  <w:pPr>
                    <w:keepNext w:val="0"/>
                    <w:keepLines w:val="0"/>
                    <w:suppressLineNumbers w:val="0"/>
                    <w:spacing w:before="0" w:beforeAutospacing="0" w:after="0" w:afterAutospacing="0"/>
                    <w:ind w:left="0" w:right="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一体化生产废水处理站</w:t>
                  </w:r>
                </w:p>
              </w:tc>
              <w:tc>
                <w:tcPr>
                  <w:tcW w:w="330" w:type="pct"/>
                  <w:vMerge w:val="restart"/>
                  <w:vAlign w:val="center"/>
                </w:tcPr>
                <w:p w14:paraId="5DC3D795">
                  <w:pPr>
                    <w:keepNext w:val="0"/>
                    <w:keepLines w:val="0"/>
                    <w:suppressLineNumbers w:val="0"/>
                    <w:spacing w:before="0" w:beforeAutospacing="0" w:after="0" w:afterAutospacing="0"/>
                    <w:ind w:left="0" w:right="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是</w:t>
                  </w:r>
                </w:p>
              </w:tc>
              <w:tc>
                <w:tcPr>
                  <w:tcW w:w="436" w:type="pct"/>
                  <w:shd w:val="clear" w:color="auto" w:fill="auto"/>
                  <w:vAlign w:val="bottom"/>
                </w:tcPr>
                <w:p w14:paraId="050591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500</w:t>
                  </w:r>
                </w:p>
              </w:tc>
              <w:tc>
                <w:tcPr>
                  <w:tcW w:w="854" w:type="dxa"/>
                  <w:shd w:val="clear" w:color="auto" w:fill="auto"/>
                  <w:vAlign w:val="center"/>
                </w:tcPr>
                <w:p w14:paraId="3F15B0E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0.0100 </w:t>
                  </w:r>
                </w:p>
              </w:tc>
              <w:tc>
                <w:tcPr>
                  <w:tcW w:w="383" w:type="pct"/>
                  <w:shd w:val="clear" w:color="auto" w:fill="auto"/>
                  <w:vAlign w:val="center"/>
                </w:tcPr>
                <w:p w14:paraId="3AB26B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30</w:t>
                  </w:r>
                </w:p>
              </w:tc>
              <w:tc>
                <w:tcPr>
                  <w:tcW w:w="968" w:type="dxa"/>
                  <w:shd w:val="clear" w:color="auto" w:fill="auto"/>
                  <w:vAlign w:val="center"/>
                </w:tcPr>
                <w:p w14:paraId="634553A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0.0006 </w:t>
                  </w:r>
                </w:p>
              </w:tc>
            </w:tr>
            <w:tr w14:paraId="309BB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vAlign w:val="center"/>
                </w:tcPr>
                <w:p w14:paraId="45419414">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648" w:type="pct"/>
                  <w:vMerge w:val="continue"/>
                  <w:vAlign w:val="center"/>
                </w:tcPr>
                <w:p w14:paraId="02DDCFAB">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385" w:type="pct"/>
                  <w:vMerge w:val="continue"/>
                  <w:vAlign w:val="center"/>
                </w:tcPr>
                <w:p w14:paraId="1CE16CDC">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428" w:type="pct"/>
                  <w:shd w:val="clear" w:color="auto" w:fill="auto"/>
                  <w:vAlign w:val="center"/>
                </w:tcPr>
                <w:p w14:paraId="2D5533B2">
                  <w:pPr>
                    <w:keepNext w:val="0"/>
                    <w:keepLines w:val="0"/>
                    <w:widowControl/>
                    <w:suppressLineNumbers w:val="0"/>
                    <w:shd w:val="clear" w:color="auto" w:fill="auto"/>
                    <w:spacing w:before="0" w:beforeAutospacing="0" w:after="0" w:afterAutospacing="0"/>
                    <w:ind w:left="0" w:right="0"/>
                    <w:jc w:val="center"/>
                    <w:textAlignment w:val="center"/>
                    <w:rPr>
                      <w:rFonts w:hint="eastAsia" w:ascii="Times New Roman" w:hAnsi="Times New Roman" w:eastAsia="等线" w:cs="Times New Roman"/>
                      <w:color w:val="000000" w:themeColor="text1"/>
                      <w:kern w:val="2"/>
                      <w:sz w:val="21"/>
                      <w:szCs w:val="21"/>
                      <w:highlight w:val="none"/>
                      <w:vertAlign w:val="baseline"/>
                      <w:lang w:val="en-US" w:eastAsia="zh-CN" w:bidi="ar-SA"/>
                      <w14:textFill>
                        <w14:solidFill>
                          <w14:schemeClr w14:val="tx1"/>
                        </w14:solidFill>
                      </w14:textFill>
                    </w:rPr>
                  </w:pPr>
                  <w:r>
                    <w:rPr>
                      <w:rStyle w:val="42"/>
                      <w:rFonts w:eastAsia="等线"/>
                      <w:color w:val="000000" w:themeColor="text1"/>
                      <w:sz w:val="21"/>
                      <w:szCs w:val="21"/>
                      <w:highlight w:val="none"/>
                      <w:vertAlign w:val="baseline"/>
                      <w14:textFill>
                        <w14:solidFill>
                          <w14:schemeClr w14:val="tx1"/>
                        </w14:solidFill>
                      </w14:textFill>
                    </w:rPr>
                    <w:t>BOD</w:t>
                  </w:r>
                  <w:r>
                    <w:rPr>
                      <w:rFonts w:hint="default" w:eastAsia="等线"/>
                      <w:color w:val="000000" w:themeColor="text1"/>
                      <w:kern w:val="0"/>
                      <w:sz w:val="21"/>
                      <w:szCs w:val="21"/>
                      <w:highlight w:val="none"/>
                      <w:vertAlign w:val="subscript"/>
                      <w14:textFill>
                        <w14:solidFill>
                          <w14:schemeClr w14:val="tx1"/>
                        </w14:solidFill>
                      </w14:textFill>
                    </w:rPr>
                    <w:t>5</w:t>
                  </w:r>
                </w:p>
              </w:tc>
              <w:tc>
                <w:tcPr>
                  <w:tcW w:w="1168" w:type="dxa"/>
                  <w:shd w:val="clear" w:color="auto" w:fill="auto"/>
                  <w:vAlign w:val="center"/>
                </w:tcPr>
                <w:p w14:paraId="6B7F73E7">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300</w:t>
                  </w:r>
                </w:p>
              </w:tc>
              <w:tc>
                <w:tcPr>
                  <w:tcW w:w="901" w:type="dxa"/>
                  <w:vAlign w:val="center"/>
                </w:tcPr>
                <w:p w14:paraId="1A322E1D">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0.0060 </w:t>
                  </w:r>
                </w:p>
              </w:tc>
              <w:tc>
                <w:tcPr>
                  <w:tcW w:w="525" w:type="pct"/>
                  <w:vMerge w:val="continue"/>
                  <w:vAlign w:val="center"/>
                </w:tcPr>
                <w:p w14:paraId="2F718CF9">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330" w:type="pct"/>
                  <w:vMerge w:val="continue"/>
                  <w:vAlign w:val="center"/>
                </w:tcPr>
                <w:p w14:paraId="70632F05">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436" w:type="pct"/>
                  <w:shd w:val="clear" w:color="auto" w:fill="auto"/>
                  <w:vAlign w:val="bottom"/>
                </w:tcPr>
                <w:p w14:paraId="70CFE8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300</w:t>
                  </w:r>
                </w:p>
              </w:tc>
              <w:tc>
                <w:tcPr>
                  <w:tcW w:w="854" w:type="dxa"/>
                  <w:shd w:val="clear" w:color="auto" w:fill="auto"/>
                  <w:vAlign w:val="center"/>
                </w:tcPr>
                <w:p w14:paraId="5C9C2D3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0.0060 </w:t>
                  </w:r>
                </w:p>
              </w:tc>
              <w:tc>
                <w:tcPr>
                  <w:tcW w:w="383" w:type="pct"/>
                  <w:shd w:val="clear" w:color="auto" w:fill="auto"/>
                  <w:vAlign w:val="bottom"/>
                </w:tcPr>
                <w:p w14:paraId="0E094FB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6</w:t>
                  </w:r>
                </w:p>
              </w:tc>
              <w:tc>
                <w:tcPr>
                  <w:tcW w:w="968" w:type="dxa"/>
                  <w:shd w:val="clear" w:color="auto" w:fill="auto"/>
                  <w:vAlign w:val="center"/>
                </w:tcPr>
                <w:p w14:paraId="7D62B4A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0.0001 </w:t>
                  </w:r>
                </w:p>
              </w:tc>
            </w:tr>
            <w:tr w14:paraId="4A6D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vAlign w:val="center"/>
                </w:tcPr>
                <w:p w14:paraId="74E7AEA4">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648" w:type="pct"/>
                  <w:vMerge w:val="continue"/>
                  <w:vAlign w:val="center"/>
                </w:tcPr>
                <w:p w14:paraId="716D5ACF">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385" w:type="pct"/>
                  <w:vMerge w:val="continue"/>
                  <w:vAlign w:val="center"/>
                </w:tcPr>
                <w:p w14:paraId="435EAFF4">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428" w:type="pct"/>
                  <w:shd w:val="clear" w:color="auto" w:fill="auto"/>
                  <w:vAlign w:val="center"/>
                </w:tcPr>
                <w:p w14:paraId="1E2652C0">
                  <w:pPr>
                    <w:keepNext w:val="0"/>
                    <w:keepLines w:val="0"/>
                    <w:widowControl/>
                    <w:suppressLineNumbers w:val="0"/>
                    <w:shd w:val="clear" w:color="auto" w:fill="auto"/>
                    <w:spacing w:before="0" w:beforeAutospacing="0" w:after="0" w:afterAutospacing="0"/>
                    <w:ind w:left="0" w:right="0"/>
                    <w:jc w:val="center"/>
                    <w:textAlignment w:val="center"/>
                    <w:rPr>
                      <w:rFonts w:hint="eastAsia" w:ascii="Times New Roman" w:hAnsi="Times New Roman" w:eastAsia="等线" w:cs="Times New Roman"/>
                      <w:color w:val="000000" w:themeColor="text1"/>
                      <w:kern w:val="2"/>
                      <w:sz w:val="21"/>
                      <w:szCs w:val="21"/>
                      <w:highlight w:val="none"/>
                      <w:vertAlign w:val="baseline"/>
                      <w:lang w:val="en-US" w:eastAsia="zh-CN" w:bidi="ar-SA"/>
                      <w14:textFill>
                        <w14:solidFill>
                          <w14:schemeClr w14:val="tx1"/>
                        </w14:solidFill>
                      </w14:textFill>
                    </w:rPr>
                  </w:pPr>
                  <w:r>
                    <w:rPr>
                      <w:rFonts w:hint="default" w:eastAsia="等线"/>
                      <w:color w:val="000000" w:themeColor="text1"/>
                      <w:kern w:val="0"/>
                      <w:sz w:val="21"/>
                      <w:szCs w:val="21"/>
                      <w:highlight w:val="none"/>
                      <w:vertAlign w:val="baseline"/>
                      <w14:textFill>
                        <w14:solidFill>
                          <w14:schemeClr w14:val="tx1"/>
                        </w14:solidFill>
                      </w14:textFill>
                    </w:rPr>
                    <w:t>SS</w:t>
                  </w:r>
                </w:p>
              </w:tc>
              <w:tc>
                <w:tcPr>
                  <w:tcW w:w="1168" w:type="dxa"/>
                  <w:shd w:val="clear" w:color="auto" w:fill="auto"/>
                  <w:vAlign w:val="center"/>
                </w:tcPr>
                <w:p w14:paraId="4D5438DD">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1000</w:t>
                  </w:r>
                </w:p>
              </w:tc>
              <w:tc>
                <w:tcPr>
                  <w:tcW w:w="901" w:type="dxa"/>
                  <w:vAlign w:val="center"/>
                </w:tcPr>
                <w:p w14:paraId="78D7C7B4">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0.0200 </w:t>
                  </w:r>
                </w:p>
              </w:tc>
              <w:tc>
                <w:tcPr>
                  <w:tcW w:w="525" w:type="pct"/>
                  <w:vMerge w:val="continue"/>
                  <w:vAlign w:val="center"/>
                </w:tcPr>
                <w:p w14:paraId="5A5EF840">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330" w:type="pct"/>
                  <w:vMerge w:val="continue"/>
                  <w:vAlign w:val="center"/>
                </w:tcPr>
                <w:p w14:paraId="0F17AB59">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436" w:type="pct"/>
                  <w:shd w:val="clear" w:color="auto" w:fill="auto"/>
                  <w:vAlign w:val="bottom"/>
                </w:tcPr>
                <w:p w14:paraId="30AEAB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400</w:t>
                  </w:r>
                </w:p>
              </w:tc>
              <w:tc>
                <w:tcPr>
                  <w:tcW w:w="854" w:type="dxa"/>
                  <w:shd w:val="clear" w:color="auto" w:fill="auto"/>
                  <w:vAlign w:val="center"/>
                </w:tcPr>
                <w:p w14:paraId="739AE71D">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0.0080 </w:t>
                  </w:r>
                </w:p>
              </w:tc>
              <w:tc>
                <w:tcPr>
                  <w:tcW w:w="383" w:type="pct"/>
                  <w:shd w:val="clear" w:color="auto" w:fill="auto"/>
                  <w:vAlign w:val="bottom"/>
                </w:tcPr>
                <w:p w14:paraId="06B642F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10</w:t>
                  </w:r>
                </w:p>
              </w:tc>
              <w:tc>
                <w:tcPr>
                  <w:tcW w:w="968" w:type="dxa"/>
                  <w:shd w:val="clear" w:color="auto" w:fill="auto"/>
                  <w:vAlign w:val="center"/>
                </w:tcPr>
                <w:p w14:paraId="6F226AE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0.0002 </w:t>
                  </w:r>
                </w:p>
              </w:tc>
            </w:tr>
            <w:tr w14:paraId="699C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vAlign w:val="center"/>
                </w:tcPr>
                <w:p w14:paraId="692A2668">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648" w:type="pct"/>
                  <w:vMerge w:val="continue"/>
                  <w:vAlign w:val="center"/>
                </w:tcPr>
                <w:p w14:paraId="7E16E1C6">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385" w:type="pct"/>
                  <w:vMerge w:val="continue"/>
                  <w:vAlign w:val="center"/>
                </w:tcPr>
                <w:p w14:paraId="44C0469C">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428" w:type="pct"/>
                  <w:shd w:val="clear" w:color="auto" w:fill="auto"/>
                  <w:vAlign w:val="center"/>
                </w:tcPr>
                <w:p w14:paraId="1FC7A85B">
                  <w:pPr>
                    <w:keepNext w:val="0"/>
                    <w:keepLines w:val="0"/>
                    <w:widowControl/>
                    <w:suppressLineNumbers w:val="0"/>
                    <w:shd w:val="clear" w:color="auto" w:fill="auto"/>
                    <w:spacing w:before="0" w:beforeAutospacing="0" w:after="0" w:afterAutospacing="0"/>
                    <w:ind w:left="0" w:right="0"/>
                    <w:jc w:val="center"/>
                    <w:textAlignment w:val="center"/>
                    <w:rPr>
                      <w:rFonts w:hint="eastAsia" w:ascii="Times New Roman" w:hAnsi="Times New Roman" w:eastAsia="等线" w:cs="Times New Roman"/>
                      <w:color w:val="000000" w:themeColor="text1"/>
                      <w:kern w:val="2"/>
                      <w:sz w:val="21"/>
                      <w:szCs w:val="21"/>
                      <w:highlight w:val="none"/>
                      <w:vertAlign w:val="baseline"/>
                      <w:lang w:val="en-US" w:eastAsia="zh-CN" w:bidi="ar-SA"/>
                      <w14:textFill>
                        <w14:solidFill>
                          <w14:schemeClr w14:val="tx1"/>
                        </w14:solidFill>
                      </w14:textFill>
                    </w:rPr>
                  </w:pPr>
                  <w:r>
                    <w:rPr>
                      <w:rStyle w:val="42"/>
                      <w:rFonts w:eastAsia="等线"/>
                      <w:color w:val="000000" w:themeColor="text1"/>
                      <w:sz w:val="21"/>
                      <w:szCs w:val="21"/>
                      <w:highlight w:val="none"/>
                      <w:vertAlign w:val="baseline"/>
                      <w14:textFill>
                        <w14:solidFill>
                          <w14:schemeClr w14:val="tx1"/>
                        </w14:solidFill>
                      </w14:textFill>
                    </w:rPr>
                    <w:t>NH</w:t>
                  </w:r>
                  <w:r>
                    <w:rPr>
                      <w:rFonts w:hint="default" w:eastAsia="等线"/>
                      <w:color w:val="000000" w:themeColor="text1"/>
                      <w:kern w:val="0"/>
                      <w:sz w:val="21"/>
                      <w:szCs w:val="21"/>
                      <w:highlight w:val="none"/>
                      <w:vertAlign w:val="subscript"/>
                      <w14:textFill>
                        <w14:solidFill>
                          <w14:schemeClr w14:val="tx1"/>
                        </w14:solidFill>
                      </w14:textFill>
                    </w:rPr>
                    <w:t>3</w:t>
                  </w:r>
                  <w:r>
                    <w:rPr>
                      <w:rStyle w:val="42"/>
                      <w:rFonts w:eastAsia="等线"/>
                      <w:color w:val="000000" w:themeColor="text1"/>
                      <w:sz w:val="21"/>
                      <w:szCs w:val="21"/>
                      <w:highlight w:val="none"/>
                      <w:vertAlign w:val="baseline"/>
                      <w14:textFill>
                        <w14:solidFill>
                          <w14:schemeClr w14:val="tx1"/>
                        </w14:solidFill>
                      </w14:textFill>
                    </w:rPr>
                    <w:t>-N</w:t>
                  </w:r>
                </w:p>
              </w:tc>
              <w:tc>
                <w:tcPr>
                  <w:tcW w:w="1168" w:type="dxa"/>
                  <w:shd w:val="clear" w:color="auto" w:fill="auto"/>
                  <w:vAlign w:val="center"/>
                </w:tcPr>
                <w:p w14:paraId="4E3878B3">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50</w:t>
                  </w:r>
                </w:p>
              </w:tc>
              <w:tc>
                <w:tcPr>
                  <w:tcW w:w="901" w:type="dxa"/>
                  <w:vAlign w:val="center"/>
                </w:tcPr>
                <w:p w14:paraId="1396458D">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0.0010 </w:t>
                  </w:r>
                </w:p>
              </w:tc>
              <w:tc>
                <w:tcPr>
                  <w:tcW w:w="525" w:type="pct"/>
                  <w:vMerge w:val="continue"/>
                  <w:vAlign w:val="center"/>
                </w:tcPr>
                <w:p w14:paraId="0921F3D7">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330" w:type="pct"/>
                  <w:vMerge w:val="continue"/>
                  <w:vAlign w:val="center"/>
                </w:tcPr>
                <w:p w14:paraId="4D225A37">
                  <w:pPr>
                    <w:keepNext w:val="0"/>
                    <w:keepLines w:val="0"/>
                    <w:suppressLineNumbers w:val="0"/>
                    <w:spacing w:before="0" w:beforeAutospacing="0" w:after="0" w:afterAutospacing="0"/>
                    <w:ind w:left="0" w:right="0"/>
                    <w:jc w:val="center"/>
                    <w:rPr>
                      <w:rFonts w:hint="default"/>
                      <w:color w:val="000000" w:themeColor="text1"/>
                      <w:sz w:val="21"/>
                      <w:szCs w:val="21"/>
                      <w:highlight w:val="none"/>
                      <w14:textFill>
                        <w14:solidFill>
                          <w14:schemeClr w14:val="tx1"/>
                        </w14:solidFill>
                      </w14:textFill>
                    </w:rPr>
                  </w:pPr>
                </w:p>
              </w:tc>
              <w:tc>
                <w:tcPr>
                  <w:tcW w:w="436" w:type="pct"/>
                  <w:shd w:val="clear" w:color="auto" w:fill="auto"/>
                  <w:vAlign w:val="center"/>
                </w:tcPr>
                <w:p w14:paraId="117409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45</w:t>
                  </w:r>
                </w:p>
              </w:tc>
              <w:tc>
                <w:tcPr>
                  <w:tcW w:w="854" w:type="dxa"/>
                  <w:shd w:val="clear" w:color="auto" w:fill="auto"/>
                  <w:vAlign w:val="center"/>
                </w:tcPr>
                <w:p w14:paraId="1DDB5DA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0.0009 </w:t>
                  </w:r>
                </w:p>
              </w:tc>
              <w:tc>
                <w:tcPr>
                  <w:tcW w:w="383" w:type="pct"/>
                  <w:shd w:val="clear" w:color="auto" w:fill="auto"/>
                  <w:vAlign w:val="bottom"/>
                </w:tcPr>
                <w:p w14:paraId="5301776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1.5</w:t>
                  </w:r>
                </w:p>
              </w:tc>
              <w:tc>
                <w:tcPr>
                  <w:tcW w:w="968" w:type="dxa"/>
                  <w:shd w:val="clear" w:color="auto" w:fill="auto"/>
                  <w:vAlign w:val="center"/>
                </w:tcPr>
                <w:p w14:paraId="36105C1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0.0000 </w:t>
                  </w:r>
                </w:p>
              </w:tc>
            </w:tr>
            <w:tr w14:paraId="13280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restart"/>
                  <w:vAlign w:val="center"/>
                </w:tcPr>
                <w:p w14:paraId="58254589">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648" w:type="pct"/>
                  <w:vMerge w:val="restart"/>
                  <w:vAlign w:val="center"/>
                </w:tcPr>
                <w:p w14:paraId="24FC6A18">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综合废水</w:t>
                  </w:r>
                </w:p>
              </w:tc>
              <w:tc>
                <w:tcPr>
                  <w:tcW w:w="385" w:type="pct"/>
                  <w:vMerge w:val="restart"/>
                  <w:vAlign w:val="center"/>
                </w:tcPr>
                <w:p w14:paraId="780CF57A">
                  <w:pPr>
                    <w:keepNext w:val="0"/>
                    <w:keepLines w:val="0"/>
                    <w:widowControl/>
                    <w:suppressLineNumbers w:val="0"/>
                    <w:spacing w:before="0" w:beforeAutospacing="0" w:after="0" w:afterAutospacing="0"/>
                    <w:ind w:left="0" w:right="0"/>
                    <w:jc w:val="center"/>
                    <w:textAlignment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317</w:t>
                  </w:r>
                </w:p>
              </w:tc>
              <w:tc>
                <w:tcPr>
                  <w:tcW w:w="428" w:type="pct"/>
                  <w:vAlign w:val="center"/>
                </w:tcPr>
                <w:p w14:paraId="1ED5AD8A">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COD</w:t>
                  </w:r>
                </w:p>
              </w:tc>
              <w:tc>
                <w:tcPr>
                  <w:tcW w:w="1168" w:type="dxa"/>
                  <w:vAlign w:val="center"/>
                </w:tcPr>
                <w:p w14:paraId="13D8108D">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591.0 </w:t>
                  </w:r>
                </w:p>
              </w:tc>
              <w:tc>
                <w:tcPr>
                  <w:tcW w:w="901" w:type="dxa"/>
                  <w:vAlign w:val="center"/>
                </w:tcPr>
                <w:p w14:paraId="7B7DCAE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0.1874 </w:t>
                  </w:r>
                </w:p>
              </w:tc>
              <w:tc>
                <w:tcPr>
                  <w:tcW w:w="525" w:type="pct"/>
                  <w:vMerge w:val="restart"/>
                  <w:vAlign w:val="center"/>
                </w:tcPr>
                <w:p w14:paraId="3C14E4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w:t>
                  </w:r>
                </w:p>
              </w:tc>
              <w:tc>
                <w:tcPr>
                  <w:tcW w:w="330" w:type="pct"/>
                  <w:vMerge w:val="restart"/>
                  <w:vAlign w:val="center"/>
                </w:tcPr>
                <w:p w14:paraId="53C90A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cs="宋体"/>
                      <w:color w:val="000000" w:themeColor="text1"/>
                      <w:kern w:val="0"/>
                      <w:sz w:val="21"/>
                      <w:szCs w:val="21"/>
                      <w:highlight w:val="none"/>
                      <w:lang w:val="en-US" w:eastAsia="zh-CN"/>
                      <w14:textFill>
                        <w14:solidFill>
                          <w14:schemeClr w14:val="tx1"/>
                        </w14:solidFill>
                      </w14:textFill>
                    </w:rPr>
                    <w:t>/</w:t>
                  </w:r>
                </w:p>
              </w:tc>
              <w:tc>
                <w:tcPr>
                  <w:tcW w:w="436" w:type="pct"/>
                  <w:shd w:val="clear" w:color="auto" w:fill="auto"/>
                  <w:vAlign w:val="center"/>
                </w:tcPr>
                <w:p w14:paraId="14AD73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500</w:t>
                  </w:r>
                </w:p>
              </w:tc>
              <w:tc>
                <w:tcPr>
                  <w:tcW w:w="854" w:type="dxa"/>
                  <w:shd w:val="clear" w:color="auto" w:fill="auto"/>
                  <w:vAlign w:val="center"/>
                </w:tcPr>
                <w:p w14:paraId="56B3D40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0.1585 </w:t>
                  </w:r>
                </w:p>
              </w:tc>
              <w:tc>
                <w:tcPr>
                  <w:tcW w:w="383" w:type="pct"/>
                  <w:shd w:val="clear" w:color="auto" w:fill="auto"/>
                  <w:vAlign w:val="center"/>
                </w:tcPr>
                <w:p w14:paraId="71EDFA3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30</w:t>
                  </w:r>
                </w:p>
              </w:tc>
              <w:tc>
                <w:tcPr>
                  <w:tcW w:w="968" w:type="dxa"/>
                  <w:shd w:val="clear" w:color="auto" w:fill="auto"/>
                  <w:vAlign w:val="center"/>
                </w:tcPr>
                <w:p w14:paraId="3B9E87A4">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0.0095 </w:t>
                  </w:r>
                </w:p>
              </w:tc>
            </w:tr>
            <w:tr w14:paraId="469E4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303" w:type="pct"/>
                  <w:vMerge w:val="continue"/>
                  <w:vAlign w:val="center"/>
                </w:tcPr>
                <w:p w14:paraId="2983A965">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648" w:type="pct"/>
                  <w:vMerge w:val="continue"/>
                  <w:vAlign w:val="center"/>
                </w:tcPr>
                <w:p w14:paraId="07EAA0D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385" w:type="pct"/>
                  <w:vMerge w:val="continue"/>
                  <w:vAlign w:val="center"/>
                </w:tcPr>
                <w:p w14:paraId="4B599569">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428" w:type="pct"/>
                  <w:vAlign w:val="center"/>
                </w:tcPr>
                <w:p w14:paraId="6CCE2411">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BOD</w:t>
                  </w:r>
                  <w:r>
                    <w:rPr>
                      <w:rFonts w:hint="default"/>
                      <w:color w:val="000000" w:themeColor="text1"/>
                      <w:kern w:val="0"/>
                      <w:sz w:val="21"/>
                      <w:szCs w:val="21"/>
                      <w:vertAlign w:val="subscript"/>
                      <w14:textFill>
                        <w14:solidFill>
                          <w14:schemeClr w14:val="tx1"/>
                        </w14:solidFill>
                      </w14:textFill>
                    </w:rPr>
                    <w:t>5</w:t>
                  </w:r>
                </w:p>
              </w:tc>
              <w:tc>
                <w:tcPr>
                  <w:tcW w:w="1168" w:type="dxa"/>
                  <w:vAlign w:val="center"/>
                </w:tcPr>
                <w:p w14:paraId="11827310">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359.6 </w:t>
                  </w:r>
                </w:p>
              </w:tc>
              <w:tc>
                <w:tcPr>
                  <w:tcW w:w="901" w:type="dxa"/>
                  <w:vAlign w:val="center"/>
                </w:tcPr>
                <w:p w14:paraId="5784627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0.1140 </w:t>
                  </w:r>
                </w:p>
              </w:tc>
              <w:tc>
                <w:tcPr>
                  <w:tcW w:w="525" w:type="pct"/>
                  <w:vMerge w:val="continue"/>
                  <w:vAlign w:val="center"/>
                </w:tcPr>
                <w:p w14:paraId="7A0F5943">
                  <w:pPr>
                    <w:keepNext w:val="0"/>
                    <w:keepLines w:val="0"/>
                    <w:suppressLineNumbers w:val="0"/>
                    <w:spacing w:before="0" w:beforeAutospacing="0" w:after="0" w:afterAutospacing="0"/>
                    <w:ind w:left="0" w:right="0"/>
                    <w:jc w:val="center"/>
                    <w:rPr>
                      <w:rFonts w:hint="default"/>
                      <w:color w:val="000000" w:themeColor="text1"/>
                      <w:sz w:val="21"/>
                      <w:szCs w:val="21"/>
                      <w:highlight w:val="yellow"/>
                      <w14:textFill>
                        <w14:solidFill>
                          <w14:schemeClr w14:val="tx1"/>
                        </w14:solidFill>
                      </w14:textFill>
                    </w:rPr>
                  </w:pPr>
                </w:p>
              </w:tc>
              <w:tc>
                <w:tcPr>
                  <w:tcW w:w="330" w:type="pct"/>
                  <w:vMerge w:val="continue"/>
                  <w:vAlign w:val="center"/>
                </w:tcPr>
                <w:p w14:paraId="0D9108D5">
                  <w:pPr>
                    <w:keepNext w:val="0"/>
                    <w:keepLines w:val="0"/>
                    <w:suppressLineNumbers w:val="0"/>
                    <w:spacing w:before="0" w:beforeAutospacing="0" w:after="0" w:afterAutospacing="0"/>
                    <w:ind w:left="0" w:right="0"/>
                    <w:jc w:val="center"/>
                    <w:rPr>
                      <w:rFonts w:hint="default"/>
                      <w:color w:val="000000" w:themeColor="text1"/>
                      <w:sz w:val="21"/>
                      <w:szCs w:val="21"/>
                      <w:highlight w:val="yellow"/>
                      <w14:textFill>
                        <w14:solidFill>
                          <w14:schemeClr w14:val="tx1"/>
                        </w14:solidFill>
                      </w14:textFill>
                    </w:rPr>
                  </w:pPr>
                </w:p>
              </w:tc>
              <w:tc>
                <w:tcPr>
                  <w:tcW w:w="436" w:type="pct"/>
                  <w:shd w:val="clear" w:color="auto" w:fill="auto"/>
                  <w:vAlign w:val="center"/>
                </w:tcPr>
                <w:p w14:paraId="50C266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300</w:t>
                  </w:r>
                </w:p>
              </w:tc>
              <w:tc>
                <w:tcPr>
                  <w:tcW w:w="854" w:type="dxa"/>
                  <w:shd w:val="clear" w:color="auto" w:fill="auto"/>
                  <w:vAlign w:val="center"/>
                </w:tcPr>
                <w:p w14:paraId="44C8EBB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0.0870 </w:t>
                  </w:r>
                </w:p>
              </w:tc>
              <w:tc>
                <w:tcPr>
                  <w:tcW w:w="383" w:type="pct"/>
                  <w:shd w:val="clear" w:color="auto" w:fill="auto"/>
                  <w:vAlign w:val="bottom"/>
                </w:tcPr>
                <w:p w14:paraId="3231117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6</w:t>
                  </w:r>
                </w:p>
              </w:tc>
              <w:tc>
                <w:tcPr>
                  <w:tcW w:w="968" w:type="dxa"/>
                  <w:shd w:val="clear" w:color="auto" w:fill="auto"/>
                  <w:vAlign w:val="center"/>
                </w:tcPr>
                <w:p w14:paraId="31A2E9F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0.0017 </w:t>
                  </w:r>
                </w:p>
              </w:tc>
            </w:tr>
            <w:tr w14:paraId="3FF6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vAlign w:val="center"/>
                </w:tcPr>
                <w:p w14:paraId="07F492A8">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648" w:type="pct"/>
                  <w:vMerge w:val="continue"/>
                  <w:vAlign w:val="center"/>
                </w:tcPr>
                <w:p w14:paraId="6EAE8601">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385" w:type="pct"/>
                  <w:vMerge w:val="continue"/>
                  <w:vAlign w:val="center"/>
                </w:tcPr>
                <w:p w14:paraId="669EA10C">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428" w:type="pct"/>
                  <w:vAlign w:val="center"/>
                </w:tcPr>
                <w:p w14:paraId="6858768A">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SS</w:t>
                  </w:r>
                </w:p>
              </w:tc>
              <w:tc>
                <w:tcPr>
                  <w:tcW w:w="1168" w:type="dxa"/>
                  <w:vAlign w:val="center"/>
                </w:tcPr>
                <w:p w14:paraId="70B6CD9D">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484.7 </w:t>
                  </w:r>
                </w:p>
              </w:tc>
              <w:tc>
                <w:tcPr>
                  <w:tcW w:w="901" w:type="dxa"/>
                  <w:vAlign w:val="center"/>
                </w:tcPr>
                <w:p w14:paraId="4A9CB16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0.1537 </w:t>
                  </w:r>
                </w:p>
              </w:tc>
              <w:tc>
                <w:tcPr>
                  <w:tcW w:w="525" w:type="pct"/>
                  <w:vMerge w:val="continue"/>
                  <w:vAlign w:val="center"/>
                </w:tcPr>
                <w:p w14:paraId="636AFE44">
                  <w:pPr>
                    <w:keepNext w:val="0"/>
                    <w:keepLines w:val="0"/>
                    <w:suppressLineNumbers w:val="0"/>
                    <w:spacing w:before="0" w:beforeAutospacing="0" w:after="0" w:afterAutospacing="0"/>
                    <w:ind w:left="0" w:right="0"/>
                    <w:jc w:val="center"/>
                    <w:rPr>
                      <w:rFonts w:hint="default"/>
                      <w:color w:val="000000" w:themeColor="text1"/>
                      <w:sz w:val="21"/>
                      <w:szCs w:val="21"/>
                      <w:highlight w:val="yellow"/>
                      <w14:textFill>
                        <w14:solidFill>
                          <w14:schemeClr w14:val="tx1"/>
                        </w14:solidFill>
                      </w14:textFill>
                    </w:rPr>
                  </w:pPr>
                </w:p>
              </w:tc>
              <w:tc>
                <w:tcPr>
                  <w:tcW w:w="330" w:type="pct"/>
                  <w:vMerge w:val="continue"/>
                  <w:vAlign w:val="center"/>
                </w:tcPr>
                <w:p w14:paraId="5D28D7FE">
                  <w:pPr>
                    <w:keepNext w:val="0"/>
                    <w:keepLines w:val="0"/>
                    <w:suppressLineNumbers w:val="0"/>
                    <w:spacing w:before="0" w:beforeAutospacing="0" w:after="0" w:afterAutospacing="0"/>
                    <w:ind w:left="0" w:right="0"/>
                    <w:jc w:val="center"/>
                    <w:rPr>
                      <w:rFonts w:hint="default"/>
                      <w:color w:val="000000" w:themeColor="text1"/>
                      <w:sz w:val="21"/>
                      <w:szCs w:val="21"/>
                      <w:highlight w:val="yellow"/>
                      <w14:textFill>
                        <w14:solidFill>
                          <w14:schemeClr w14:val="tx1"/>
                        </w14:solidFill>
                      </w14:textFill>
                    </w:rPr>
                  </w:pPr>
                </w:p>
              </w:tc>
              <w:tc>
                <w:tcPr>
                  <w:tcW w:w="436" w:type="pct"/>
                  <w:shd w:val="clear" w:color="auto" w:fill="auto"/>
                  <w:vAlign w:val="center"/>
                </w:tcPr>
                <w:p w14:paraId="787858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400</w:t>
                  </w:r>
                </w:p>
              </w:tc>
              <w:tc>
                <w:tcPr>
                  <w:tcW w:w="854" w:type="dxa"/>
                  <w:shd w:val="clear" w:color="auto" w:fill="auto"/>
                  <w:vAlign w:val="center"/>
                </w:tcPr>
                <w:p w14:paraId="67AF06F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0.1268 </w:t>
                  </w:r>
                </w:p>
              </w:tc>
              <w:tc>
                <w:tcPr>
                  <w:tcW w:w="383" w:type="pct"/>
                  <w:shd w:val="clear" w:color="auto" w:fill="auto"/>
                  <w:vAlign w:val="bottom"/>
                </w:tcPr>
                <w:p w14:paraId="3CF831F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10</w:t>
                  </w:r>
                </w:p>
              </w:tc>
              <w:tc>
                <w:tcPr>
                  <w:tcW w:w="968" w:type="dxa"/>
                  <w:shd w:val="clear" w:color="auto" w:fill="auto"/>
                  <w:vAlign w:val="center"/>
                </w:tcPr>
                <w:p w14:paraId="0CBB8D8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0.0032 </w:t>
                  </w:r>
                </w:p>
              </w:tc>
            </w:tr>
            <w:tr w14:paraId="24F5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03" w:type="pct"/>
                  <w:vMerge w:val="continue"/>
                  <w:vAlign w:val="center"/>
                </w:tcPr>
                <w:p w14:paraId="599DD920">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648" w:type="pct"/>
                  <w:vMerge w:val="continue"/>
                  <w:vAlign w:val="center"/>
                </w:tcPr>
                <w:p w14:paraId="3E01C44B">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385" w:type="pct"/>
                  <w:vMerge w:val="continue"/>
                  <w:vAlign w:val="center"/>
                </w:tcPr>
                <w:p w14:paraId="7B67DB1E">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428" w:type="pct"/>
                  <w:vAlign w:val="center"/>
                </w:tcPr>
                <w:p w14:paraId="55755AD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NH</w:t>
                  </w:r>
                  <w:r>
                    <w:rPr>
                      <w:rFonts w:hint="default"/>
                      <w:color w:val="000000" w:themeColor="text1"/>
                      <w:kern w:val="0"/>
                      <w:sz w:val="21"/>
                      <w:szCs w:val="21"/>
                      <w:vertAlign w:val="subscript"/>
                      <w14:textFill>
                        <w14:solidFill>
                          <w14:schemeClr w14:val="tx1"/>
                        </w14:solidFill>
                      </w14:textFill>
                    </w:rPr>
                    <w:t>3</w:t>
                  </w:r>
                  <w:r>
                    <w:rPr>
                      <w:rFonts w:hint="default"/>
                      <w:color w:val="000000" w:themeColor="text1"/>
                      <w:kern w:val="0"/>
                      <w:sz w:val="21"/>
                      <w:szCs w:val="21"/>
                      <w14:textFill>
                        <w14:solidFill>
                          <w14:schemeClr w14:val="tx1"/>
                        </w14:solidFill>
                      </w14:textFill>
                    </w:rPr>
                    <w:t>-N</w:t>
                  </w:r>
                </w:p>
              </w:tc>
              <w:tc>
                <w:tcPr>
                  <w:tcW w:w="1168" w:type="dxa"/>
                  <w:vAlign w:val="center"/>
                </w:tcPr>
                <w:p w14:paraId="7109FCA8">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54.3 </w:t>
                  </w:r>
                </w:p>
              </w:tc>
              <w:tc>
                <w:tcPr>
                  <w:tcW w:w="901" w:type="dxa"/>
                  <w:vAlign w:val="center"/>
                </w:tcPr>
                <w:p w14:paraId="6702EDFD">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0.0172 </w:t>
                  </w:r>
                </w:p>
              </w:tc>
              <w:tc>
                <w:tcPr>
                  <w:tcW w:w="525" w:type="pct"/>
                  <w:vMerge w:val="continue"/>
                  <w:vAlign w:val="center"/>
                </w:tcPr>
                <w:p w14:paraId="51456BBB">
                  <w:pPr>
                    <w:keepNext w:val="0"/>
                    <w:keepLines w:val="0"/>
                    <w:suppressLineNumbers w:val="0"/>
                    <w:spacing w:before="0" w:beforeAutospacing="0" w:after="0" w:afterAutospacing="0"/>
                    <w:ind w:left="0" w:right="0"/>
                    <w:jc w:val="center"/>
                    <w:rPr>
                      <w:rFonts w:hint="default"/>
                      <w:color w:val="000000" w:themeColor="text1"/>
                      <w:sz w:val="21"/>
                      <w:szCs w:val="21"/>
                      <w:highlight w:val="yellow"/>
                      <w14:textFill>
                        <w14:solidFill>
                          <w14:schemeClr w14:val="tx1"/>
                        </w14:solidFill>
                      </w14:textFill>
                    </w:rPr>
                  </w:pPr>
                </w:p>
              </w:tc>
              <w:tc>
                <w:tcPr>
                  <w:tcW w:w="330" w:type="pct"/>
                  <w:vMerge w:val="continue"/>
                  <w:vAlign w:val="center"/>
                </w:tcPr>
                <w:p w14:paraId="4691A732">
                  <w:pPr>
                    <w:keepNext w:val="0"/>
                    <w:keepLines w:val="0"/>
                    <w:suppressLineNumbers w:val="0"/>
                    <w:spacing w:before="0" w:beforeAutospacing="0" w:after="0" w:afterAutospacing="0"/>
                    <w:ind w:left="0" w:right="0"/>
                    <w:jc w:val="center"/>
                    <w:rPr>
                      <w:rFonts w:hint="default"/>
                      <w:color w:val="000000" w:themeColor="text1"/>
                      <w:sz w:val="21"/>
                      <w:szCs w:val="21"/>
                      <w:highlight w:val="yellow"/>
                      <w14:textFill>
                        <w14:solidFill>
                          <w14:schemeClr w14:val="tx1"/>
                        </w14:solidFill>
                      </w14:textFill>
                    </w:rPr>
                  </w:pPr>
                </w:p>
              </w:tc>
              <w:tc>
                <w:tcPr>
                  <w:tcW w:w="436" w:type="pct"/>
                  <w:shd w:val="clear" w:color="auto" w:fill="auto"/>
                  <w:vAlign w:val="center"/>
                </w:tcPr>
                <w:p w14:paraId="72E2CA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45</w:t>
                  </w:r>
                </w:p>
              </w:tc>
              <w:tc>
                <w:tcPr>
                  <w:tcW w:w="854" w:type="dxa"/>
                  <w:shd w:val="clear" w:color="auto" w:fill="auto"/>
                  <w:vAlign w:val="center"/>
                </w:tcPr>
                <w:p w14:paraId="5C16C46A">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0.0131 </w:t>
                  </w:r>
                </w:p>
              </w:tc>
              <w:tc>
                <w:tcPr>
                  <w:tcW w:w="383" w:type="pct"/>
                  <w:shd w:val="clear" w:color="auto" w:fill="auto"/>
                  <w:vAlign w:val="bottom"/>
                </w:tcPr>
                <w:p w14:paraId="6D59817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1.5</w:t>
                  </w:r>
                </w:p>
              </w:tc>
              <w:tc>
                <w:tcPr>
                  <w:tcW w:w="968" w:type="dxa"/>
                  <w:shd w:val="clear" w:color="auto" w:fill="auto"/>
                  <w:vAlign w:val="center"/>
                </w:tcPr>
                <w:p w14:paraId="518330F8">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0.0004 </w:t>
                  </w:r>
                </w:p>
              </w:tc>
            </w:tr>
            <w:tr w14:paraId="6E39A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Merge w:val="continue"/>
                  <w:vAlign w:val="center"/>
                </w:tcPr>
                <w:p w14:paraId="78C6B95B">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648" w:type="pct"/>
                  <w:vMerge w:val="continue"/>
                  <w:vAlign w:val="center"/>
                </w:tcPr>
                <w:p w14:paraId="791AA5CA">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385" w:type="pct"/>
                  <w:vMerge w:val="continue"/>
                  <w:vAlign w:val="center"/>
                </w:tcPr>
                <w:p w14:paraId="65A9F736">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428" w:type="pct"/>
                  <w:vAlign w:val="center"/>
                </w:tcPr>
                <w:p w14:paraId="7BC0EBB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总磷</w:t>
                  </w:r>
                </w:p>
              </w:tc>
              <w:tc>
                <w:tcPr>
                  <w:tcW w:w="1168" w:type="dxa"/>
                  <w:vAlign w:val="center"/>
                </w:tcPr>
                <w:p w14:paraId="76E9095E">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8.5 </w:t>
                  </w:r>
                </w:p>
              </w:tc>
              <w:tc>
                <w:tcPr>
                  <w:tcW w:w="901" w:type="dxa"/>
                  <w:vAlign w:val="center"/>
                </w:tcPr>
                <w:p w14:paraId="4D20DE9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0.0027 </w:t>
                  </w:r>
                </w:p>
              </w:tc>
              <w:tc>
                <w:tcPr>
                  <w:tcW w:w="525" w:type="pct"/>
                  <w:vMerge w:val="continue"/>
                  <w:vAlign w:val="center"/>
                </w:tcPr>
                <w:p w14:paraId="3D89A9A2">
                  <w:pPr>
                    <w:keepNext w:val="0"/>
                    <w:keepLines w:val="0"/>
                    <w:suppressLineNumbers w:val="0"/>
                    <w:spacing w:before="0" w:beforeAutospacing="0" w:after="0" w:afterAutospacing="0"/>
                    <w:ind w:left="0" w:right="0"/>
                    <w:jc w:val="center"/>
                    <w:rPr>
                      <w:rFonts w:hint="default"/>
                      <w:color w:val="000000" w:themeColor="text1"/>
                      <w:sz w:val="21"/>
                      <w:szCs w:val="21"/>
                      <w:highlight w:val="yellow"/>
                      <w14:textFill>
                        <w14:solidFill>
                          <w14:schemeClr w14:val="tx1"/>
                        </w14:solidFill>
                      </w14:textFill>
                    </w:rPr>
                  </w:pPr>
                </w:p>
              </w:tc>
              <w:tc>
                <w:tcPr>
                  <w:tcW w:w="330" w:type="pct"/>
                  <w:vMerge w:val="continue"/>
                  <w:vAlign w:val="center"/>
                </w:tcPr>
                <w:p w14:paraId="5A687A7C">
                  <w:pPr>
                    <w:keepNext w:val="0"/>
                    <w:keepLines w:val="0"/>
                    <w:suppressLineNumbers w:val="0"/>
                    <w:spacing w:before="0" w:beforeAutospacing="0" w:after="0" w:afterAutospacing="0"/>
                    <w:ind w:left="0" w:right="0"/>
                    <w:jc w:val="center"/>
                    <w:rPr>
                      <w:rFonts w:hint="default"/>
                      <w:color w:val="000000" w:themeColor="text1"/>
                      <w:sz w:val="21"/>
                      <w:szCs w:val="21"/>
                      <w:highlight w:val="yellow"/>
                      <w14:textFill>
                        <w14:solidFill>
                          <w14:schemeClr w14:val="tx1"/>
                        </w14:solidFill>
                      </w14:textFill>
                    </w:rPr>
                  </w:pPr>
                </w:p>
              </w:tc>
              <w:tc>
                <w:tcPr>
                  <w:tcW w:w="436" w:type="pct"/>
                  <w:shd w:val="clear" w:color="auto" w:fill="auto"/>
                  <w:vAlign w:val="center"/>
                </w:tcPr>
                <w:p w14:paraId="47029B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8</w:t>
                  </w:r>
                </w:p>
              </w:tc>
              <w:tc>
                <w:tcPr>
                  <w:tcW w:w="854" w:type="dxa"/>
                  <w:shd w:val="clear" w:color="auto" w:fill="auto"/>
                  <w:vAlign w:val="center"/>
                </w:tcPr>
                <w:p w14:paraId="161FED35">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0.0022 </w:t>
                  </w:r>
                </w:p>
              </w:tc>
              <w:tc>
                <w:tcPr>
                  <w:tcW w:w="383" w:type="pct"/>
                  <w:shd w:val="clear" w:color="auto" w:fill="auto"/>
                  <w:vAlign w:val="bottom"/>
                </w:tcPr>
                <w:p w14:paraId="6059C02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0.3</w:t>
                  </w:r>
                </w:p>
              </w:tc>
              <w:tc>
                <w:tcPr>
                  <w:tcW w:w="968" w:type="dxa"/>
                  <w:shd w:val="clear" w:color="auto" w:fill="auto"/>
                  <w:vAlign w:val="center"/>
                </w:tcPr>
                <w:p w14:paraId="097B9472">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0.0001 </w:t>
                  </w:r>
                </w:p>
              </w:tc>
            </w:tr>
            <w:tr w14:paraId="0971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303" w:type="pct"/>
                  <w:vMerge w:val="continue"/>
                  <w:vAlign w:val="center"/>
                </w:tcPr>
                <w:p w14:paraId="3225CE72">
                  <w:pPr>
                    <w:keepNext w:val="0"/>
                    <w:keepLines w:val="0"/>
                    <w:suppressLineNumbers w:val="0"/>
                    <w:spacing w:before="0" w:beforeAutospacing="0" w:after="0" w:afterAutospacing="0"/>
                    <w:ind w:left="0" w:right="0"/>
                    <w:jc w:val="center"/>
                    <w:rPr>
                      <w:rFonts w:hint="default"/>
                      <w:color w:val="000000" w:themeColor="text1"/>
                      <w:sz w:val="21"/>
                      <w:szCs w:val="21"/>
                      <w14:textFill>
                        <w14:solidFill>
                          <w14:schemeClr w14:val="tx1"/>
                        </w14:solidFill>
                      </w14:textFill>
                    </w:rPr>
                  </w:pPr>
                </w:p>
              </w:tc>
              <w:tc>
                <w:tcPr>
                  <w:tcW w:w="648" w:type="pct"/>
                  <w:vMerge w:val="continue"/>
                  <w:vAlign w:val="center"/>
                </w:tcPr>
                <w:p w14:paraId="51F733A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385" w:type="pct"/>
                  <w:vMerge w:val="continue"/>
                  <w:vAlign w:val="center"/>
                </w:tcPr>
                <w:p w14:paraId="0F3859A5">
                  <w:pPr>
                    <w:keepNext w:val="0"/>
                    <w:keepLines w:val="0"/>
                    <w:suppressLineNumbers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428" w:type="pct"/>
                  <w:vAlign w:val="center"/>
                </w:tcPr>
                <w:p w14:paraId="5328308D">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石油类</w:t>
                  </w:r>
                </w:p>
              </w:tc>
              <w:tc>
                <w:tcPr>
                  <w:tcW w:w="1168" w:type="dxa"/>
                  <w:vAlign w:val="center"/>
                </w:tcPr>
                <w:p w14:paraId="1DD63694">
                  <w:pPr>
                    <w:keepNext w:val="0"/>
                    <w:keepLines w:val="0"/>
                    <w:widowControl/>
                    <w:suppressLineNumbers w:val="0"/>
                    <w:jc w:val="center"/>
                    <w:textAlignment w:val="cente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2.6 </w:t>
                  </w:r>
                </w:p>
              </w:tc>
              <w:tc>
                <w:tcPr>
                  <w:tcW w:w="901" w:type="dxa"/>
                  <w:vAlign w:val="center"/>
                </w:tcPr>
                <w:p w14:paraId="66CE350C">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0.0008 </w:t>
                  </w:r>
                </w:p>
              </w:tc>
              <w:tc>
                <w:tcPr>
                  <w:tcW w:w="525" w:type="pct"/>
                  <w:vMerge w:val="continue"/>
                  <w:vAlign w:val="center"/>
                </w:tcPr>
                <w:p w14:paraId="2CE976B8">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330" w:type="pct"/>
                  <w:vMerge w:val="continue"/>
                  <w:vAlign w:val="center"/>
                </w:tcPr>
                <w:p w14:paraId="349482A1">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436" w:type="pct"/>
                  <w:shd w:val="clear" w:color="auto" w:fill="auto"/>
                  <w:vAlign w:val="center"/>
                </w:tcPr>
                <w:p w14:paraId="26BA42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20</w:t>
                  </w:r>
                </w:p>
              </w:tc>
              <w:tc>
                <w:tcPr>
                  <w:tcW w:w="854" w:type="dxa"/>
                  <w:shd w:val="clear" w:color="auto" w:fill="auto"/>
                  <w:vAlign w:val="center"/>
                </w:tcPr>
                <w:p w14:paraId="63A0A656">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0.0005 </w:t>
                  </w:r>
                </w:p>
              </w:tc>
              <w:tc>
                <w:tcPr>
                  <w:tcW w:w="383" w:type="pct"/>
                  <w:shd w:val="clear" w:color="auto" w:fill="auto"/>
                  <w:vAlign w:val="center"/>
                </w:tcPr>
                <w:p w14:paraId="7CFC9B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1</w:t>
                  </w:r>
                </w:p>
              </w:tc>
              <w:tc>
                <w:tcPr>
                  <w:tcW w:w="968" w:type="dxa"/>
                  <w:shd w:val="clear" w:color="auto" w:fill="auto"/>
                  <w:vAlign w:val="center"/>
                </w:tcPr>
                <w:p w14:paraId="58EBD332">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0.00003 </w:t>
                  </w:r>
                </w:p>
              </w:tc>
            </w:tr>
          </w:tbl>
          <w:p w14:paraId="5DCD986D">
            <w:pPr>
              <w:pStyle w:val="19"/>
              <w:keepNext w:val="0"/>
              <w:keepLines w:val="0"/>
              <w:suppressLineNumbers w:val="0"/>
              <w:shd w:val="clear" w:color="auto" w:fill="auto"/>
              <w:spacing w:before="0" w:beforeAutospacing="0" w:after="0" w:afterAutospacing="0" w:line="460" w:lineRule="exact"/>
              <w:ind w:left="0" w:right="0"/>
              <w:outlineLvl w:val="0"/>
              <w:rPr>
                <w:rFonts w:hint="eastAsia" w:ascii="Times New Roman" w:hAnsi="Times New Roman"/>
                <w:b/>
                <w:bCs w:val="0"/>
                <w:snapToGrid w:val="0"/>
                <w:color w:val="000000" w:themeColor="text1"/>
                <w:szCs w:val="24"/>
                <w:highlight w:val="none"/>
                <w:lang w:val="en-US" w:eastAsia="zh-CN"/>
                <w14:textFill>
                  <w14:solidFill>
                    <w14:schemeClr w14:val="tx1"/>
                  </w14:solidFill>
                </w14:textFill>
              </w:rPr>
            </w:pPr>
          </w:p>
          <w:p w14:paraId="0F9032DF">
            <w:pPr>
              <w:pStyle w:val="19"/>
              <w:keepNext w:val="0"/>
              <w:keepLines w:val="0"/>
              <w:suppressLineNumbers w:val="0"/>
              <w:shd w:val="clear" w:color="auto" w:fill="auto"/>
              <w:spacing w:before="0" w:beforeAutospacing="0" w:after="0" w:afterAutospacing="0" w:line="460" w:lineRule="exact"/>
              <w:ind w:left="0" w:right="0"/>
              <w:outlineLvl w:val="0"/>
              <w:rPr>
                <w:rFonts w:hint="default" w:ascii="Times New Roman" w:hAnsi="Times New Roman"/>
                <w:b/>
                <w:bCs w:val="0"/>
                <w:snapToGrid w:val="0"/>
                <w:color w:val="000000" w:themeColor="text1"/>
                <w:szCs w:val="24"/>
                <w:highlight w:val="none"/>
                <w:lang w:val="en-US" w:eastAsia="zh-CN"/>
                <w14:textFill>
                  <w14:solidFill>
                    <w14:schemeClr w14:val="tx1"/>
                  </w14:solidFill>
                </w14:textFill>
              </w:rPr>
            </w:pPr>
            <w:r>
              <w:rPr>
                <w:rFonts w:hint="eastAsia" w:ascii="Times New Roman" w:hAnsi="Times New Roman"/>
                <w:b/>
                <w:bCs w:val="0"/>
                <w:snapToGrid w:val="0"/>
                <w:color w:val="000000" w:themeColor="text1"/>
                <w:szCs w:val="24"/>
                <w:highlight w:val="none"/>
                <w:lang w:val="en-US" w:eastAsia="zh-CN"/>
                <w14:textFill>
                  <w14:solidFill>
                    <w14:schemeClr w14:val="tx1"/>
                  </w14:solidFill>
                </w14:textFill>
              </w:rPr>
              <w:t>2.2、</w:t>
            </w:r>
            <w:r>
              <w:rPr>
                <w:rFonts w:hint="default" w:ascii="Times New Roman" w:hAnsi="Times New Roman"/>
                <w:b/>
                <w:bCs w:val="0"/>
                <w:snapToGrid w:val="0"/>
                <w:color w:val="000000" w:themeColor="text1"/>
                <w:szCs w:val="24"/>
                <w:highlight w:val="none"/>
                <w:lang w:val="en-US" w:eastAsia="zh-CN"/>
                <w14:textFill>
                  <w14:solidFill>
                    <w14:schemeClr w14:val="tx1"/>
                  </w14:solidFill>
                </w14:textFill>
              </w:rPr>
              <w:t>排放口基本情况</w:t>
            </w:r>
          </w:p>
          <w:p w14:paraId="0932CE2D">
            <w:pPr>
              <w:pStyle w:val="19"/>
              <w:keepNext w:val="0"/>
              <w:keepLines w:val="0"/>
              <w:suppressLineNumbers w:val="0"/>
              <w:shd w:val="clear" w:color="auto" w:fill="auto"/>
              <w:spacing w:before="0" w:beforeAutospacing="0" w:after="0" w:afterAutospacing="0" w:line="460" w:lineRule="exact"/>
              <w:ind w:left="0" w:right="0" w:firstLine="480" w:firstLineChars="200"/>
              <w:outlineLvl w:val="0"/>
              <w:rPr>
                <w:rFonts w:hint="default" w:ascii="Times New Roman" w:hAnsi="Times New Roman"/>
                <w:snapToGrid w:val="0"/>
                <w:color w:val="000000" w:themeColor="text1"/>
                <w:szCs w:val="24"/>
                <w:highlight w:val="none"/>
                <w:lang w:val="en-US" w:eastAsia="zh-CN"/>
                <w14:textFill>
                  <w14:solidFill>
                    <w14:schemeClr w14:val="tx1"/>
                  </w14:solidFill>
                </w14:textFill>
              </w:rPr>
            </w:pPr>
            <w:r>
              <w:rPr>
                <w:rFonts w:hint="default" w:ascii="Times New Roman" w:hAnsi="Times New Roman"/>
                <w:snapToGrid w:val="0"/>
                <w:color w:val="000000" w:themeColor="text1"/>
                <w:szCs w:val="24"/>
                <w:highlight w:val="none"/>
                <w:lang w:val="en-US" w:eastAsia="zh-CN"/>
                <w14:textFill>
                  <w14:solidFill>
                    <w14:schemeClr w14:val="tx1"/>
                  </w14:solidFill>
                </w14:textFill>
              </w:rPr>
              <w:t>废水排放口基本情况见表4-</w:t>
            </w:r>
            <w:r>
              <w:rPr>
                <w:rFonts w:hint="eastAsia" w:ascii="Times New Roman" w:hAnsi="Times New Roman"/>
                <w:snapToGrid w:val="0"/>
                <w:color w:val="000000" w:themeColor="text1"/>
                <w:szCs w:val="24"/>
                <w:highlight w:val="none"/>
                <w:lang w:val="en-US" w:eastAsia="zh-CN"/>
                <w14:textFill>
                  <w14:solidFill>
                    <w14:schemeClr w14:val="tx1"/>
                  </w14:solidFill>
                </w14:textFill>
              </w:rPr>
              <w:t>7</w:t>
            </w:r>
            <w:r>
              <w:rPr>
                <w:rFonts w:hint="default" w:ascii="Times New Roman" w:hAnsi="Times New Roman"/>
                <w:snapToGrid w:val="0"/>
                <w:color w:val="000000" w:themeColor="text1"/>
                <w:szCs w:val="24"/>
                <w:highlight w:val="none"/>
                <w:lang w:val="en-US" w:eastAsia="zh-CN"/>
                <w14:textFill>
                  <w14:solidFill>
                    <w14:schemeClr w14:val="tx1"/>
                  </w14:solidFill>
                </w14:textFill>
              </w:rPr>
              <w:t>。</w:t>
            </w:r>
          </w:p>
          <w:p w14:paraId="3468C104">
            <w:pPr>
              <w:pStyle w:val="19"/>
              <w:keepNext w:val="0"/>
              <w:keepLines w:val="0"/>
              <w:suppressLineNumbers w:val="0"/>
              <w:shd w:val="clear" w:color="auto" w:fill="auto"/>
              <w:spacing w:before="0" w:beforeAutospacing="0" w:after="0" w:afterAutospacing="0" w:line="460" w:lineRule="exact"/>
              <w:ind w:left="0" w:right="0"/>
              <w:jc w:val="center"/>
              <w:outlineLvl w:val="0"/>
              <w:rPr>
                <w:rFonts w:hint="default" w:ascii="Times New Roman" w:hAnsi="Times New Roman"/>
                <w:b/>
                <w:bCs/>
                <w:snapToGrid w:val="0"/>
                <w:color w:val="000000" w:themeColor="text1"/>
                <w:szCs w:val="24"/>
                <w:highlight w:val="none"/>
                <w:lang w:val="en-US" w:eastAsia="zh-CN"/>
                <w14:textFill>
                  <w14:solidFill>
                    <w14:schemeClr w14:val="tx1"/>
                  </w14:solidFill>
                </w14:textFill>
              </w:rPr>
            </w:pPr>
            <w:r>
              <w:rPr>
                <w:rFonts w:hint="default" w:ascii="Times New Roman" w:hAnsi="Times New Roman"/>
                <w:b/>
                <w:bCs/>
                <w:snapToGrid w:val="0"/>
                <w:color w:val="000000" w:themeColor="text1"/>
                <w:szCs w:val="24"/>
                <w:highlight w:val="none"/>
                <w:lang w:val="en-US" w:eastAsia="zh-CN"/>
                <w14:textFill>
                  <w14:solidFill>
                    <w14:schemeClr w14:val="tx1"/>
                  </w14:solidFill>
                </w14:textFill>
              </w:rPr>
              <w:t>表4-</w:t>
            </w:r>
            <w:r>
              <w:rPr>
                <w:rFonts w:hint="eastAsia" w:ascii="Times New Roman" w:hAnsi="Times New Roman"/>
                <w:b/>
                <w:bCs/>
                <w:snapToGrid w:val="0"/>
                <w:color w:val="000000" w:themeColor="text1"/>
                <w:szCs w:val="24"/>
                <w:highlight w:val="none"/>
                <w:lang w:val="en-US" w:eastAsia="zh-CN"/>
                <w14:textFill>
                  <w14:solidFill>
                    <w14:schemeClr w14:val="tx1"/>
                  </w14:solidFill>
                </w14:textFill>
              </w:rPr>
              <w:t>7</w:t>
            </w:r>
            <w:r>
              <w:rPr>
                <w:rFonts w:hint="default" w:ascii="Times New Roman" w:hAnsi="Times New Roman"/>
                <w:b/>
                <w:bCs/>
                <w:snapToGrid w:val="0"/>
                <w:color w:val="000000" w:themeColor="text1"/>
                <w:szCs w:val="24"/>
                <w:highlight w:val="none"/>
                <w:lang w:val="en-US" w:eastAsia="zh-CN"/>
                <w14:textFill>
                  <w14:solidFill>
                    <w14:schemeClr w14:val="tx1"/>
                  </w14:solidFill>
                </w14:textFill>
              </w:rPr>
              <w:t xml:space="preserve"> 废水排放口基本情况一览表</w:t>
            </w:r>
          </w:p>
          <w:tbl>
            <w:tblPr>
              <w:tblStyle w:val="21"/>
              <w:tblW w:w="483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29"/>
              <w:gridCol w:w="888"/>
              <w:gridCol w:w="1479"/>
              <w:gridCol w:w="1497"/>
              <w:gridCol w:w="1026"/>
              <w:gridCol w:w="1107"/>
              <w:gridCol w:w="812"/>
              <w:gridCol w:w="784"/>
              <w:gridCol w:w="701"/>
              <w:gridCol w:w="1228"/>
              <w:gridCol w:w="1322"/>
              <w:gridCol w:w="1198"/>
            </w:tblGrid>
            <w:tr w14:paraId="350A1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1" w:type="pct"/>
                  <w:vMerge w:val="restart"/>
                  <w:tcBorders>
                    <w:top w:val="single" w:color="auto" w:sz="6" w:space="0"/>
                    <w:left w:val="single" w:color="auto" w:sz="6" w:space="0"/>
                    <w:bottom w:val="single" w:color="auto" w:sz="6" w:space="0"/>
                    <w:right w:val="single" w:color="auto" w:sz="6" w:space="0"/>
                  </w:tcBorders>
                  <w:noWrap w:val="0"/>
                  <w:vAlign w:val="center"/>
                </w:tcPr>
                <w:p w14:paraId="15E36CEC">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序号</w:t>
                  </w:r>
                </w:p>
              </w:tc>
              <w:tc>
                <w:tcPr>
                  <w:tcW w:w="356" w:type="pct"/>
                  <w:vMerge w:val="restart"/>
                  <w:tcBorders>
                    <w:top w:val="single" w:color="auto" w:sz="6" w:space="0"/>
                    <w:left w:val="single" w:color="auto" w:sz="6" w:space="0"/>
                    <w:bottom w:val="single" w:color="auto" w:sz="6" w:space="0"/>
                    <w:right w:val="single" w:color="auto" w:sz="6" w:space="0"/>
                  </w:tcBorders>
                  <w:noWrap w:val="0"/>
                  <w:vAlign w:val="center"/>
                </w:tcPr>
                <w:p w14:paraId="2F8638C0">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排放口编号</w:t>
                  </w:r>
                </w:p>
              </w:tc>
              <w:tc>
                <w:tcPr>
                  <w:tcW w:w="1193" w:type="pct"/>
                  <w:gridSpan w:val="2"/>
                  <w:vMerge w:val="restart"/>
                  <w:tcBorders>
                    <w:top w:val="single" w:color="auto" w:sz="6" w:space="0"/>
                    <w:left w:val="single" w:color="auto" w:sz="6" w:space="0"/>
                    <w:bottom w:val="single" w:color="auto" w:sz="6" w:space="0"/>
                    <w:right w:val="single" w:color="auto" w:sz="6" w:space="0"/>
                  </w:tcBorders>
                  <w:noWrap w:val="0"/>
                  <w:vAlign w:val="center"/>
                </w:tcPr>
                <w:p w14:paraId="27960C85">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排放口地理坐标</w:t>
                  </w:r>
                </w:p>
              </w:tc>
              <w:tc>
                <w:tcPr>
                  <w:tcW w:w="411" w:type="pct"/>
                  <w:vMerge w:val="restart"/>
                  <w:tcBorders>
                    <w:top w:val="single" w:color="auto" w:sz="6" w:space="0"/>
                    <w:left w:val="single" w:color="auto" w:sz="6" w:space="0"/>
                    <w:bottom w:val="single" w:color="auto" w:sz="6" w:space="0"/>
                    <w:right w:val="single" w:color="auto" w:sz="6" w:space="0"/>
                  </w:tcBorders>
                  <w:noWrap w:val="0"/>
                  <w:vAlign w:val="center"/>
                </w:tcPr>
                <w:p w14:paraId="41594E7E">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废水排放量（m</w:t>
                  </w:r>
                  <w:r>
                    <w:rPr>
                      <w:rFonts w:hint="default" w:ascii="Times New Roman" w:hAnsi="Times New Roman" w:cs="Times New Roman"/>
                      <w:b/>
                      <w:bCs w:val="0"/>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b/>
                      <w:bCs w:val="0"/>
                      <w:color w:val="000000" w:themeColor="text1"/>
                      <w:sz w:val="21"/>
                      <w:szCs w:val="21"/>
                      <w:highlight w:val="none"/>
                      <w14:textFill>
                        <w14:solidFill>
                          <w14:schemeClr w14:val="tx1"/>
                        </w14:solidFill>
                      </w14:textFill>
                    </w:rPr>
                    <w:t>/a）</w:t>
                  </w:r>
                </w:p>
              </w:tc>
              <w:tc>
                <w:tcPr>
                  <w:tcW w:w="443" w:type="pct"/>
                  <w:vMerge w:val="restart"/>
                  <w:tcBorders>
                    <w:top w:val="single" w:color="auto" w:sz="6" w:space="0"/>
                    <w:left w:val="single" w:color="auto" w:sz="6" w:space="0"/>
                    <w:bottom w:val="single" w:color="auto" w:sz="6" w:space="0"/>
                    <w:right w:val="single" w:color="auto" w:sz="6" w:space="0"/>
                  </w:tcBorders>
                  <w:noWrap w:val="0"/>
                  <w:vAlign w:val="center"/>
                </w:tcPr>
                <w:p w14:paraId="72C9D926">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排放去向</w:t>
                  </w:r>
                </w:p>
              </w:tc>
              <w:tc>
                <w:tcPr>
                  <w:tcW w:w="325" w:type="pct"/>
                  <w:vMerge w:val="restart"/>
                  <w:tcBorders>
                    <w:top w:val="single" w:color="auto" w:sz="6" w:space="0"/>
                    <w:left w:val="single" w:color="auto" w:sz="6" w:space="0"/>
                    <w:bottom w:val="single" w:color="auto" w:sz="6" w:space="0"/>
                    <w:right w:val="single" w:color="auto" w:sz="6" w:space="0"/>
                  </w:tcBorders>
                  <w:noWrap w:val="0"/>
                  <w:vAlign w:val="center"/>
                </w:tcPr>
                <w:p w14:paraId="10A37A64">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规律</w:t>
                  </w:r>
                </w:p>
              </w:tc>
              <w:tc>
                <w:tcPr>
                  <w:tcW w:w="314" w:type="pct"/>
                  <w:vMerge w:val="restart"/>
                  <w:tcBorders>
                    <w:top w:val="single" w:color="auto" w:sz="6" w:space="0"/>
                    <w:left w:val="single" w:color="auto" w:sz="6" w:space="0"/>
                    <w:bottom w:val="single" w:color="auto" w:sz="6" w:space="0"/>
                    <w:right w:val="single" w:color="auto" w:sz="6" w:space="0"/>
                  </w:tcBorders>
                  <w:noWrap w:val="0"/>
                  <w:vAlign w:val="center"/>
                </w:tcPr>
                <w:p w14:paraId="20061496">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间歇排放时段</w:t>
                  </w:r>
                </w:p>
              </w:tc>
              <w:tc>
                <w:tcPr>
                  <w:tcW w:w="1783" w:type="pct"/>
                  <w:gridSpan w:val="4"/>
                  <w:tcBorders>
                    <w:top w:val="single" w:color="auto" w:sz="6" w:space="0"/>
                    <w:left w:val="single" w:color="auto" w:sz="6" w:space="0"/>
                    <w:bottom w:val="single" w:color="auto" w:sz="6" w:space="0"/>
                    <w:right w:val="single" w:color="auto" w:sz="6" w:space="0"/>
                  </w:tcBorders>
                  <w:noWrap w:val="0"/>
                  <w:vAlign w:val="center"/>
                </w:tcPr>
                <w:p w14:paraId="7F6047E2">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受纳污水处理厂信息</w:t>
                  </w:r>
                </w:p>
              </w:tc>
            </w:tr>
            <w:tr w14:paraId="2692B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1" w:type="pct"/>
                  <w:vMerge w:val="continue"/>
                  <w:tcBorders>
                    <w:top w:val="single" w:color="auto" w:sz="6" w:space="0"/>
                    <w:left w:val="single" w:color="auto" w:sz="6" w:space="0"/>
                    <w:bottom w:val="single" w:color="auto" w:sz="6" w:space="0"/>
                    <w:right w:val="single" w:color="auto" w:sz="6" w:space="0"/>
                  </w:tcBorders>
                  <w:noWrap w:val="0"/>
                  <w:vAlign w:val="center"/>
                </w:tcPr>
                <w:p w14:paraId="2EC7266C">
                  <w:pPr>
                    <w:keepNext w:val="0"/>
                    <w:keepLines w:val="0"/>
                    <w:widowControl/>
                    <w:suppressLineNumbers w:val="0"/>
                    <w:shd w:val="clear" w:color="auto" w:fill="auto"/>
                    <w:spacing w:before="0" w:beforeAutospacing="0" w:after="0" w:afterAutospacing="0"/>
                    <w:ind w:left="0" w:right="0"/>
                    <w:jc w:val="center"/>
                    <w:rPr>
                      <w:rFonts w:hint="default"/>
                      <w:b/>
                      <w:bCs w:val="0"/>
                      <w:color w:val="000000" w:themeColor="text1"/>
                      <w:szCs w:val="21"/>
                      <w:highlight w:val="none"/>
                      <w14:textFill>
                        <w14:solidFill>
                          <w14:schemeClr w14:val="tx1"/>
                        </w14:solidFill>
                      </w14:textFill>
                    </w:rPr>
                  </w:pPr>
                </w:p>
              </w:tc>
              <w:tc>
                <w:tcPr>
                  <w:tcW w:w="356" w:type="pct"/>
                  <w:vMerge w:val="continue"/>
                  <w:tcBorders>
                    <w:top w:val="single" w:color="auto" w:sz="6" w:space="0"/>
                    <w:left w:val="single" w:color="auto" w:sz="6" w:space="0"/>
                    <w:bottom w:val="single" w:color="auto" w:sz="6" w:space="0"/>
                    <w:right w:val="single" w:color="auto" w:sz="6" w:space="0"/>
                  </w:tcBorders>
                  <w:noWrap w:val="0"/>
                  <w:vAlign w:val="center"/>
                </w:tcPr>
                <w:p w14:paraId="1E4AC8B6">
                  <w:pPr>
                    <w:keepNext w:val="0"/>
                    <w:keepLines w:val="0"/>
                    <w:widowControl/>
                    <w:suppressLineNumbers w:val="0"/>
                    <w:shd w:val="clear" w:color="auto" w:fill="auto"/>
                    <w:spacing w:before="0" w:beforeAutospacing="0" w:after="0" w:afterAutospacing="0"/>
                    <w:ind w:left="0" w:right="0"/>
                    <w:jc w:val="center"/>
                    <w:rPr>
                      <w:rFonts w:hint="default"/>
                      <w:b/>
                      <w:bCs w:val="0"/>
                      <w:color w:val="000000" w:themeColor="text1"/>
                      <w:szCs w:val="21"/>
                      <w:highlight w:val="none"/>
                      <w14:textFill>
                        <w14:solidFill>
                          <w14:schemeClr w14:val="tx1"/>
                        </w14:solidFill>
                      </w14:textFill>
                    </w:rPr>
                  </w:pPr>
                </w:p>
              </w:tc>
              <w:tc>
                <w:tcPr>
                  <w:tcW w:w="1193" w:type="pct"/>
                  <w:gridSpan w:val="2"/>
                  <w:vMerge w:val="continue"/>
                  <w:tcBorders>
                    <w:top w:val="single" w:color="auto" w:sz="6" w:space="0"/>
                    <w:left w:val="single" w:color="auto" w:sz="6" w:space="0"/>
                    <w:bottom w:val="single" w:color="auto" w:sz="6" w:space="0"/>
                    <w:right w:val="single" w:color="auto" w:sz="6" w:space="0"/>
                  </w:tcBorders>
                  <w:noWrap w:val="0"/>
                  <w:vAlign w:val="center"/>
                </w:tcPr>
                <w:p w14:paraId="67734451">
                  <w:pPr>
                    <w:keepNext w:val="0"/>
                    <w:keepLines w:val="0"/>
                    <w:widowControl/>
                    <w:suppressLineNumbers w:val="0"/>
                    <w:shd w:val="clear" w:color="auto" w:fill="auto"/>
                    <w:spacing w:before="0" w:beforeAutospacing="0" w:after="0" w:afterAutospacing="0"/>
                    <w:ind w:left="0" w:right="0"/>
                    <w:jc w:val="center"/>
                    <w:rPr>
                      <w:rFonts w:hint="default"/>
                      <w:b/>
                      <w:bCs w:val="0"/>
                      <w:color w:val="000000" w:themeColor="text1"/>
                      <w:szCs w:val="21"/>
                      <w:highlight w:val="none"/>
                      <w14:textFill>
                        <w14:solidFill>
                          <w14:schemeClr w14:val="tx1"/>
                        </w14:solidFill>
                      </w14:textFill>
                    </w:rPr>
                  </w:pPr>
                </w:p>
              </w:tc>
              <w:tc>
                <w:tcPr>
                  <w:tcW w:w="411" w:type="pct"/>
                  <w:vMerge w:val="continue"/>
                  <w:tcBorders>
                    <w:top w:val="single" w:color="auto" w:sz="6" w:space="0"/>
                    <w:left w:val="single" w:color="auto" w:sz="6" w:space="0"/>
                    <w:bottom w:val="single" w:color="auto" w:sz="6" w:space="0"/>
                    <w:right w:val="single" w:color="auto" w:sz="6" w:space="0"/>
                  </w:tcBorders>
                  <w:noWrap w:val="0"/>
                  <w:vAlign w:val="center"/>
                </w:tcPr>
                <w:p w14:paraId="2BA3F70F">
                  <w:pPr>
                    <w:keepNext w:val="0"/>
                    <w:keepLines w:val="0"/>
                    <w:widowControl/>
                    <w:suppressLineNumbers w:val="0"/>
                    <w:shd w:val="clear" w:color="auto" w:fill="auto"/>
                    <w:spacing w:before="0" w:beforeAutospacing="0" w:after="0" w:afterAutospacing="0"/>
                    <w:ind w:left="0" w:right="0"/>
                    <w:jc w:val="center"/>
                    <w:rPr>
                      <w:rFonts w:hint="default"/>
                      <w:b/>
                      <w:bCs w:val="0"/>
                      <w:color w:val="000000" w:themeColor="text1"/>
                      <w:szCs w:val="21"/>
                      <w:highlight w:val="none"/>
                      <w14:textFill>
                        <w14:solidFill>
                          <w14:schemeClr w14:val="tx1"/>
                        </w14:solidFill>
                      </w14:textFill>
                    </w:rPr>
                  </w:pPr>
                </w:p>
              </w:tc>
              <w:tc>
                <w:tcPr>
                  <w:tcW w:w="443" w:type="pct"/>
                  <w:vMerge w:val="continue"/>
                  <w:tcBorders>
                    <w:top w:val="single" w:color="auto" w:sz="6" w:space="0"/>
                    <w:left w:val="single" w:color="auto" w:sz="6" w:space="0"/>
                    <w:bottom w:val="single" w:color="auto" w:sz="6" w:space="0"/>
                    <w:right w:val="single" w:color="auto" w:sz="6" w:space="0"/>
                  </w:tcBorders>
                  <w:noWrap w:val="0"/>
                  <w:vAlign w:val="center"/>
                </w:tcPr>
                <w:p w14:paraId="43FDF61F">
                  <w:pPr>
                    <w:keepNext w:val="0"/>
                    <w:keepLines w:val="0"/>
                    <w:widowControl/>
                    <w:suppressLineNumbers w:val="0"/>
                    <w:shd w:val="clear" w:color="auto" w:fill="auto"/>
                    <w:spacing w:before="0" w:beforeAutospacing="0" w:after="0" w:afterAutospacing="0"/>
                    <w:ind w:left="0" w:right="0"/>
                    <w:jc w:val="center"/>
                    <w:rPr>
                      <w:rFonts w:hint="default"/>
                      <w:b/>
                      <w:bCs w:val="0"/>
                      <w:color w:val="000000" w:themeColor="text1"/>
                      <w:szCs w:val="21"/>
                      <w:highlight w:val="none"/>
                      <w14:textFill>
                        <w14:solidFill>
                          <w14:schemeClr w14:val="tx1"/>
                        </w14:solidFill>
                      </w14:textFill>
                    </w:rPr>
                  </w:pPr>
                </w:p>
              </w:tc>
              <w:tc>
                <w:tcPr>
                  <w:tcW w:w="325" w:type="pct"/>
                  <w:vMerge w:val="continue"/>
                  <w:tcBorders>
                    <w:top w:val="single" w:color="auto" w:sz="6" w:space="0"/>
                    <w:left w:val="single" w:color="auto" w:sz="6" w:space="0"/>
                    <w:bottom w:val="single" w:color="auto" w:sz="6" w:space="0"/>
                    <w:right w:val="single" w:color="auto" w:sz="6" w:space="0"/>
                  </w:tcBorders>
                  <w:noWrap w:val="0"/>
                  <w:vAlign w:val="center"/>
                </w:tcPr>
                <w:p w14:paraId="7CCD6094">
                  <w:pPr>
                    <w:keepNext w:val="0"/>
                    <w:keepLines w:val="0"/>
                    <w:widowControl/>
                    <w:suppressLineNumbers w:val="0"/>
                    <w:shd w:val="clear" w:color="auto" w:fill="auto"/>
                    <w:spacing w:before="0" w:beforeAutospacing="0" w:after="0" w:afterAutospacing="0"/>
                    <w:ind w:left="0" w:right="0"/>
                    <w:jc w:val="center"/>
                    <w:rPr>
                      <w:rFonts w:hint="default"/>
                      <w:b/>
                      <w:bCs w:val="0"/>
                      <w:color w:val="000000" w:themeColor="text1"/>
                      <w:szCs w:val="21"/>
                      <w:highlight w:val="none"/>
                      <w14:textFill>
                        <w14:solidFill>
                          <w14:schemeClr w14:val="tx1"/>
                        </w14:solidFill>
                      </w14:textFill>
                    </w:rPr>
                  </w:pPr>
                </w:p>
              </w:tc>
              <w:tc>
                <w:tcPr>
                  <w:tcW w:w="314" w:type="pct"/>
                  <w:vMerge w:val="continue"/>
                  <w:tcBorders>
                    <w:top w:val="single" w:color="auto" w:sz="6" w:space="0"/>
                    <w:left w:val="single" w:color="auto" w:sz="6" w:space="0"/>
                    <w:bottom w:val="single" w:color="auto" w:sz="6" w:space="0"/>
                    <w:right w:val="single" w:color="auto" w:sz="6" w:space="0"/>
                  </w:tcBorders>
                  <w:noWrap w:val="0"/>
                  <w:vAlign w:val="center"/>
                </w:tcPr>
                <w:p w14:paraId="26C5D42F">
                  <w:pPr>
                    <w:keepNext w:val="0"/>
                    <w:keepLines w:val="0"/>
                    <w:widowControl/>
                    <w:suppressLineNumbers w:val="0"/>
                    <w:shd w:val="clear" w:color="auto" w:fill="auto"/>
                    <w:spacing w:before="0" w:beforeAutospacing="0" w:after="0" w:afterAutospacing="0"/>
                    <w:ind w:left="0" w:right="0"/>
                    <w:jc w:val="center"/>
                    <w:rPr>
                      <w:rFonts w:hint="default"/>
                      <w:b/>
                      <w:bCs w:val="0"/>
                      <w:color w:val="000000" w:themeColor="text1"/>
                      <w:szCs w:val="21"/>
                      <w:highlight w:val="none"/>
                      <w14:textFill>
                        <w14:solidFill>
                          <w14:schemeClr w14:val="tx1"/>
                        </w14:solidFill>
                      </w14:textFill>
                    </w:rPr>
                  </w:pPr>
                </w:p>
              </w:tc>
              <w:tc>
                <w:tcPr>
                  <w:tcW w:w="281" w:type="pct"/>
                  <w:vMerge w:val="restart"/>
                  <w:tcBorders>
                    <w:top w:val="single" w:color="auto" w:sz="6" w:space="0"/>
                    <w:left w:val="single" w:color="auto" w:sz="6" w:space="0"/>
                    <w:bottom w:val="single" w:color="auto" w:sz="6" w:space="0"/>
                    <w:right w:val="single" w:color="auto" w:sz="6" w:space="0"/>
                  </w:tcBorders>
                  <w:noWrap w:val="0"/>
                  <w:vAlign w:val="center"/>
                </w:tcPr>
                <w:p w14:paraId="7A674572">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名称</w:t>
                  </w:r>
                </w:p>
              </w:tc>
              <w:tc>
                <w:tcPr>
                  <w:tcW w:w="492" w:type="pct"/>
                  <w:vMerge w:val="restart"/>
                  <w:tcBorders>
                    <w:top w:val="single" w:color="auto" w:sz="6" w:space="0"/>
                    <w:left w:val="single" w:color="auto" w:sz="6" w:space="0"/>
                    <w:bottom w:val="single" w:color="auto" w:sz="6" w:space="0"/>
                    <w:right w:val="single" w:color="auto" w:sz="6" w:space="0"/>
                  </w:tcBorders>
                  <w:noWrap w:val="0"/>
                  <w:vAlign w:val="center"/>
                </w:tcPr>
                <w:p w14:paraId="5561761F">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污染物种类</w:t>
                  </w:r>
                </w:p>
              </w:tc>
              <w:tc>
                <w:tcPr>
                  <w:tcW w:w="530" w:type="pct"/>
                  <w:vMerge w:val="restart"/>
                  <w:tcBorders>
                    <w:top w:val="single" w:color="auto" w:sz="6" w:space="0"/>
                    <w:left w:val="single" w:color="auto" w:sz="6" w:space="0"/>
                    <w:bottom w:val="single" w:color="auto" w:sz="6" w:space="0"/>
                    <w:right w:val="single" w:color="auto" w:sz="6" w:space="0"/>
                  </w:tcBorders>
                  <w:noWrap w:val="0"/>
                  <w:vAlign w:val="center"/>
                </w:tcPr>
                <w:p w14:paraId="575B2A95">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排放标准限值（mg/L）</w:t>
                  </w:r>
                </w:p>
              </w:tc>
              <w:tc>
                <w:tcPr>
                  <w:tcW w:w="480" w:type="pct"/>
                  <w:vMerge w:val="restart"/>
                  <w:tcBorders>
                    <w:top w:val="single" w:color="auto" w:sz="6" w:space="0"/>
                    <w:left w:val="single" w:color="auto" w:sz="6" w:space="0"/>
                    <w:right w:val="single" w:color="auto" w:sz="6" w:space="0"/>
                  </w:tcBorders>
                  <w:noWrap w:val="0"/>
                  <w:vAlign w:val="center"/>
                </w:tcPr>
                <w:p w14:paraId="2C17211D">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b/>
                      <w:bCs w:val="0"/>
                      <w:color w:val="000000" w:themeColor="text1"/>
                      <w:sz w:val="21"/>
                      <w:szCs w:val="21"/>
                      <w:highlight w:val="none"/>
                      <w14:textFill>
                        <w14:solidFill>
                          <w14:schemeClr w14:val="tx1"/>
                        </w14:solidFill>
                      </w14:textFill>
                    </w:rPr>
                  </w:pPr>
                  <w:r>
                    <w:rPr>
                      <w:rFonts w:hint="default" w:ascii="Times New Roman" w:hAnsi="Times New Roman" w:cs="Times New Roman"/>
                      <w:b/>
                      <w:bCs w:val="0"/>
                      <w:color w:val="000000" w:themeColor="text1"/>
                      <w:sz w:val="21"/>
                      <w:szCs w:val="21"/>
                      <w:highlight w:val="none"/>
                      <w14:textFill>
                        <w14:solidFill>
                          <w14:schemeClr w14:val="tx1"/>
                        </w14:solidFill>
                      </w14:textFill>
                    </w:rPr>
                    <w:t>污染物排放量（t/a）</w:t>
                  </w:r>
                </w:p>
              </w:tc>
            </w:tr>
            <w:tr w14:paraId="4F631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1" w:type="pct"/>
                  <w:vMerge w:val="continue"/>
                  <w:tcBorders>
                    <w:top w:val="single" w:color="auto" w:sz="6" w:space="0"/>
                    <w:left w:val="single" w:color="auto" w:sz="6" w:space="0"/>
                    <w:bottom w:val="single" w:color="auto" w:sz="6" w:space="0"/>
                    <w:right w:val="single" w:color="auto" w:sz="6" w:space="0"/>
                  </w:tcBorders>
                  <w:noWrap w:val="0"/>
                  <w:vAlign w:val="center"/>
                </w:tcPr>
                <w:p w14:paraId="07AB23EB">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56" w:type="pct"/>
                  <w:vMerge w:val="continue"/>
                  <w:tcBorders>
                    <w:top w:val="single" w:color="auto" w:sz="6" w:space="0"/>
                    <w:left w:val="single" w:color="auto" w:sz="6" w:space="0"/>
                    <w:bottom w:val="single" w:color="auto" w:sz="6" w:space="0"/>
                    <w:right w:val="single" w:color="auto" w:sz="6" w:space="0"/>
                  </w:tcBorders>
                  <w:noWrap w:val="0"/>
                  <w:vAlign w:val="center"/>
                </w:tcPr>
                <w:p w14:paraId="121B775E">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592" w:type="pct"/>
                  <w:tcBorders>
                    <w:top w:val="single" w:color="auto" w:sz="6" w:space="0"/>
                    <w:left w:val="single" w:color="auto" w:sz="6" w:space="0"/>
                    <w:bottom w:val="single" w:color="auto" w:sz="6" w:space="0"/>
                    <w:right w:val="single" w:color="auto" w:sz="6" w:space="0"/>
                  </w:tcBorders>
                  <w:noWrap w:val="0"/>
                  <w:vAlign w:val="center"/>
                </w:tcPr>
                <w:p w14:paraId="1B35A3AD">
                  <w:pPr>
                    <w:keepNext w:val="0"/>
                    <w:keepLines w:val="0"/>
                    <w:suppressLineNumbers w:val="0"/>
                    <w:shd w:val="clear" w:color="auto" w:fill="auto"/>
                    <w:spacing w:before="0" w:beforeAutospacing="0" w:after="0" w:afterAutospacing="0"/>
                    <w:ind w:left="0" w:right="0"/>
                    <w:jc w:val="center"/>
                    <w:rPr>
                      <w:rFonts w:hint="default"/>
                      <w:b/>
                      <w:bCs/>
                      <w:color w:val="000000" w:themeColor="text1"/>
                      <w:kern w:val="0"/>
                      <w:szCs w:val="21"/>
                      <w:highlight w:val="none"/>
                      <w14:textFill>
                        <w14:solidFill>
                          <w14:schemeClr w14:val="tx1"/>
                        </w14:solidFill>
                      </w14:textFill>
                    </w:rPr>
                  </w:pPr>
                  <w:r>
                    <w:rPr>
                      <w:rFonts w:hint="default"/>
                      <w:b/>
                      <w:bCs/>
                      <w:color w:val="000000" w:themeColor="text1"/>
                      <w:kern w:val="0"/>
                      <w:szCs w:val="21"/>
                      <w:highlight w:val="none"/>
                      <w14:textFill>
                        <w14:solidFill>
                          <w14:schemeClr w14:val="tx1"/>
                        </w14:solidFill>
                      </w14:textFill>
                    </w:rPr>
                    <w:t>经度°</w:t>
                  </w:r>
                </w:p>
              </w:tc>
              <w:tc>
                <w:tcPr>
                  <w:tcW w:w="600" w:type="pct"/>
                  <w:tcBorders>
                    <w:top w:val="single" w:color="auto" w:sz="6" w:space="0"/>
                    <w:left w:val="single" w:color="auto" w:sz="6" w:space="0"/>
                    <w:bottom w:val="single" w:color="auto" w:sz="6" w:space="0"/>
                    <w:right w:val="single" w:color="auto" w:sz="6" w:space="0"/>
                  </w:tcBorders>
                  <w:noWrap w:val="0"/>
                  <w:vAlign w:val="center"/>
                </w:tcPr>
                <w:p w14:paraId="2ADEDB42">
                  <w:pPr>
                    <w:keepNext w:val="0"/>
                    <w:keepLines w:val="0"/>
                    <w:suppressLineNumbers w:val="0"/>
                    <w:shd w:val="clear" w:color="auto" w:fill="auto"/>
                    <w:spacing w:before="0" w:beforeAutospacing="0" w:after="0" w:afterAutospacing="0"/>
                    <w:ind w:left="0" w:right="0"/>
                    <w:jc w:val="center"/>
                    <w:rPr>
                      <w:rFonts w:hint="default"/>
                      <w:b/>
                      <w:bCs/>
                      <w:color w:val="000000" w:themeColor="text1"/>
                      <w:kern w:val="0"/>
                      <w:szCs w:val="21"/>
                      <w:highlight w:val="none"/>
                      <w14:textFill>
                        <w14:solidFill>
                          <w14:schemeClr w14:val="tx1"/>
                        </w14:solidFill>
                      </w14:textFill>
                    </w:rPr>
                  </w:pPr>
                  <w:r>
                    <w:rPr>
                      <w:rFonts w:hint="default"/>
                      <w:b/>
                      <w:bCs/>
                      <w:color w:val="000000" w:themeColor="text1"/>
                      <w:kern w:val="0"/>
                      <w:szCs w:val="21"/>
                      <w:highlight w:val="none"/>
                      <w14:textFill>
                        <w14:solidFill>
                          <w14:schemeClr w14:val="tx1"/>
                        </w14:solidFill>
                      </w14:textFill>
                    </w:rPr>
                    <w:t>纬度°</w:t>
                  </w:r>
                </w:p>
              </w:tc>
              <w:tc>
                <w:tcPr>
                  <w:tcW w:w="411" w:type="pct"/>
                  <w:vMerge w:val="continue"/>
                  <w:tcBorders>
                    <w:top w:val="single" w:color="auto" w:sz="6" w:space="0"/>
                    <w:left w:val="single" w:color="auto" w:sz="6" w:space="0"/>
                    <w:bottom w:val="single" w:color="auto" w:sz="6" w:space="0"/>
                    <w:right w:val="single" w:color="auto" w:sz="6" w:space="0"/>
                  </w:tcBorders>
                  <w:noWrap w:val="0"/>
                  <w:vAlign w:val="center"/>
                </w:tcPr>
                <w:p w14:paraId="36DF4604">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43" w:type="pct"/>
                  <w:vMerge w:val="continue"/>
                  <w:tcBorders>
                    <w:top w:val="single" w:color="auto" w:sz="6" w:space="0"/>
                    <w:left w:val="single" w:color="auto" w:sz="6" w:space="0"/>
                    <w:bottom w:val="single" w:color="auto" w:sz="6" w:space="0"/>
                    <w:right w:val="single" w:color="auto" w:sz="6" w:space="0"/>
                  </w:tcBorders>
                  <w:noWrap w:val="0"/>
                  <w:vAlign w:val="center"/>
                </w:tcPr>
                <w:p w14:paraId="7ACFF445">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25" w:type="pct"/>
                  <w:vMerge w:val="continue"/>
                  <w:tcBorders>
                    <w:top w:val="single" w:color="auto" w:sz="6" w:space="0"/>
                    <w:left w:val="single" w:color="auto" w:sz="6" w:space="0"/>
                    <w:bottom w:val="single" w:color="auto" w:sz="6" w:space="0"/>
                    <w:right w:val="single" w:color="auto" w:sz="6" w:space="0"/>
                  </w:tcBorders>
                  <w:noWrap w:val="0"/>
                  <w:vAlign w:val="center"/>
                </w:tcPr>
                <w:p w14:paraId="1DA1DFA7">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14" w:type="pct"/>
                  <w:vMerge w:val="continue"/>
                  <w:tcBorders>
                    <w:top w:val="single" w:color="auto" w:sz="6" w:space="0"/>
                    <w:left w:val="single" w:color="auto" w:sz="6" w:space="0"/>
                    <w:bottom w:val="single" w:color="auto" w:sz="6" w:space="0"/>
                    <w:right w:val="single" w:color="auto" w:sz="6" w:space="0"/>
                  </w:tcBorders>
                  <w:noWrap w:val="0"/>
                  <w:vAlign w:val="center"/>
                </w:tcPr>
                <w:p w14:paraId="2439256C">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281" w:type="pct"/>
                  <w:vMerge w:val="continue"/>
                  <w:tcBorders>
                    <w:top w:val="single" w:color="auto" w:sz="6" w:space="0"/>
                    <w:left w:val="single" w:color="auto" w:sz="6" w:space="0"/>
                    <w:bottom w:val="single" w:color="auto" w:sz="6" w:space="0"/>
                    <w:right w:val="single" w:color="auto" w:sz="6" w:space="0"/>
                  </w:tcBorders>
                  <w:noWrap w:val="0"/>
                  <w:vAlign w:val="center"/>
                </w:tcPr>
                <w:p w14:paraId="786A2AEB">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92" w:type="pct"/>
                  <w:vMerge w:val="continue"/>
                  <w:tcBorders>
                    <w:top w:val="single" w:color="auto" w:sz="6" w:space="0"/>
                    <w:left w:val="single" w:color="auto" w:sz="6" w:space="0"/>
                    <w:bottom w:val="single" w:color="auto" w:sz="6" w:space="0"/>
                    <w:right w:val="single" w:color="auto" w:sz="6" w:space="0"/>
                  </w:tcBorders>
                  <w:noWrap w:val="0"/>
                  <w:vAlign w:val="center"/>
                </w:tcPr>
                <w:p w14:paraId="4BCBD0B0">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530" w:type="pct"/>
                  <w:vMerge w:val="continue"/>
                  <w:tcBorders>
                    <w:top w:val="single" w:color="auto" w:sz="6" w:space="0"/>
                    <w:left w:val="single" w:color="auto" w:sz="6" w:space="0"/>
                    <w:bottom w:val="single" w:color="auto" w:sz="6" w:space="0"/>
                    <w:right w:val="single" w:color="auto" w:sz="6" w:space="0"/>
                  </w:tcBorders>
                  <w:noWrap w:val="0"/>
                  <w:vAlign w:val="center"/>
                </w:tcPr>
                <w:p w14:paraId="769963A3">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80" w:type="pct"/>
                  <w:vMerge w:val="continue"/>
                  <w:tcBorders>
                    <w:left w:val="single" w:color="auto" w:sz="6" w:space="0"/>
                    <w:bottom w:val="single" w:color="auto" w:sz="6" w:space="0"/>
                    <w:right w:val="single" w:color="auto" w:sz="6" w:space="0"/>
                  </w:tcBorders>
                  <w:noWrap w:val="0"/>
                  <w:vAlign w:val="center"/>
                </w:tcPr>
                <w:p w14:paraId="4FA6E06F">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r>
            <w:tr w14:paraId="08AB6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 w:type="pct"/>
                  <w:vMerge w:val="restart"/>
                  <w:tcBorders>
                    <w:top w:val="single" w:color="auto" w:sz="6" w:space="0"/>
                    <w:left w:val="single" w:color="auto" w:sz="6" w:space="0"/>
                    <w:right w:val="single" w:color="auto" w:sz="6" w:space="0"/>
                  </w:tcBorders>
                  <w:noWrap w:val="0"/>
                  <w:vAlign w:val="center"/>
                </w:tcPr>
                <w:p w14:paraId="4B695826">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1</w:t>
                  </w:r>
                </w:p>
              </w:tc>
              <w:tc>
                <w:tcPr>
                  <w:tcW w:w="356" w:type="pct"/>
                  <w:vMerge w:val="restart"/>
                  <w:tcBorders>
                    <w:top w:val="single" w:color="auto" w:sz="6" w:space="0"/>
                    <w:left w:val="single" w:color="auto" w:sz="6" w:space="0"/>
                    <w:right w:val="single" w:color="auto" w:sz="6" w:space="0"/>
                  </w:tcBorders>
                  <w:noWrap w:val="0"/>
                  <w:vAlign w:val="center"/>
                </w:tcPr>
                <w:p w14:paraId="7AC49F0A">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DW001</w:t>
                  </w:r>
                </w:p>
              </w:tc>
              <w:tc>
                <w:tcPr>
                  <w:tcW w:w="592" w:type="pct"/>
                  <w:vMerge w:val="restart"/>
                  <w:tcBorders>
                    <w:top w:val="single" w:color="auto" w:sz="6" w:space="0"/>
                    <w:left w:val="single" w:color="auto" w:sz="6" w:space="0"/>
                    <w:right w:val="single" w:color="auto" w:sz="6" w:space="0"/>
                  </w:tcBorders>
                  <w:noWrap w:val="0"/>
                  <w:vAlign w:val="center"/>
                </w:tcPr>
                <w:p w14:paraId="17FFEF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106.22944767</w:t>
                  </w:r>
                </w:p>
              </w:tc>
              <w:tc>
                <w:tcPr>
                  <w:tcW w:w="600" w:type="pct"/>
                  <w:vMerge w:val="restart"/>
                  <w:tcBorders>
                    <w:top w:val="single" w:color="auto" w:sz="6" w:space="0"/>
                    <w:left w:val="single" w:color="auto" w:sz="6" w:space="0"/>
                    <w:right w:val="single" w:color="auto" w:sz="6" w:space="0"/>
                  </w:tcBorders>
                  <w:noWrap w:val="0"/>
                  <w:vAlign w:val="center"/>
                </w:tcPr>
                <w:p w14:paraId="57001B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29.45264671</w:t>
                  </w:r>
                </w:p>
              </w:tc>
              <w:tc>
                <w:tcPr>
                  <w:tcW w:w="411" w:type="pct"/>
                  <w:vMerge w:val="restart"/>
                  <w:tcBorders>
                    <w:top w:val="single" w:color="auto" w:sz="6" w:space="0"/>
                    <w:left w:val="single" w:color="auto" w:sz="6" w:space="0"/>
                    <w:right w:val="single" w:color="auto" w:sz="6" w:space="0"/>
                  </w:tcBorders>
                  <w:noWrap w:val="0"/>
                  <w:vAlign w:val="center"/>
                </w:tcPr>
                <w:p w14:paraId="3B966E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317</w:t>
                  </w:r>
                </w:p>
              </w:tc>
              <w:tc>
                <w:tcPr>
                  <w:tcW w:w="443" w:type="pct"/>
                  <w:vMerge w:val="restart"/>
                  <w:tcBorders>
                    <w:top w:val="single" w:color="auto" w:sz="6" w:space="0"/>
                    <w:left w:val="single" w:color="auto" w:sz="6" w:space="0"/>
                    <w:right w:val="single" w:color="auto" w:sz="6" w:space="0"/>
                  </w:tcBorders>
                  <w:noWrap w:val="0"/>
                  <w:vAlign w:val="center"/>
                </w:tcPr>
                <w:p w14:paraId="3E940568">
                  <w:pPr>
                    <w:pStyle w:val="2"/>
                    <w:keepNext w:val="0"/>
                    <w:keepLines w:val="0"/>
                    <w:suppressLineNumbers w:val="0"/>
                    <w:shd w:val="clear" w:color="auto" w:fill="auto"/>
                    <w:spacing w:before="0" w:beforeAutospacing="0" w:after="0" w:afterAutospacing="0"/>
                    <w:ind w:left="0" w:right="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市政污水管网→</w:t>
                  </w:r>
                  <w:r>
                    <w:rPr>
                      <w:rFonts w:hint="eastAsia" w:ascii="Times New Roman" w:cs="Times New Roman"/>
                      <w:color w:val="000000" w:themeColor="text1"/>
                      <w:sz w:val="21"/>
                      <w:szCs w:val="21"/>
                      <w:highlight w:val="none"/>
                      <w:lang w:val="en-US" w:eastAsia="zh-CN"/>
                      <w14:textFill>
                        <w14:solidFill>
                          <w14:schemeClr w14:val="tx1"/>
                        </w14:solidFill>
                      </w14:textFill>
                    </w:rPr>
                    <w:t>青杠</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污水处理厂</w:t>
                  </w:r>
                  <w:r>
                    <w:rPr>
                      <w:rFonts w:hint="default" w:ascii="Times New Roman" w:hAnsi="Times New Roman" w:cs="Times New Roman"/>
                      <w:color w:val="000000" w:themeColor="text1"/>
                      <w:sz w:val="21"/>
                      <w:szCs w:val="21"/>
                      <w:highlight w:val="none"/>
                      <w14:textFill>
                        <w14:solidFill>
                          <w14:schemeClr w14:val="tx1"/>
                        </w14:solidFill>
                      </w14:textFill>
                    </w:rPr>
                    <w:t>→</w:t>
                  </w:r>
                  <w:r>
                    <w:rPr>
                      <w:rFonts w:hint="eastAsia" w:ascii="Times New Roman" w:cs="Times New Roman"/>
                      <w:color w:val="000000" w:themeColor="text1"/>
                      <w:sz w:val="21"/>
                      <w:szCs w:val="21"/>
                      <w:highlight w:val="none"/>
                      <w:lang w:val="en-US" w:eastAsia="zh-CN"/>
                      <w14:textFill>
                        <w14:solidFill>
                          <w14:schemeClr w14:val="tx1"/>
                        </w14:solidFill>
                      </w14:textFill>
                    </w:rPr>
                    <w:t>璧南河</w:t>
                  </w:r>
                </w:p>
              </w:tc>
              <w:tc>
                <w:tcPr>
                  <w:tcW w:w="325" w:type="pct"/>
                  <w:vMerge w:val="restart"/>
                  <w:tcBorders>
                    <w:top w:val="single" w:color="auto" w:sz="6" w:space="0"/>
                    <w:left w:val="single" w:color="auto" w:sz="6" w:space="0"/>
                    <w:right w:val="single" w:color="auto" w:sz="6" w:space="0"/>
                  </w:tcBorders>
                  <w:noWrap w:val="0"/>
                  <w:vAlign w:val="center"/>
                </w:tcPr>
                <w:p w14:paraId="10227807">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非连续排放，流量不稳定</w:t>
                  </w:r>
                </w:p>
              </w:tc>
              <w:tc>
                <w:tcPr>
                  <w:tcW w:w="314" w:type="pct"/>
                  <w:vMerge w:val="restart"/>
                  <w:tcBorders>
                    <w:top w:val="single" w:color="auto" w:sz="6" w:space="0"/>
                    <w:left w:val="single" w:color="auto" w:sz="6" w:space="0"/>
                    <w:right w:val="single" w:color="auto" w:sz="6" w:space="0"/>
                  </w:tcBorders>
                  <w:noWrap w:val="0"/>
                  <w:vAlign w:val="center"/>
                </w:tcPr>
                <w:p w14:paraId="0DEC70CB">
                  <w:pPr>
                    <w:pStyle w:val="2"/>
                    <w:keepNext w:val="0"/>
                    <w:keepLines w:val="0"/>
                    <w:suppressLineNumbers w:val="0"/>
                    <w:shd w:val="clear" w:color="auto" w:fill="auto"/>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281" w:type="pct"/>
                  <w:vMerge w:val="restart"/>
                  <w:tcBorders>
                    <w:top w:val="single" w:color="auto" w:sz="6" w:space="0"/>
                    <w:left w:val="single" w:color="auto" w:sz="6" w:space="0"/>
                    <w:right w:val="single" w:color="auto" w:sz="6" w:space="0"/>
                  </w:tcBorders>
                  <w:noWrap w:val="0"/>
                  <w:vAlign w:val="center"/>
                </w:tcPr>
                <w:p w14:paraId="290616A3">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青杠</w:t>
                  </w:r>
                  <w:r>
                    <w:rPr>
                      <w:rFonts w:hint="eastAsia"/>
                      <w:color w:val="000000" w:themeColor="text1"/>
                      <w:szCs w:val="21"/>
                      <w:highlight w:val="none"/>
                      <w14:textFill>
                        <w14:solidFill>
                          <w14:schemeClr w14:val="tx1"/>
                        </w14:solidFill>
                      </w14:textFill>
                    </w:rPr>
                    <w:t>污水处理厂</w:t>
                  </w:r>
                </w:p>
              </w:tc>
              <w:tc>
                <w:tcPr>
                  <w:tcW w:w="492" w:type="pct"/>
                  <w:tcBorders>
                    <w:top w:val="single" w:color="auto" w:sz="6" w:space="0"/>
                    <w:left w:val="single" w:color="auto" w:sz="6" w:space="0"/>
                    <w:bottom w:val="single" w:color="auto" w:sz="6" w:space="0"/>
                    <w:right w:val="single" w:color="auto" w:sz="6" w:space="0"/>
                  </w:tcBorders>
                  <w:noWrap w:val="0"/>
                  <w:vAlign w:val="center"/>
                </w:tcPr>
                <w:p w14:paraId="719B5DAB">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pH</w:t>
                  </w:r>
                </w:p>
              </w:tc>
              <w:tc>
                <w:tcPr>
                  <w:tcW w:w="530" w:type="pct"/>
                  <w:tcBorders>
                    <w:top w:val="single" w:color="auto" w:sz="6" w:space="0"/>
                    <w:left w:val="single" w:color="auto" w:sz="6" w:space="0"/>
                    <w:bottom w:val="single" w:color="auto" w:sz="6" w:space="0"/>
                    <w:right w:val="single" w:color="auto" w:sz="6" w:space="0"/>
                  </w:tcBorders>
                  <w:noWrap w:val="0"/>
                  <w:vAlign w:val="center"/>
                </w:tcPr>
                <w:p w14:paraId="02897EE9">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6~9</w:t>
                  </w:r>
                </w:p>
              </w:tc>
              <w:tc>
                <w:tcPr>
                  <w:tcW w:w="480" w:type="pct"/>
                  <w:tcBorders>
                    <w:top w:val="single" w:color="auto" w:sz="6" w:space="0"/>
                    <w:left w:val="single" w:color="auto" w:sz="6" w:space="0"/>
                    <w:bottom w:val="single" w:color="auto" w:sz="6" w:space="0"/>
                    <w:right w:val="single" w:color="auto" w:sz="6" w:space="0"/>
                  </w:tcBorders>
                  <w:noWrap w:val="0"/>
                  <w:vAlign w:val="center"/>
                </w:tcPr>
                <w:p w14:paraId="3698980C">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w:t>
                  </w:r>
                </w:p>
              </w:tc>
            </w:tr>
            <w:tr w14:paraId="1155F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 w:type="pct"/>
                  <w:vMerge w:val="continue"/>
                  <w:tcBorders>
                    <w:left w:val="single" w:color="auto" w:sz="6" w:space="0"/>
                    <w:right w:val="single" w:color="auto" w:sz="6" w:space="0"/>
                  </w:tcBorders>
                  <w:noWrap w:val="0"/>
                  <w:vAlign w:val="center"/>
                </w:tcPr>
                <w:p w14:paraId="0C18C0FE">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56" w:type="pct"/>
                  <w:vMerge w:val="continue"/>
                  <w:tcBorders>
                    <w:left w:val="single" w:color="auto" w:sz="6" w:space="0"/>
                    <w:right w:val="single" w:color="auto" w:sz="6" w:space="0"/>
                  </w:tcBorders>
                  <w:noWrap w:val="0"/>
                  <w:vAlign w:val="center"/>
                </w:tcPr>
                <w:p w14:paraId="51578BC3">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592" w:type="pct"/>
                  <w:vMerge w:val="continue"/>
                  <w:tcBorders>
                    <w:left w:val="single" w:color="auto" w:sz="6" w:space="0"/>
                    <w:right w:val="single" w:color="auto" w:sz="6" w:space="0"/>
                  </w:tcBorders>
                  <w:noWrap w:val="0"/>
                  <w:vAlign w:val="center"/>
                </w:tcPr>
                <w:p w14:paraId="56FE7070">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00" w:type="pct"/>
                  <w:vMerge w:val="continue"/>
                  <w:tcBorders>
                    <w:left w:val="single" w:color="auto" w:sz="6" w:space="0"/>
                    <w:right w:val="single" w:color="auto" w:sz="6" w:space="0"/>
                  </w:tcBorders>
                  <w:noWrap w:val="0"/>
                  <w:vAlign w:val="center"/>
                </w:tcPr>
                <w:p w14:paraId="647F98D5">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1" w:type="pct"/>
                  <w:vMerge w:val="continue"/>
                  <w:tcBorders>
                    <w:left w:val="single" w:color="auto" w:sz="6" w:space="0"/>
                    <w:right w:val="single" w:color="auto" w:sz="6" w:space="0"/>
                  </w:tcBorders>
                  <w:noWrap w:val="0"/>
                  <w:vAlign w:val="center"/>
                </w:tcPr>
                <w:p w14:paraId="5BE7D766">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43" w:type="pct"/>
                  <w:vMerge w:val="continue"/>
                  <w:tcBorders>
                    <w:left w:val="single" w:color="auto" w:sz="6" w:space="0"/>
                    <w:right w:val="single" w:color="auto" w:sz="6" w:space="0"/>
                  </w:tcBorders>
                  <w:noWrap w:val="0"/>
                  <w:vAlign w:val="center"/>
                </w:tcPr>
                <w:p w14:paraId="54A0C2E1">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25" w:type="pct"/>
                  <w:vMerge w:val="continue"/>
                  <w:tcBorders>
                    <w:left w:val="single" w:color="auto" w:sz="6" w:space="0"/>
                    <w:right w:val="single" w:color="auto" w:sz="6" w:space="0"/>
                  </w:tcBorders>
                  <w:noWrap w:val="0"/>
                  <w:vAlign w:val="center"/>
                </w:tcPr>
                <w:p w14:paraId="10ACBBC0">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14" w:type="pct"/>
                  <w:vMerge w:val="continue"/>
                  <w:tcBorders>
                    <w:left w:val="single" w:color="auto" w:sz="6" w:space="0"/>
                    <w:right w:val="single" w:color="auto" w:sz="6" w:space="0"/>
                  </w:tcBorders>
                  <w:noWrap w:val="0"/>
                  <w:vAlign w:val="center"/>
                </w:tcPr>
                <w:p w14:paraId="5693276D">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281" w:type="pct"/>
                  <w:vMerge w:val="continue"/>
                  <w:tcBorders>
                    <w:left w:val="single" w:color="auto" w:sz="6" w:space="0"/>
                    <w:right w:val="single" w:color="auto" w:sz="6" w:space="0"/>
                  </w:tcBorders>
                  <w:noWrap w:val="0"/>
                  <w:vAlign w:val="center"/>
                </w:tcPr>
                <w:p w14:paraId="0814ACAD">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363DAF8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COD</w:t>
                  </w:r>
                </w:p>
              </w:tc>
              <w:tc>
                <w:tcPr>
                  <w:tcW w:w="1322" w:type="dxa"/>
                  <w:tcBorders>
                    <w:top w:val="single" w:color="auto" w:sz="6" w:space="0"/>
                    <w:left w:val="single" w:color="auto" w:sz="6" w:space="0"/>
                    <w:bottom w:val="single" w:color="auto" w:sz="6" w:space="0"/>
                    <w:right w:val="single" w:color="auto" w:sz="6" w:space="0"/>
                  </w:tcBorders>
                  <w:noWrap w:val="0"/>
                  <w:vAlign w:val="center"/>
                </w:tcPr>
                <w:p w14:paraId="4FC42323">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30</w:t>
                  </w:r>
                </w:p>
              </w:tc>
              <w:tc>
                <w:tcPr>
                  <w:tcW w:w="1198" w:type="dxa"/>
                  <w:tcBorders>
                    <w:top w:val="single" w:color="auto" w:sz="6" w:space="0"/>
                    <w:left w:val="single" w:color="auto" w:sz="6" w:space="0"/>
                    <w:bottom w:val="single" w:color="auto" w:sz="6" w:space="0"/>
                    <w:right w:val="single" w:color="auto" w:sz="6" w:space="0"/>
                  </w:tcBorders>
                  <w:noWrap w:val="0"/>
                  <w:vAlign w:val="center"/>
                </w:tcPr>
                <w:p w14:paraId="07B30F6E">
                  <w:pPr>
                    <w:keepNext w:val="0"/>
                    <w:keepLines w:val="0"/>
                    <w:widowControl/>
                    <w:suppressLineNumbers w:val="0"/>
                    <w:jc w:val="center"/>
                    <w:textAlignment w:val="center"/>
                    <w:rPr>
                      <w:rFonts w:hint="default"/>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0.0095 </w:t>
                  </w:r>
                </w:p>
              </w:tc>
            </w:tr>
            <w:tr w14:paraId="75D29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 w:type="pct"/>
                  <w:vMerge w:val="continue"/>
                  <w:tcBorders>
                    <w:left w:val="single" w:color="auto" w:sz="6" w:space="0"/>
                    <w:right w:val="single" w:color="auto" w:sz="6" w:space="0"/>
                  </w:tcBorders>
                  <w:noWrap w:val="0"/>
                  <w:vAlign w:val="center"/>
                </w:tcPr>
                <w:p w14:paraId="1A84AA93">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56" w:type="pct"/>
                  <w:vMerge w:val="continue"/>
                  <w:tcBorders>
                    <w:left w:val="single" w:color="auto" w:sz="6" w:space="0"/>
                    <w:right w:val="single" w:color="auto" w:sz="6" w:space="0"/>
                  </w:tcBorders>
                  <w:noWrap w:val="0"/>
                  <w:vAlign w:val="center"/>
                </w:tcPr>
                <w:p w14:paraId="3A081EF8">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592" w:type="pct"/>
                  <w:vMerge w:val="continue"/>
                  <w:tcBorders>
                    <w:left w:val="single" w:color="auto" w:sz="6" w:space="0"/>
                    <w:right w:val="single" w:color="auto" w:sz="6" w:space="0"/>
                  </w:tcBorders>
                  <w:noWrap w:val="0"/>
                  <w:vAlign w:val="center"/>
                </w:tcPr>
                <w:p w14:paraId="3CFDF290">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00" w:type="pct"/>
                  <w:vMerge w:val="continue"/>
                  <w:tcBorders>
                    <w:left w:val="single" w:color="auto" w:sz="6" w:space="0"/>
                    <w:right w:val="single" w:color="auto" w:sz="6" w:space="0"/>
                  </w:tcBorders>
                  <w:noWrap w:val="0"/>
                  <w:vAlign w:val="center"/>
                </w:tcPr>
                <w:p w14:paraId="710D5E43">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1" w:type="pct"/>
                  <w:vMerge w:val="continue"/>
                  <w:tcBorders>
                    <w:left w:val="single" w:color="auto" w:sz="6" w:space="0"/>
                    <w:right w:val="single" w:color="auto" w:sz="6" w:space="0"/>
                  </w:tcBorders>
                  <w:noWrap w:val="0"/>
                  <w:vAlign w:val="center"/>
                </w:tcPr>
                <w:p w14:paraId="267FA621">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43" w:type="pct"/>
                  <w:vMerge w:val="continue"/>
                  <w:tcBorders>
                    <w:left w:val="single" w:color="auto" w:sz="6" w:space="0"/>
                    <w:right w:val="single" w:color="auto" w:sz="6" w:space="0"/>
                  </w:tcBorders>
                  <w:noWrap w:val="0"/>
                  <w:vAlign w:val="center"/>
                </w:tcPr>
                <w:p w14:paraId="59DF5A6B">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25" w:type="pct"/>
                  <w:vMerge w:val="continue"/>
                  <w:tcBorders>
                    <w:left w:val="single" w:color="auto" w:sz="6" w:space="0"/>
                    <w:right w:val="single" w:color="auto" w:sz="6" w:space="0"/>
                  </w:tcBorders>
                  <w:noWrap w:val="0"/>
                  <w:vAlign w:val="center"/>
                </w:tcPr>
                <w:p w14:paraId="405EA6E5">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14" w:type="pct"/>
                  <w:vMerge w:val="continue"/>
                  <w:tcBorders>
                    <w:left w:val="single" w:color="auto" w:sz="6" w:space="0"/>
                    <w:right w:val="single" w:color="auto" w:sz="6" w:space="0"/>
                  </w:tcBorders>
                  <w:noWrap w:val="0"/>
                  <w:vAlign w:val="center"/>
                </w:tcPr>
                <w:p w14:paraId="751961B7">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281" w:type="pct"/>
                  <w:vMerge w:val="continue"/>
                  <w:tcBorders>
                    <w:left w:val="single" w:color="auto" w:sz="6" w:space="0"/>
                    <w:right w:val="single" w:color="auto" w:sz="6" w:space="0"/>
                  </w:tcBorders>
                  <w:noWrap w:val="0"/>
                  <w:vAlign w:val="center"/>
                </w:tcPr>
                <w:p w14:paraId="5BC442B6">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6039ECA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BOD</w:t>
                  </w:r>
                  <w:r>
                    <w:rPr>
                      <w:rFonts w:hint="default"/>
                      <w:color w:val="000000" w:themeColor="text1"/>
                      <w:kern w:val="0"/>
                      <w:sz w:val="21"/>
                      <w:szCs w:val="21"/>
                      <w:vertAlign w:val="subscript"/>
                      <w14:textFill>
                        <w14:solidFill>
                          <w14:schemeClr w14:val="tx1"/>
                        </w14:solidFill>
                      </w14:textFill>
                    </w:rPr>
                    <w:t>5</w:t>
                  </w:r>
                </w:p>
              </w:tc>
              <w:tc>
                <w:tcPr>
                  <w:tcW w:w="1322" w:type="dxa"/>
                  <w:tcBorders>
                    <w:top w:val="single" w:color="auto" w:sz="6" w:space="0"/>
                    <w:left w:val="single" w:color="auto" w:sz="6" w:space="0"/>
                    <w:bottom w:val="single" w:color="auto" w:sz="6" w:space="0"/>
                    <w:right w:val="single" w:color="auto" w:sz="6" w:space="0"/>
                  </w:tcBorders>
                  <w:noWrap w:val="0"/>
                  <w:vAlign w:val="bottom"/>
                </w:tcPr>
                <w:p w14:paraId="71632FEB">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6</w:t>
                  </w:r>
                </w:p>
              </w:tc>
              <w:tc>
                <w:tcPr>
                  <w:tcW w:w="1198" w:type="dxa"/>
                  <w:tcBorders>
                    <w:top w:val="single" w:color="auto" w:sz="6" w:space="0"/>
                    <w:left w:val="single" w:color="auto" w:sz="6" w:space="0"/>
                    <w:bottom w:val="single" w:color="auto" w:sz="6" w:space="0"/>
                    <w:right w:val="single" w:color="auto" w:sz="6" w:space="0"/>
                  </w:tcBorders>
                  <w:noWrap w:val="0"/>
                  <w:vAlign w:val="center"/>
                </w:tcPr>
                <w:p w14:paraId="34F9BF29">
                  <w:pPr>
                    <w:keepNext w:val="0"/>
                    <w:keepLines w:val="0"/>
                    <w:widowControl/>
                    <w:suppressLineNumbers w:val="0"/>
                    <w:jc w:val="center"/>
                    <w:textAlignment w:val="center"/>
                    <w:rPr>
                      <w:rFonts w:hint="default"/>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0.0017 </w:t>
                  </w:r>
                </w:p>
              </w:tc>
            </w:tr>
            <w:tr w14:paraId="54106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 w:type="pct"/>
                  <w:vMerge w:val="continue"/>
                  <w:tcBorders>
                    <w:left w:val="single" w:color="auto" w:sz="6" w:space="0"/>
                    <w:right w:val="single" w:color="auto" w:sz="6" w:space="0"/>
                  </w:tcBorders>
                  <w:noWrap w:val="0"/>
                  <w:vAlign w:val="center"/>
                </w:tcPr>
                <w:p w14:paraId="7B34D4C6">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56" w:type="pct"/>
                  <w:vMerge w:val="continue"/>
                  <w:tcBorders>
                    <w:left w:val="single" w:color="auto" w:sz="6" w:space="0"/>
                    <w:right w:val="single" w:color="auto" w:sz="6" w:space="0"/>
                  </w:tcBorders>
                  <w:noWrap w:val="0"/>
                  <w:vAlign w:val="center"/>
                </w:tcPr>
                <w:p w14:paraId="3DDDDB24">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592" w:type="pct"/>
                  <w:vMerge w:val="continue"/>
                  <w:tcBorders>
                    <w:left w:val="single" w:color="auto" w:sz="6" w:space="0"/>
                    <w:right w:val="single" w:color="auto" w:sz="6" w:space="0"/>
                  </w:tcBorders>
                  <w:noWrap w:val="0"/>
                  <w:vAlign w:val="center"/>
                </w:tcPr>
                <w:p w14:paraId="13EE1C3E">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00" w:type="pct"/>
                  <w:vMerge w:val="continue"/>
                  <w:tcBorders>
                    <w:left w:val="single" w:color="auto" w:sz="6" w:space="0"/>
                    <w:right w:val="single" w:color="auto" w:sz="6" w:space="0"/>
                  </w:tcBorders>
                  <w:noWrap w:val="0"/>
                  <w:vAlign w:val="center"/>
                </w:tcPr>
                <w:p w14:paraId="69C22AC9">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1" w:type="pct"/>
                  <w:vMerge w:val="continue"/>
                  <w:tcBorders>
                    <w:left w:val="single" w:color="auto" w:sz="6" w:space="0"/>
                    <w:right w:val="single" w:color="auto" w:sz="6" w:space="0"/>
                  </w:tcBorders>
                  <w:noWrap w:val="0"/>
                  <w:vAlign w:val="center"/>
                </w:tcPr>
                <w:p w14:paraId="223B299F">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43" w:type="pct"/>
                  <w:vMerge w:val="continue"/>
                  <w:tcBorders>
                    <w:left w:val="single" w:color="auto" w:sz="6" w:space="0"/>
                    <w:right w:val="single" w:color="auto" w:sz="6" w:space="0"/>
                  </w:tcBorders>
                  <w:noWrap w:val="0"/>
                  <w:vAlign w:val="center"/>
                </w:tcPr>
                <w:p w14:paraId="75E2AFD2">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25" w:type="pct"/>
                  <w:vMerge w:val="continue"/>
                  <w:tcBorders>
                    <w:left w:val="single" w:color="auto" w:sz="6" w:space="0"/>
                    <w:right w:val="single" w:color="auto" w:sz="6" w:space="0"/>
                  </w:tcBorders>
                  <w:noWrap w:val="0"/>
                  <w:vAlign w:val="center"/>
                </w:tcPr>
                <w:p w14:paraId="29BA5097">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14" w:type="pct"/>
                  <w:vMerge w:val="continue"/>
                  <w:tcBorders>
                    <w:left w:val="single" w:color="auto" w:sz="6" w:space="0"/>
                    <w:right w:val="single" w:color="auto" w:sz="6" w:space="0"/>
                  </w:tcBorders>
                  <w:noWrap w:val="0"/>
                  <w:vAlign w:val="center"/>
                </w:tcPr>
                <w:p w14:paraId="5CBE6DED">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281" w:type="pct"/>
                  <w:vMerge w:val="continue"/>
                  <w:tcBorders>
                    <w:left w:val="single" w:color="auto" w:sz="6" w:space="0"/>
                    <w:right w:val="single" w:color="auto" w:sz="6" w:space="0"/>
                  </w:tcBorders>
                  <w:noWrap w:val="0"/>
                  <w:vAlign w:val="center"/>
                </w:tcPr>
                <w:p w14:paraId="1B2AC00D">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7C5C80E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SS</w:t>
                  </w:r>
                </w:p>
              </w:tc>
              <w:tc>
                <w:tcPr>
                  <w:tcW w:w="1322" w:type="dxa"/>
                  <w:tcBorders>
                    <w:top w:val="single" w:color="auto" w:sz="6" w:space="0"/>
                    <w:left w:val="single" w:color="auto" w:sz="6" w:space="0"/>
                    <w:bottom w:val="single" w:color="auto" w:sz="6" w:space="0"/>
                    <w:right w:val="single" w:color="auto" w:sz="6" w:space="0"/>
                  </w:tcBorders>
                  <w:noWrap w:val="0"/>
                  <w:vAlign w:val="bottom"/>
                </w:tcPr>
                <w:p w14:paraId="1E92A5EE">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10</w:t>
                  </w:r>
                </w:p>
              </w:tc>
              <w:tc>
                <w:tcPr>
                  <w:tcW w:w="1198" w:type="dxa"/>
                  <w:tcBorders>
                    <w:top w:val="single" w:color="auto" w:sz="6" w:space="0"/>
                    <w:left w:val="single" w:color="auto" w:sz="6" w:space="0"/>
                    <w:bottom w:val="single" w:color="auto" w:sz="6" w:space="0"/>
                    <w:right w:val="single" w:color="auto" w:sz="6" w:space="0"/>
                  </w:tcBorders>
                  <w:noWrap w:val="0"/>
                  <w:vAlign w:val="center"/>
                </w:tcPr>
                <w:p w14:paraId="26D1F1BB">
                  <w:pPr>
                    <w:keepNext w:val="0"/>
                    <w:keepLines w:val="0"/>
                    <w:widowControl/>
                    <w:suppressLineNumbers w:val="0"/>
                    <w:jc w:val="center"/>
                    <w:textAlignment w:val="center"/>
                    <w:rPr>
                      <w:rFonts w:hint="default"/>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0.0032 </w:t>
                  </w:r>
                </w:p>
              </w:tc>
            </w:tr>
            <w:tr w14:paraId="2D037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 w:type="pct"/>
                  <w:vMerge w:val="continue"/>
                  <w:tcBorders>
                    <w:left w:val="single" w:color="auto" w:sz="6" w:space="0"/>
                    <w:right w:val="single" w:color="auto" w:sz="6" w:space="0"/>
                  </w:tcBorders>
                  <w:noWrap w:val="0"/>
                  <w:vAlign w:val="center"/>
                </w:tcPr>
                <w:p w14:paraId="1B066B3D">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56" w:type="pct"/>
                  <w:vMerge w:val="continue"/>
                  <w:tcBorders>
                    <w:left w:val="single" w:color="auto" w:sz="6" w:space="0"/>
                    <w:right w:val="single" w:color="auto" w:sz="6" w:space="0"/>
                  </w:tcBorders>
                  <w:noWrap w:val="0"/>
                  <w:vAlign w:val="center"/>
                </w:tcPr>
                <w:p w14:paraId="20011E95">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592" w:type="pct"/>
                  <w:vMerge w:val="continue"/>
                  <w:tcBorders>
                    <w:left w:val="single" w:color="auto" w:sz="6" w:space="0"/>
                    <w:right w:val="single" w:color="auto" w:sz="6" w:space="0"/>
                  </w:tcBorders>
                  <w:noWrap w:val="0"/>
                  <w:vAlign w:val="center"/>
                </w:tcPr>
                <w:p w14:paraId="085576FD">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00" w:type="pct"/>
                  <w:vMerge w:val="continue"/>
                  <w:tcBorders>
                    <w:left w:val="single" w:color="auto" w:sz="6" w:space="0"/>
                    <w:right w:val="single" w:color="auto" w:sz="6" w:space="0"/>
                  </w:tcBorders>
                  <w:noWrap w:val="0"/>
                  <w:vAlign w:val="center"/>
                </w:tcPr>
                <w:p w14:paraId="50D669A0">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1" w:type="pct"/>
                  <w:vMerge w:val="continue"/>
                  <w:tcBorders>
                    <w:left w:val="single" w:color="auto" w:sz="6" w:space="0"/>
                    <w:right w:val="single" w:color="auto" w:sz="6" w:space="0"/>
                  </w:tcBorders>
                  <w:noWrap w:val="0"/>
                  <w:vAlign w:val="center"/>
                </w:tcPr>
                <w:p w14:paraId="07963455">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43" w:type="pct"/>
                  <w:vMerge w:val="continue"/>
                  <w:tcBorders>
                    <w:left w:val="single" w:color="auto" w:sz="6" w:space="0"/>
                    <w:right w:val="single" w:color="auto" w:sz="6" w:space="0"/>
                  </w:tcBorders>
                  <w:noWrap w:val="0"/>
                  <w:vAlign w:val="center"/>
                </w:tcPr>
                <w:p w14:paraId="7429D200">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25" w:type="pct"/>
                  <w:vMerge w:val="continue"/>
                  <w:tcBorders>
                    <w:left w:val="single" w:color="auto" w:sz="6" w:space="0"/>
                    <w:right w:val="single" w:color="auto" w:sz="6" w:space="0"/>
                  </w:tcBorders>
                  <w:noWrap w:val="0"/>
                  <w:vAlign w:val="center"/>
                </w:tcPr>
                <w:p w14:paraId="6B4C9A11">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14" w:type="pct"/>
                  <w:vMerge w:val="continue"/>
                  <w:tcBorders>
                    <w:left w:val="single" w:color="auto" w:sz="6" w:space="0"/>
                    <w:right w:val="single" w:color="auto" w:sz="6" w:space="0"/>
                  </w:tcBorders>
                  <w:noWrap w:val="0"/>
                  <w:vAlign w:val="center"/>
                </w:tcPr>
                <w:p w14:paraId="160366AE">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281" w:type="pct"/>
                  <w:vMerge w:val="continue"/>
                  <w:tcBorders>
                    <w:left w:val="single" w:color="auto" w:sz="6" w:space="0"/>
                    <w:right w:val="single" w:color="auto" w:sz="6" w:space="0"/>
                  </w:tcBorders>
                  <w:noWrap w:val="0"/>
                  <w:vAlign w:val="center"/>
                </w:tcPr>
                <w:p w14:paraId="4DA10B5F">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65B1200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kern w:val="0"/>
                      <w:sz w:val="21"/>
                      <w:szCs w:val="21"/>
                      <w:lang w:val="en-US" w:eastAsia="zh-CN" w:bidi="ar-SA"/>
                      <w14:textFill>
                        <w14:solidFill>
                          <w14:schemeClr w14:val="tx1"/>
                        </w14:solidFill>
                      </w14:textFill>
                    </w:rPr>
                  </w:pPr>
                  <w:r>
                    <w:rPr>
                      <w:rFonts w:hint="default"/>
                      <w:color w:val="000000" w:themeColor="text1"/>
                      <w:kern w:val="0"/>
                      <w:sz w:val="21"/>
                      <w:szCs w:val="21"/>
                      <w14:textFill>
                        <w14:solidFill>
                          <w14:schemeClr w14:val="tx1"/>
                        </w14:solidFill>
                      </w14:textFill>
                    </w:rPr>
                    <w:t>NH</w:t>
                  </w:r>
                  <w:r>
                    <w:rPr>
                      <w:rFonts w:hint="default"/>
                      <w:color w:val="000000" w:themeColor="text1"/>
                      <w:kern w:val="0"/>
                      <w:sz w:val="21"/>
                      <w:szCs w:val="21"/>
                      <w:vertAlign w:val="subscript"/>
                      <w14:textFill>
                        <w14:solidFill>
                          <w14:schemeClr w14:val="tx1"/>
                        </w14:solidFill>
                      </w14:textFill>
                    </w:rPr>
                    <w:t>3</w:t>
                  </w:r>
                  <w:r>
                    <w:rPr>
                      <w:rFonts w:hint="default"/>
                      <w:color w:val="000000" w:themeColor="text1"/>
                      <w:kern w:val="0"/>
                      <w:sz w:val="21"/>
                      <w:szCs w:val="21"/>
                      <w14:textFill>
                        <w14:solidFill>
                          <w14:schemeClr w14:val="tx1"/>
                        </w14:solidFill>
                      </w14:textFill>
                    </w:rPr>
                    <w:t>-N</w:t>
                  </w:r>
                </w:p>
              </w:tc>
              <w:tc>
                <w:tcPr>
                  <w:tcW w:w="1322" w:type="dxa"/>
                  <w:tcBorders>
                    <w:top w:val="single" w:color="auto" w:sz="6" w:space="0"/>
                    <w:left w:val="single" w:color="auto" w:sz="6" w:space="0"/>
                    <w:bottom w:val="single" w:color="auto" w:sz="6" w:space="0"/>
                    <w:right w:val="single" w:color="auto" w:sz="6" w:space="0"/>
                  </w:tcBorders>
                  <w:noWrap w:val="0"/>
                  <w:vAlign w:val="bottom"/>
                </w:tcPr>
                <w:p w14:paraId="284F6329">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1.5</w:t>
                  </w:r>
                </w:p>
              </w:tc>
              <w:tc>
                <w:tcPr>
                  <w:tcW w:w="1198" w:type="dxa"/>
                  <w:tcBorders>
                    <w:top w:val="single" w:color="auto" w:sz="6" w:space="0"/>
                    <w:left w:val="single" w:color="auto" w:sz="6" w:space="0"/>
                    <w:bottom w:val="single" w:color="auto" w:sz="6" w:space="0"/>
                    <w:right w:val="single" w:color="auto" w:sz="6" w:space="0"/>
                  </w:tcBorders>
                  <w:noWrap w:val="0"/>
                  <w:vAlign w:val="center"/>
                </w:tcPr>
                <w:p w14:paraId="645931EB">
                  <w:pPr>
                    <w:keepNext w:val="0"/>
                    <w:keepLines w:val="0"/>
                    <w:widowControl/>
                    <w:suppressLineNumbers w:val="0"/>
                    <w:jc w:val="center"/>
                    <w:textAlignment w:val="center"/>
                    <w:rPr>
                      <w:rFonts w:hint="default"/>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0.0004 </w:t>
                  </w:r>
                </w:p>
              </w:tc>
            </w:tr>
            <w:tr w14:paraId="1F264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 w:type="pct"/>
                  <w:vMerge w:val="continue"/>
                  <w:tcBorders>
                    <w:left w:val="single" w:color="auto" w:sz="6" w:space="0"/>
                    <w:right w:val="single" w:color="auto" w:sz="6" w:space="0"/>
                  </w:tcBorders>
                  <w:noWrap w:val="0"/>
                  <w:vAlign w:val="center"/>
                </w:tcPr>
                <w:p w14:paraId="567D3782">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56" w:type="pct"/>
                  <w:vMerge w:val="continue"/>
                  <w:tcBorders>
                    <w:left w:val="single" w:color="auto" w:sz="6" w:space="0"/>
                    <w:right w:val="single" w:color="auto" w:sz="6" w:space="0"/>
                  </w:tcBorders>
                  <w:noWrap w:val="0"/>
                  <w:vAlign w:val="center"/>
                </w:tcPr>
                <w:p w14:paraId="1349AE93">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592" w:type="pct"/>
                  <w:vMerge w:val="continue"/>
                  <w:tcBorders>
                    <w:left w:val="single" w:color="auto" w:sz="6" w:space="0"/>
                    <w:right w:val="single" w:color="auto" w:sz="6" w:space="0"/>
                  </w:tcBorders>
                  <w:noWrap w:val="0"/>
                  <w:vAlign w:val="center"/>
                </w:tcPr>
                <w:p w14:paraId="22B348CB">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00" w:type="pct"/>
                  <w:vMerge w:val="continue"/>
                  <w:tcBorders>
                    <w:left w:val="single" w:color="auto" w:sz="6" w:space="0"/>
                    <w:right w:val="single" w:color="auto" w:sz="6" w:space="0"/>
                  </w:tcBorders>
                  <w:noWrap w:val="0"/>
                  <w:vAlign w:val="center"/>
                </w:tcPr>
                <w:p w14:paraId="1BFAFFD5">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1" w:type="pct"/>
                  <w:vMerge w:val="continue"/>
                  <w:tcBorders>
                    <w:left w:val="single" w:color="auto" w:sz="6" w:space="0"/>
                    <w:right w:val="single" w:color="auto" w:sz="6" w:space="0"/>
                  </w:tcBorders>
                  <w:noWrap w:val="0"/>
                  <w:vAlign w:val="center"/>
                </w:tcPr>
                <w:p w14:paraId="346679E6">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43" w:type="pct"/>
                  <w:vMerge w:val="continue"/>
                  <w:tcBorders>
                    <w:left w:val="single" w:color="auto" w:sz="6" w:space="0"/>
                    <w:right w:val="single" w:color="auto" w:sz="6" w:space="0"/>
                  </w:tcBorders>
                  <w:noWrap w:val="0"/>
                  <w:vAlign w:val="center"/>
                </w:tcPr>
                <w:p w14:paraId="744B14F8">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25" w:type="pct"/>
                  <w:vMerge w:val="continue"/>
                  <w:tcBorders>
                    <w:left w:val="single" w:color="auto" w:sz="6" w:space="0"/>
                    <w:right w:val="single" w:color="auto" w:sz="6" w:space="0"/>
                  </w:tcBorders>
                  <w:noWrap w:val="0"/>
                  <w:vAlign w:val="center"/>
                </w:tcPr>
                <w:p w14:paraId="7C778D53">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14" w:type="pct"/>
                  <w:vMerge w:val="continue"/>
                  <w:tcBorders>
                    <w:left w:val="single" w:color="auto" w:sz="6" w:space="0"/>
                    <w:right w:val="single" w:color="auto" w:sz="6" w:space="0"/>
                  </w:tcBorders>
                  <w:noWrap w:val="0"/>
                  <w:vAlign w:val="center"/>
                </w:tcPr>
                <w:p w14:paraId="36B9B78A">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281" w:type="pct"/>
                  <w:vMerge w:val="continue"/>
                  <w:tcBorders>
                    <w:left w:val="single" w:color="auto" w:sz="6" w:space="0"/>
                    <w:right w:val="single" w:color="auto" w:sz="6" w:space="0"/>
                  </w:tcBorders>
                  <w:noWrap w:val="0"/>
                  <w:vAlign w:val="center"/>
                </w:tcPr>
                <w:p w14:paraId="51BDAEE5">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92" w:type="pct"/>
                  <w:tcBorders>
                    <w:top w:val="single" w:color="auto" w:sz="6" w:space="0"/>
                    <w:left w:val="single" w:color="auto" w:sz="6" w:space="0"/>
                    <w:bottom w:val="single" w:color="auto" w:sz="6" w:space="0"/>
                    <w:right w:val="single" w:color="auto" w:sz="6" w:space="0"/>
                  </w:tcBorders>
                  <w:shd w:val="clear" w:color="auto" w:fill="auto"/>
                  <w:noWrap w:val="0"/>
                  <w:vAlign w:val="center"/>
                </w:tcPr>
                <w:p w14:paraId="152FD95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总磷</w:t>
                  </w:r>
                </w:p>
              </w:tc>
              <w:tc>
                <w:tcPr>
                  <w:tcW w:w="1322" w:type="dxa"/>
                  <w:tcBorders>
                    <w:top w:val="single" w:color="auto" w:sz="6" w:space="0"/>
                    <w:left w:val="single" w:color="auto" w:sz="6" w:space="0"/>
                    <w:bottom w:val="single" w:color="auto" w:sz="6" w:space="0"/>
                    <w:right w:val="single" w:color="auto" w:sz="6" w:space="0"/>
                  </w:tcBorders>
                  <w:noWrap w:val="0"/>
                  <w:vAlign w:val="bottom"/>
                </w:tcPr>
                <w:p w14:paraId="505A162C">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0.3</w:t>
                  </w:r>
                </w:p>
              </w:tc>
              <w:tc>
                <w:tcPr>
                  <w:tcW w:w="1198" w:type="dxa"/>
                  <w:tcBorders>
                    <w:top w:val="single" w:color="auto" w:sz="6" w:space="0"/>
                    <w:left w:val="single" w:color="auto" w:sz="6" w:space="0"/>
                    <w:bottom w:val="single" w:color="auto" w:sz="6" w:space="0"/>
                    <w:right w:val="single" w:color="auto" w:sz="6" w:space="0"/>
                  </w:tcBorders>
                  <w:noWrap w:val="0"/>
                  <w:vAlign w:val="center"/>
                </w:tcPr>
                <w:p w14:paraId="62090E48">
                  <w:pPr>
                    <w:keepNext w:val="0"/>
                    <w:keepLines w:val="0"/>
                    <w:widowControl/>
                    <w:suppressLineNumbers w:val="0"/>
                    <w:jc w:val="center"/>
                    <w:textAlignment w:val="center"/>
                    <w:rPr>
                      <w:rFonts w:hint="default"/>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0.0001 </w:t>
                  </w:r>
                </w:p>
              </w:tc>
            </w:tr>
            <w:tr w14:paraId="390969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 w:type="pct"/>
                  <w:vMerge w:val="continue"/>
                  <w:tcBorders>
                    <w:left w:val="single" w:color="auto" w:sz="6" w:space="0"/>
                    <w:right w:val="single" w:color="auto" w:sz="6" w:space="0"/>
                  </w:tcBorders>
                  <w:noWrap w:val="0"/>
                  <w:vAlign w:val="center"/>
                </w:tcPr>
                <w:p w14:paraId="24CCA337">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56" w:type="pct"/>
                  <w:vMerge w:val="continue"/>
                  <w:tcBorders>
                    <w:left w:val="single" w:color="auto" w:sz="6" w:space="0"/>
                    <w:right w:val="single" w:color="auto" w:sz="6" w:space="0"/>
                  </w:tcBorders>
                  <w:noWrap w:val="0"/>
                  <w:vAlign w:val="center"/>
                </w:tcPr>
                <w:p w14:paraId="0C87B049">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592" w:type="pct"/>
                  <w:vMerge w:val="continue"/>
                  <w:tcBorders>
                    <w:left w:val="single" w:color="auto" w:sz="6" w:space="0"/>
                    <w:right w:val="single" w:color="auto" w:sz="6" w:space="0"/>
                  </w:tcBorders>
                  <w:noWrap w:val="0"/>
                  <w:vAlign w:val="center"/>
                </w:tcPr>
                <w:p w14:paraId="63542F8C">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600" w:type="pct"/>
                  <w:vMerge w:val="continue"/>
                  <w:tcBorders>
                    <w:left w:val="single" w:color="auto" w:sz="6" w:space="0"/>
                    <w:right w:val="single" w:color="auto" w:sz="6" w:space="0"/>
                  </w:tcBorders>
                  <w:noWrap w:val="0"/>
                  <w:vAlign w:val="center"/>
                </w:tcPr>
                <w:p w14:paraId="22E2A310">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11" w:type="pct"/>
                  <w:vMerge w:val="continue"/>
                  <w:tcBorders>
                    <w:left w:val="single" w:color="auto" w:sz="6" w:space="0"/>
                    <w:right w:val="single" w:color="auto" w:sz="6" w:space="0"/>
                  </w:tcBorders>
                  <w:noWrap w:val="0"/>
                  <w:vAlign w:val="center"/>
                </w:tcPr>
                <w:p w14:paraId="56AA3821">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43" w:type="pct"/>
                  <w:vMerge w:val="continue"/>
                  <w:tcBorders>
                    <w:left w:val="single" w:color="auto" w:sz="6" w:space="0"/>
                    <w:right w:val="single" w:color="auto" w:sz="6" w:space="0"/>
                  </w:tcBorders>
                  <w:noWrap w:val="0"/>
                  <w:vAlign w:val="center"/>
                </w:tcPr>
                <w:p w14:paraId="5B0A2CA7">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25" w:type="pct"/>
                  <w:vMerge w:val="continue"/>
                  <w:tcBorders>
                    <w:left w:val="single" w:color="auto" w:sz="6" w:space="0"/>
                    <w:right w:val="single" w:color="auto" w:sz="6" w:space="0"/>
                  </w:tcBorders>
                  <w:noWrap w:val="0"/>
                  <w:vAlign w:val="center"/>
                </w:tcPr>
                <w:p w14:paraId="783C3779">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314" w:type="pct"/>
                  <w:vMerge w:val="continue"/>
                  <w:tcBorders>
                    <w:left w:val="single" w:color="auto" w:sz="6" w:space="0"/>
                    <w:right w:val="single" w:color="auto" w:sz="6" w:space="0"/>
                  </w:tcBorders>
                  <w:noWrap w:val="0"/>
                  <w:vAlign w:val="center"/>
                </w:tcPr>
                <w:p w14:paraId="7F195752">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281" w:type="pct"/>
                  <w:vMerge w:val="continue"/>
                  <w:tcBorders>
                    <w:left w:val="single" w:color="auto" w:sz="6" w:space="0"/>
                    <w:right w:val="single" w:color="auto" w:sz="6" w:space="0"/>
                  </w:tcBorders>
                  <w:noWrap w:val="0"/>
                  <w:vAlign w:val="center"/>
                </w:tcPr>
                <w:p w14:paraId="16BA20B7">
                  <w:pPr>
                    <w:keepNext w:val="0"/>
                    <w:keepLines w:val="0"/>
                    <w:widowControl/>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p>
              </w:tc>
              <w:tc>
                <w:tcPr>
                  <w:tcW w:w="492" w:type="pct"/>
                  <w:tcBorders>
                    <w:top w:val="single" w:color="auto" w:sz="6" w:space="0"/>
                    <w:left w:val="single" w:color="auto" w:sz="6" w:space="0"/>
                    <w:bottom w:val="single" w:color="auto" w:sz="4" w:space="0"/>
                    <w:right w:val="single" w:color="auto" w:sz="6" w:space="0"/>
                  </w:tcBorders>
                  <w:shd w:val="clear" w:color="auto" w:fill="auto"/>
                  <w:noWrap w:val="0"/>
                  <w:vAlign w:val="center"/>
                </w:tcPr>
                <w:p w14:paraId="14B8C78B">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themeColor="text1"/>
                      <w:kern w:val="0"/>
                      <w:sz w:val="21"/>
                      <w:szCs w:val="21"/>
                      <w:lang w:val="en-US" w:eastAsia="zh-CN" w:bidi="ar-SA"/>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石油类</w:t>
                  </w:r>
                </w:p>
              </w:tc>
              <w:tc>
                <w:tcPr>
                  <w:tcW w:w="1322" w:type="dxa"/>
                  <w:tcBorders>
                    <w:top w:val="single" w:color="auto" w:sz="6" w:space="0"/>
                    <w:left w:val="single" w:color="auto" w:sz="6" w:space="0"/>
                    <w:bottom w:val="single" w:color="auto" w:sz="4" w:space="0"/>
                    <w:right w:val="single" w:color="auto" w:sz="6" w:space="0"/>
                  </w:tcBorders>
                  <w:noWrap w:val="0"/>
                  <w:vAlign w:val="center"/>
                </w:tcPr>
                <w:p w14:paraId="522A9FA4">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1</w:t>
                  </w:r>
                </w:p>
              </w:tc>
              <w:tc>
                <w:tcPr>
                  <w:tcW w:w="1198" w:type="dxa"/>
                  <w:tcBorders>
                    <w:top w:val="single" w:color="auto" w:sz="6" w:space="0"/>
                    <w:left w:val="single" w:color="auto" w:sz="6" w:space="0"/>
                    <w:bottom w:val="single" w:color="auto" w:sz="4" w:space="0"/>
                    <w:right w:val="single" w:color="auto" w:sz="6" w:space="0"/>
                  </w:tcBorders>
                  <w:noWrap w:val="0"/>
                  <w:vAlign w:val="center"/>
                </w:tcPr>
                <w:p w14:paraId="2442E764">
                  <w:pPr>
                    <w:keepNext w:val="0"/>
                    <w:keepLines w:val="0"/>
                    <w:widowControl/>
                    <w:suppressLineNumbers w:val="0"/>
                    <w:jc w:val="center"/>
                    <w:textAlignment w:val="center"/>
                    <w:rPr>
                      <w:rFonts w:hint="default"/>
                      <w:color w:val="000000" w:themeColor="text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0.00003 </w:t>
                  </w:r>
                </w:p>
              </w:tc>
            </w:tr>
          </w:tbl>
          <w:p w14:paraId="22D2DBB6">
            <w:pPr>
              <w:pStyle w:val="19"/>
              <w:keepNext w:val="0"/>
              <w:keepLines w:val="0"/>
              <w:suppressLineNumbers w:val="0"/>
              <w:shd w:val="clear" w:color="auto" w:fill="auto"/>
              <w:spacing w:before="0" w:beforeAutospacing="0" w:after="0" w:afterAutospacing="0" w:line="460" w:lineRule="exact"/>
              <w:ind w:left="0" w:right="0"/>
              <w:jc w:val="center"/>
              <w:outlineLvl w:val="0"/>
              <w:rPr>
                <w:rFonts w:hint="default" w:ascii="Times New Roman" w:hAnsi="Times New Roman"/>
                <w:b/>
                <w:bCs/>
                <w:snapToGrid w:val="0"/>
                <w:color w:val="000000" w:themeColor="text1"/>
                <w:szCs w:val="24"/>
                <w:highlight w:val="none"/>
                <w:lang w:val="en-US" w:eastAsia="zh-CN"/>
                <w14:textFill>
                  <w14:solidFill>
                    <w14:schemeClr w14:val="tx1"/>
                  </w14:solidFill>
                </w14:textFill>
              </w:rPr>
            </w:pPr>
            <w:r>
              <w:rPr>
                <w:rFonts w:hint="default" w:ascii="Times New Roman" w:hAnsi="Times New Roman"/>
                <w:b/>
                <w:bCs/>
                <w:snapToGrid w:val="0"/>
                <w:color w:val="000000" w:themeColor="text1"/>
                <w:szCs w:val="24"/>
                <w:highlight w:val="none"/>
                <w:lang w:val="en-US" w:eastAsia="zh-CN"/>
                <w14:textFill>
                  <w14:solidFill>
                    <w14:schemeClr w14:val="tx1"/>
                  </w14:solidFill>
                </w14:textFill>
              </w:rPr>
              <w:t>表</w:t>
            </w:r>
            <w:r>
              <w:rPr>
                <w:rFonts w:hint="eastAsia" w:ascii="Times New Roman" w:hAnsi="Times New Roman"/>
                <w:b/>
                <w:bCs/>
                <w:snapToGrid w:val="0"/>
                <w:color w:val="000000" w:themeColor="text1"/>
                <w:szCs w:val="24"/>
                <w:highlight w:val="none"/>
                <w:lang w:val="en-US" w:eastAsia="zh-CN"/>
                <w14:textFill>
                  <w14:solidFill>
                    <w14:schemeClr w14:val="tx1"/>
                  </w14:solidFill>
                </w14:textFill>
              </w:rPr>
              <w:t>4-8</w:t>
            </w:r>
            <w:r>
              <w:rPr>
                <w:rFonts w:hint="default" w:ascii="Times New Roman" w:hAnsi="Times New Roman"/>
                <w:b/>
                <w:bCs/>
                <w:snapToGrid w:val="0"/>
                <w:color w:val="000000" w:themeColor="text1"/>
                <w:szCs w:val="24"/>
                <w:highlight w:val="none"/>
                <w:lang w:val="en-US" w:eastAsia="zh-CN"/>
                <w14:textFill>
                  <w14:solidFill>
                    <w14:schemeClr w14:val="tx1"/>
                  </w14:solidFill>
                </w14:textFill>
              </w:rPr>
              <w:t xml:space="preserve"> 项目废水污染物排放信息表</w:t>
            </w:r>
          </w:p>
          <w:tbl>
            <w:tblPr>
              <w:tblStyle w:val="21"/>
              <w:tblW w:w="48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3"/>
              <w:gridCol w:w="1190"/>
              <w:gridCol w:w="2650"/>
              <w:gridCol w:w="2052"/>
              <w:gridCol w:w="3115"/>
              <w:gridCol w:w="2352"/>
            </w:tblGrid>
            <w:tr w14:paraId="733A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446" w:type="pct"/>
                  <w:noWrap w:val="0"/>
                  <w:vAlign w:val="center"/>
                </w:tcPr>
                <w:p w14:paraId="210AAA2B">
                  <w:pPr>
                    <w:pStyle w:val="55"/>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排放口编号</w:t>
                  </w:r>
                </w:p>
              </w:tc>
              <w:tc>
                <w:tcPr>
                  <w:tcW w:w="477" w:type="pct"/>
                  <w:noWrap w:val="0"/>
                  <w:vAlign w:val="center"/>
                </w:tcPr>
                <w:p w14:paraId="1F4183C8">
                  <w:pPr>
                    <w:pStyle w:val="55"/>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污染物种类</w:t>
                  </w:r>
                </w:p>
              </w:tc>
              <w:tc>
                <w:tcPr>
                  <w:tcW w:w="1062" w:type="pct"/>
                  <w:noWrap w:val="0"/>
                  <w:vAlign w:val="center"/>
                </w:tcPr>
                <w:p w14:paraId="4877DE27">
                  <w:pPr>
                    <w:pStyle w:val="55"/>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eastAsia" w:ascii="Times New Roman" w:hAnsi="Times New Roman" w:cs="Times New Roman"/>
                      <w:b/>
                      <w:bCs/>
                      <w:color w:val="000000" w:themeColor="text1"/>
                      <w:highlight w:val="none"/>
                      <w:lang w:val="en-US" w:eastAsia="zh-CN"/>
                      <w14:textFill>
                        <w14:solidFill>
                          <w14:schemeClr w14:val="tx1"/>
                        </w14:solidFill>
                      </w14:textFill>
                    </w:rPr>
                    <w:t>生化池</w:t>
                  </w:r>
                  <w:r>
                    <w:rPr>
                      <w:rFonts w:hint="default" w:ascii="Times New Roman" w:hAnsi="Times New Roman" w:cs="Times New Roman"/>
                      <w:b/>
                      <w:bCs/>
                      <w:color w:val="000000" w:themeColor="text1"/>
                      <w:highlight w:val="none"/>
                      <w14:textFill>
                        <w14:solidFill>
                          <w14:schemeClr w14:val="tx1"/>
                        </w14:solidFill>
                      </w14:textFill>
                    </w:rPr>
                    <w:t>排放浓度/（mg/L）</w:t>
                  </w:r>
                </w:p>
              </w:tc>
              <w:tc>
                <w:tcPr>
                  <w:tcW w:w="822" w:type="pct"/>
                  <w:noWrap w:val="0"/>
                  <w:vAlign w:val="center"/>
                </w:tcPr>
                <w:p w14:paraId="097E9912">
                  <w:pPr>
                    <w:pStyle w:val="55"/>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厂区排放量（t/a）</w:t>
                  </w:r>
                </w:p>
              </w:tc>
              <w:tc>
                <w:tcPr>
                  <w:tcW w:w="1248" w:type="pct"/>
                  <w:noWrap w:val="0"/>
                  <w:vAlign w:val="center"/>
                </w:tcPr>
                <w:p w14:paraId="5E3D7D3D">
                  <w:pPr>
                    <w:pStyle w:val="55"/>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污水处理厂区排放浓度/（mg/L）</w:t>
                  </w:r>
                </w:p>
              </w:tc>
              <w:tc>
                <w:tcPr>
                  <w:tcW w:w="942" w:type="pct"/>
                  <w:noWrap w:val="0"/>
                  <w:vAlign w:val="center"/>
                </w:tcPr>
                <w:p w14:paraId="253CD9F4">
                  <w:pPr>
                    <w:pStyle w:val="55"/>
                    <w:keepNext w:val="0"/>
                    <w:keepLines w:val="0"/>
                    <w:suppressLineNumbers w:val="0"/>
                    <w:shd w:val="clear" w:color="auto" w:fill="auto"/>
                    <w:spacing w:before="0" w:beforeAutospacing="0" w:after="0" w:afterAutospacing="0"/>
                    <w:ind w:left="0" w:right="0"/>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污水处理厂排放量（t/a）</w:t>
                  </w:r>
                </w:p>
              </w:tc>
            </w:tr>
            <w:tr w14:paraId="48B5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446" w:type="pct"/>
                  <w:vMerge w:val="restart"/>
                  <w:noWrap w:val="0"/>
                  <w:vAlign w:val="center"/>
                </w:tcPr>
                <w:p w14:paraId="51CA79B2">
                  <w:pPr>
                    <w:pStyle w:val="55"/>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全厂总排放口</w:t>
                  </w:r>
                </w:p>
                <w:p w14:paraId="0619896F">
                  <w:pPr>
                    <w:pStyle w:val="55"/>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DW001</w:t>
                  </w:r>
                </w:p>
              </w:tc>
              <w:tc>
                <w:tcPr>
                  <w:tcW w:w="477" w:type="pct"/>
                  <w:noWrap w:val="0"/>
                  <w:vAlign w:val="center"/>
                </w:tcPr>
                <w:p w14:paraId="5D0BAE50">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vertAlign w:val="baseline"/>
                      <w14:textFill>
                        <w14:solidFill>
                          <w14:schemeClr w14:val="tx1"/>
                        </w14:solidFill>
                      </w14:textFill>
                    </w:rPr>
                  </w:pPr>
                  <w:r>
                    <w:rPr>
                      <w:rFonts w:hint="default"/>
                      <w:color w:val="000000" w:themeColor="text1"/>
                      <w:szCs w:val="21"/>
                      <w:highlight w:val="none"/>
                      <w14:textFill>
                        <w14:solidFill>
                          <w14:schemeClr w14:val="tx1"/>
                        </w14:solidFill>
                      </w14:textFill>
                    </w:rPr>
                    <w:t>pH</w:t>
                  </w:r>
                </w:p>
              </w:tc>
              <w:tc>
                <w:tcPr>
                  <w:tcW w:w="1062" w:type="pct"/>
                  <w:noWrap w:val="0"/>
                  <w:vAlign w:val="center"/>
                </w:tcPr>
                <w:p w14:paraId="64B59DEE">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Cs w:val="21"/>
                      <w:highlight w:val="none"/>
                      <w14:textFill>
                        <w14:solidFill>
                          <w14:schemeClr w14:val="tx1"/>
                        </w14:solidFill>
                      </w14:textFill>
                    </w:rPr>
                  </w:pPr>
                  <w:r>
                    <w:rPr>
                      <w:rFonts w:hint="default"/>
                      <w:color w:val="000000" w:themeColor="text1"/>
                      <w:kern w:val="0"/>
                      <w:szCs w:val="21"/>
                      <w:highlight w:val="none"/>
                      <w14:textFill>
                        <w14:solidFill>
                          <w14:schemeClr w14:val="tx1"/>
                        </w14:solidFill>
                      </w14:textFill>
                    </w:rPr>
                    <w:t>6-9</w:t>
                  </w:r>
                </w:p>
              </w:tc>
              <w:tc>
                <w:tcPr>
                  <w:tcW w:w="822" w:type="pct"/>
                  <w:noWrap w:val="0"/>
                  <w:vAlign w:val="center"/>
                </w:tcPr>
                <w:p w14:paraId="0BCAC489">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Cs w:val="21"/>
                      <w:highlight w:val="none"/>
                      <w14:textFill>
                        <w14:solidFill>
                          <w14:schemeClr w14:val="tx1"/>
                        </w14:solidFill>
                      </w14:textFill>
                    </w:rPr>
                  </w:pPr>
                  <w:r>
                    <w:rPr>
                      <w:rFonts w:hint="default"/>
                      <w:color w:val="000000" w:themeColor="text1"/>
                      <w:kern w:val="0"/>
                      <w:szCs w:val="21"/>
                      <w:highlight w:val="none"/>
                      <w14:textFill>
                        <w14:solidFill>
                          <w14:schemeClr w14:val="tx1"/>
                        </w14:solidFill>
                      </w14:textFill>
                    </w:rPr>
                    <w:t>/</w:t>
                  </w:r>
                </w:p>
              </w:tc>
              <w:tc>
                <w:tcPr>
                  <w:tcW w:w="1248" w:type="pct"/>
                  <w:noWrap w:val="0"/>
                  <w:vAlign w:val="center"/>
                </w:tcPr>
                <w:p w14:paraId="3ED807B5">
                  <w:pPr>
                    <w:keepNext w:val="0"/>
                    <w:keepLines w:val="0"/>
                    <w:suppressLineNumbers w:val="0"/>
                    <w:shd w:val="clear" w:color="auto" w:fill="auto"/>
                    <w:spacing w:before="0" w:beforeAutospacing="0" w:after="0" w:afterAutospacing="0"/>
                    <w:ind w:left="0" w:right="0"/>
                    <w:jc w:val="center"/>
                    <w:rPr>
                      <w:rFonts w:hint="default"/>
                      <w:color w:val="000000" w:themeColor="text1"/>
                      <w:szCs w:val="21"/>
                      <w:highlight w:val="none"/>
                      <w14:textFill>
                        <w14:solidFill>
                          <w14:schemeClr w14:val="tx1"/>
                        </w14:solidFill>
                      </w14:textFill>
                    </w:rPr>
                  </w:pPr>
                  <w:r>
                    <w:rPr>
                      <w:rFonts w:hint="default"/>
                      <w:color w:val="000000" w:themeColor="text1"/>
                      <w:szCs w:val="21"/>
                      <w:highlight w:val="none"/>
                      <w14:textFill>
                        <w14:solidFill>
                          <w14:schemeClr w14:val="tx1"/>
                        </w14:solidFill>
                      </w14:textFill>
                    </w:rPr>
                    <w:t>6~9</w:t>
                  </w:r>
                </w:p>
              </w:tc>
              <w:tc>
                <w:tcPr>
                  <w:tcW w:w="942" w:type="pct"/>
                  <w:noWrap w:val="0"/>
                  <w:vAlign w:val="center"/>
                </w:tcPr>
                <w:p w14:paraId="54BC89B0">
                  <w:pPr>
                    <w:keepNext w:val="0"/>
                    <w:keepLines w:val="0"/>
                    <w:widowControl/>
                    <w:suppressLineNumbers w:val="0"/>
                    <w:shd w:val="clear" w:color="auto" w:fill="auto"/>
                    <w:spacing w:before="0" w:beforeAutospacing="0" w:after="0" w:afterAutospacing="0"/>
                    <w:ind w:left="0" w:right="0"/>
                    <w:jc w:val="center"/>
                    <w:textAlignment w:val="center"/>
                    <w:rPr>
                      <w:rFonts w:hint="default"/>
                      <w:color w:val="000000" w:themeColor="text1"/>
                      <w:szCs w:val="21"/>
                      <w:highlight w:val="none"/>
                      <w14:textFill>
                        <w14:solidFill>
                          <w14:schemeClr w14:val="tx1"/>
                        </w14:solidFill>
                      </w14:textFill>
                    </w:rPr>
                  </w:pPr>
                  <w:r>
                    <w:rPr>
                      <w:rFonts w:hint="default"/>
                      <w:color w:val="000000" w:themeColor="text1"/>
                      <w:kern w:val="0"/>
                      <w:szCs w:val="21"/>
                      <w:highlight w:val="none"/>
                      <w14:textFill>
                        <w14:solidFill>
                          <w14:schemeClr w14:val="tx1"/>
                        </w14:solidFill>
                      </w14:textFill>
                    </w:rPr>
                    <w:t>/</w:t>
                  </w:r>
                </w:p>
              </w:tc>
            </w:tr>
            <w:tr w14:paraId="7E91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446" w:type="pct"/>
                  <w:vMerge w:val="continue"/>
                  <w:noWrap w:val="0"/>
                  <w:vAlign w:val="center"/>
                </w:tcPr>
                <w:p w14:paraId="15352946">
                  <w:pPr>
                    <w:pStyle w:val="55"/>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477" w:type="pct"/>
                  <w:noWrap w:val="0"/>
                  <w:vAlign w:val="center"/>
                </w:tcPr>
                <w:p w14:paraId="5291E307">
                  <w:pPr>
                    <w:keepNext w:val="0"/>
                    <w:keepLines w:val="0"/>
                    <w:widowControl/>
                    <w:suppressLineNumbers w:val="0"/>
                    <w:spacing w:before="0" w:beforeAutospacing="0" w:after="0" w:afterAutospacing="0"/>
                    <w:ind w:left="0" w:right="0"/>
                    <w:jc w:val="center"/>
                    <w:textAlignment w:val="center"/>
                    <w:rPr>
                      <w:rFonts w:hint="default"/>
                      <w:color w:val="000000" w:themeColor="text1"/>
                      <w:szCs w:val="21"/>
                      <w:highlight w:val="none"/>
                      <w:vertAlign w:val="baseline"/>
                      <w14:textFill>
                        <w14:solidFill>
                          <w14:schemeClr w14:val="tx1"/>
                        </w14:solidFill>
                      </w14:textFill>
                    </w:rPr>
                  </w:pPr>
                  <w:r>
                    <w:rPr>
                      <w:rFonts w:hint="default"/>
                      <w:color w:val="000000" w:themeColor="text1"/>
                      <w:kern w:val="0"/>
                      <w:sz w:val="21"/>
                      <w:szCs w:val="21"/>
                      <w14:textFill>
                        <w14:solidFill>
                          <w14:schemeClr w14:val="tx1"/>
                        </w14:solidFill>
                      </w14:textFill>
                    </w:rPr>
                    <w:t>COD</w:t>
                  </w:r>
                </w:p>
              </w:tc>
              <w:tc>
                <w:tcPr>
                  <w:tcW w:w="2650" w:type="dxa"/>
                  <w:noWrap w:val="0"/>
                  <w:vAlign w:val="center"/>
                </w:tcPr>
                <w:p w14:paraId="6597A351">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500</w:t>
                  </w:r>
                </w:p>
              </w:tc>
              <w:tc>
                <w:tcPr>
                  <w:tcW w:w="2052" w:type="dxa"/>
                  <w:shd w:val="clear" w:color="auto" w:fill="auto"/>
                  <w:noWrap w:val="0"/>
                  <w:vAlign w:val="center"/>
                </w:tcPr>
                <w:p w14:paraId="281910B3">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0.1585 </w:t>
                  </w:r>
                </w:p>
              </w:tc>
              <w:tc>
                <w:tcPr>
                  <w:tcW w:w="3115" w:type="dxa"/>
                  <w:shd w:val="clear" w:color="auto" w:fill="auto"/>
                  <w:noWrap w:val="0"/>
                  <w:vAlign w:val="center"/>
                </w:tcPr>
                <w:p w14:paraId="6ED7333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30</w:t>
                  </w:r>
                </w:p>
              </w:tc>
              <w:tc>
                <w:tcPr>
                  <w:tcW w:w="2352" w:type="dxa"/>
                  <w:shd w:val="clear" w:color="auto" w:fill="auto"/>
                  <w:noWrap w:val="0"/>
                  <w:vAlign w:val="center"/>
                </w:tcPr>
                <w:p w14:paraId="5BDA99F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0.0095 </w:t>
                  </w:r>
                </w:p>
              </w:tc>
            </w:tr>
            <w:tr w14:paraId="762B9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446" w:type="pct"/>
                  <w:vMerge w:val="continue"/>
                  <w:noWrap w:val="0"/>
                  <w:vAlign w:val="center"/>
                </w:tcPr>
                <w:p w14:paraId="197CC6E5">
                  <w:pPr>
                    <w:pStyle w:val="55"/>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477" w:type="pct"/>
                  <w:noWrap w:val="0"/>
                  <w:vAlign w:val="center"/>
                </w:tcPr>
                <w:p w14:paraId="2D94747B">
                  <w:pPr>
                    <w:keepNext w:val="0"/>
                    <w:keepLines w:val="0"/>
                    <w:widowControl/>
                    <w:suppressLineNumbers w:val="0"/>
                    <w:spacing w:before="0" w:beforeAutospacing="0" w:after="0" w:afterAutospacing="0"/>
                    <w:ind w:left="0" w:right="0"/>
                    <w:jc w:val="center"/>
                    <w:textAlignment w:val="center"/>
                    <w:rPr>
                      <w:rFonts w:hint="default"/>
                      <w:color w:val="000000" w:themeColor="text1"/>
                      <w:szCs w:val="21"/>
                      <w:highlight w:val="none"/>
                      <w:vertAlign w:val="baseline"/>
                      <w14:textFill>
                        <w14:solidFill>
                          <w14:schemeClr w14:val="tx1"/>
                        </w14:solidFill>
                      </w14:textFill>
                    </w:rPr>
                  </w:pPr>
                  <w:r>
                    <w:rPr>
                      <w:rFonts w:hint="default"/>
                      <w:color w:val="000000" w:themeColor="text1"/>
                      <w:kern w:val="0"/>
                      <w:sz w:val="21"/>
                      <w:szCs w:val="21"/>
                      <w14:textFill>
                        <w14:solidFill>
                          <w14:schemeClr w14:val="tx1"/>
                        </w14:solidFill>
                      </w14:textFill>
                    </w:rPr>
                    <w:t>BOD</w:t>
                  </w:r>
                  <w:r>
                    <w:rPr>
                      <w:rFonts w:hint="default"/>
                      <w:color w:val="000000" w:themeColor="text1"/>
                      <w:kern w:val="0"/>
                      <w:sz w:val="21"/>
                      <w:szCs w:val="21"/>
                      <w:vertAlign w:val="subscript"/>
                      <w14:textFill>
                        <w14:solidFill>
                          <w14:schemeClr w14:val="tx1"/>
                        </w14:solidFill>
                      </w14:textFill>
                    </w:rPr>
                    <w:t>5</w:t>
                  </w:r>
                </w:p>
              </w:tc>
              <w:tc>
                <w:tcPr>
                  <w:tcW w:w="2650" w:type="dxa"/>
                  <w:noWrap w:val="0"/>
                  <w:vAlign w:val="center"/>
                </w:tcPr>
                <w:p w14:paraId="138131D0">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300</w:t>
                  </w:r>
                </w:p>
              </w:tc>
              <w:tc>
                <w:tcPr>
                  <w:tcW w:w="2052" w:type="dxa"/>
                  <w:shd w:val="clear" w:color="auto" w:fill="auto"/>
                  <w:noWrap w:val="0"/>
                  <w:vAlign w:val="center"/>
                </w:tcPr>
                <w:p w14:paraId="1EF4D08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0.0870 </w:t>
                  </w:r>
                </w:p>
              </w:tc>
              <w:tc>
                <w:tcPr>
                  <w:tcW w:w="3115" w:type="dxa"/>
                  <w:shd w:val="clear" w:color="auto" w:fill="auto"/>
                  <w:noWrap w:val="0"/>
                  <w:vAlign w:val="bottom"/>
                </w:tcPr>
                <w:p w14:paraId="757EC44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6</w:t>
                  </w:r>
                </w:p>
              </w:tc>
              <w:tc>
                <w:tcPr>
                  <w:tcW w:w="2352" w:type="dxa"/>
                  <w:shd w:val="clear" w:color="auto" w:fill="auto"/>
                  <w:noWrap w:val="0"/>
                  <w:vAlign w:val="center"/>
                </w:tcPr>
                <w:p w14:paraId="7E313320">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0.0017 </w:t>
                  </w:r>
                </w:p>
              </w:tc>
            </w:tr>
            <w:tr w14:paraId="2859D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446" w:type="pct"/>
                  <w:vMerge w:val="continue"/>
                  <w:noWrap w:val="0"/>
                  <w:vAlign w:val="center"/>
                </w:tcPr>
                <w:p w14:paraId="03AD3CA5">
                  <w:pPr>
                    <w:pStyle w:val="55"/>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477" w:type="pct"/>
                  <w:noWrap w:val="0"/>
                  <w:vAlign w:val="center"/>
                </w:tcPr>
                <w:p w14:paraId="274F34B0">
                  <w:pPr>
                    <w:keepNext w:val="0"/>
                    <w:keepLines w:val="0"/>
                    <w:widowControl/>
                    <w:suppressLineNumbers w:val="0"/>
                    <w:spacing w:before="0" w:beforeAutospacing="0" w:after="0" w:afterAutospacing="0"/>
                    <w:ind w:left="0" w:right="0"/>
                    <w:jc w:val="center"/>
                    <w:textAlignment w:val="center"/>
                    <w:rPr>
                      <w:rFonts w:hint="default"/>
                      <w:color w:val="000000" w:themeColor="text1"/>
                      <w:szCs w:val="21"/>
                      <w:highlight w:val="none"/>
                      <w:vertAlign w:val="baseline"/>
                      <w14:textFill>
                        <w14:solidFill>
                          <w14:schemeClr w14:val="tx1"/>
                        </w14:solidFill>
                      </w14:textFill>
                    </w:rPr>
                  </w:pPr>
                  <w:r>
                    <w:rPr>
                      <w:rFonts w:hint="default"/>
                      <w:color w:val="000000" w:themeColor="text1"/>
                      <w:kern w:val="0"/>
                      <w:sz w:val="21"/>
                      <w:szCs w:val="21"/>
                      <w14:textFill>
                        <w14:solidFill>
                          <w14:schemeClr w14:val="tx1"/>
                        </w14:solidFill>
                      </w14:textFill>
                    </w:rPr>
                    <w:t>SS</w:t>
                  </w:r>
                </w:p>
              </w:tc>
              <w:tc>
                <w:tcPr>
                  <w:tcW w:w="2650" w:type="dxa"/>
                  <w:noWrap w:val="0"/>
                  <w:vAlign w:val="center"/>
                </w:tcPr>
                <w:p w14:paraId="3AD1C730">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400</w:t>
                  </w:r>
                </w:p>
              </w:tc>
              <w:tc>
                <w:tcPr>
                  <w:tcW w:w="2052" w:type="dxa"/>
                  <w:shd w:val="clear" w:color="auto" w:fill="auto"/>
                  <w:noWrap w:val="0"/>
                  <w:vAlign w:val="center"/>
                </w:tcPr>
                <w:p w14:paraId="59445EEB">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0.1268 </w:t>
                  </w:r>
                </w:p>
              </w:tc>
              <w:tc>
                <w:tcPr>
                  <w:tcW w:w="3115" w:type="dxa"/>
                  <w:shd w:val="clear" w:color="auto" w:fill="auto"/>
                  <w:noWrap w:val="0"/>
                  <w:vAlign w:val="bottom"/>
                </w:tcPr>
                <w:p w14:paraId="03B5BC1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10</w:t>
                  </w:r>
                </w:p>
              </w:tc>
              <w:tc>
                <w:tcPr>
                  <w:tcW w:w="2352" w:type="dxa"/>
                  <w:shd w:val="clear" w:color="auto" w:fill="auto"/>
                  <w:noWrap w:val="0"/>
                  <w:vAlign w:val="center"/>
                </w:tcPr>
                <w:p w14:paraId="5D095A42">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0.0032 </w:t>
                  </w:r>
                </w:p>
              </w:tc>
            </w:tr>
            <w:tr w14:paraId="413E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446" w:type="pct"/>
                  <w:vMerge w:val="continue"/>
                  <w:noWrap w:val="0"/>
                  <w:vAlign w:val="center"/>
                </w:tcPr>
                <w:p w14:paraId="28A3F335">
                  <w:pPr>
                    <w:pStyle w:val="55"/>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477" w:type="pct"/>
                  <w:noWrap w:val="0"/>
                  <w:vAlign w:val="center"/>
                </w:tcPr>
                <w:p w14:paraId="1D578C99">
                  <w:pPr>
                    <w:keepNext w:val="0"/>
                    <w:keepLines w:val="0"/>
                    <w:widowControl/>
                    <w:suppressLineNumbers w:val="0"/>
                    <w:spacing w:before="0" w:beforeAutospacing="0" w:after="0" w:afterAutospacing="0"/>
                    <w:ind w:left="0" w:right="0"/>
                    <w:jc w:val="center"/>
                    <w:textAlignment w:val="center"/>
                    <w:rPr>
                      <w:rFonts w:hint="default"/>
                      <w:color w:val="000000" w:themeColor="text1"/>
                      <w:szCs w:val="21"/>
                      <w:highlight w:val="none"/>
                      <w:vertAlign w:val="baseline"/>
                      <w14:textFill>
                        <w14:solidFill>
                          <w14:schemeClr w14:val="tx1"/>
                        </w14:solidFill>
                      </w14:textFill>
                    </w:rPr>
                  </w:pPr>
                  <w:r>
                    <w:rPr>
                      <w:rFonts w:hint="default"/>
                      <w:color w:val="000000" w:themeColor="text1"/>
                      <w:kern w:val="0"/>
                      <w:sz w:val="21"/>
                      <w:szCs w:val="21"/>
                      <w14:textFill>
                        <w14:solidFill>
                          <w14:schemeClr w14:val="tx1"/>
                        </w14:solidFill>
                      </w14:textFill>
                    </w:rPr>
                    <w:t>NH</w:t>
                  </w:r>
                  <w:r>
                    <w:rPr>
                      <w:rFonts w:hint="default"/>
                      <w:color w:val="000000" w:themeColor="text1"/>
                      <w:kern w:val="0"/>
                      <w:sz w:val="21"/>
                      <w:szCs w:val="21"/>
                      <w:vertAlign w:val="subscript"/>
                      <w14:textFill>
                        <w14:solidFill>
                          <w14:schemeClr w14:val="tx1"/>
                        </w14:solidFill>
                      </w14:textFill>
                    </w:rPr>
                    <w:t>3</w:t>
                  </w:r>
                  <w:r>
                    <w:rPr>
                      <w:rFonts w:hint="default"/>
                      <w:color w:val="000000" w:themeColor="text1"/>
                      <w:kern w:val="0"/>
                      <w:sz w:val="21"/>
                      <w:szCs w:val="21"/>
                      <w14:textFill>
                        <w14:solidFill>
                          <w14:schemeClr w14:val="tx1"/>
                        </w14:solidFill>
                      </w14:textFill>
                    </w:rPr>
                    <w:t>-N</w:t>
                  </w:r>
                </w:p>
              </w:tc>
              <w:tc>
                <w:tcPr>
                  <w:tcW w:w="2650" w:type="dxa"/>
                  <w:noWrap w:val="0"/>
                  <w:vAlign w:val="center"/>
                </w:tcPr>
                <w:p w14:paraId="7C68E265">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45</w:t>
                  </w:r>
                </w:p>
              </w:tc>
              <w:tc>
                <w:tcPr>
                  <w:tcW w:w="2052" w:type="dxa"/>
                  <w:shd w:val="clear" w:color="auto" w:fill="auto"/>
                  <w:noWrap w:val="0"/>
                  <w:vAlign w:val="center"/>
                </w:tcPr>
                <w:p w14:paraId="14E39C1D">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0.0131 </w:t>
                  </w:r>
                </w:p>
              </w:tc>
              <w:tc>
                <w:tcPr>
                  <w:tcW w:w="3115" w:type="dxa"/>
                  <w:shd w:val="clear" w:color="auto" w:fill="auto"/>
                  <w:noWrap w:val="0"/>
                  <w:vAlign w:val="bottom"/>
                </w:tcPr>
                <w:p w14:paraId="414963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1.5</w:t>
                  </w:r>
                </w:p>
              </w:tc>
              <w:tc>
                <w:tcPr>
                  <w:tcW w:w="2352" w:type="dxa"/>
                  <w:shd w:val="clear" w:color="auto" w:fill="auto"/>
                  <w:noWrap w:val="0"/>
                  <w:vAlign w:val="center"/>
                </w:tcPr>
                <w:p w14:paraId="6EB6FDD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0.0004 </w:t>
                  </w:r>
                </w:p>
              </w:tc>
            </w:tr>
            <w:tr w14:paraId="37552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446" w:type="pct"/>
                  <w:vMerge w:val="continue"/>
                  <w:noWrap w:val="0"/>
                  <w:vAlign w:val="center"/>
                </w:tcPr>
                <w:p w14:paraId="38349AAF">
                  <w:pPr>
                    <w:pStyle w:val="55"/>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477" w:type="pct"/>
                  <w:noWrap w:val="0"/>
                  <w:vAlign w:val="center"/>
                </w:tcPr>
                <w:p w14:paraId="710173EB">
                  <w:pPr>
                    <w:keepNext w:val="0"/>
                    <w:keepLines w:val="0"/>
                    <w:widowControl/>
                    <w:suppressLineNumbers w:val="0"/>
                    <w:spacing w:before="0" w:beforeAutospacing="0" w:after="0" w:afterAutospacing="0"/>
                    <w:ind w:left="0" w:right="0"/>
                    <w:jc w:val="center"/>
                    <w:textAlignment w:val="center"/>
                    <w:rPr>
                      <w:rFonts w:hint="default"/>
                      <w:color w:val="000000" w:themeColor="text1"/>
                      <w:szCs w:val="21"/>
                      <w:highlight w:val="none"/>
                      <w:vertAlign w:val="baseline"/>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总磷</w:t>
                  </w:r>
                </w:p>
              </w:tc>
              <w:tc>
                <w:tcPr>
                  <w:tcW w:w="2650" w:type="dxa"/>
                  <w:noWrap w:val="0"/>
                  <w:vAlign w:val="center"/>
                </w:tcPr>
                <w:p w14:paraId="634FA5D4">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8</w:t>
                  </w:r>
                </w:p>
              </w:tc>
              <w:tc>
                <w:tcPr>
                  <w:tcW w:w="2052" w:type="dxa"/>
                  <w:shd w:val="clear" w:color="auto" w:fill="auto"/>
                  <w:noWrap w:val="0"/>
                  <w:vAlign w:val="center"/>
                </w:tcPr>
                <w:p w14:paraId="467C21BE">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0.0022 </w:t>
                  </w:r>
                </w:p>
              </w:tc>
              <w:tc>
                <w:tcPr>
                  <w:tcW w:w="3115" w:type="dxa"/>
                  <w:shd w:val="clear" w:color="auto" w:fill="auto"/>
                  <w:noWrap w:val="0"/>
                  <w:vAlign w:val="bottom"/>
                </w:tcPr>
                <w:p w14:paraId="033C9A2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0.3</w:t>
                  </w:r>
                </w:p>
              </w:tc>
              <w:tc>
                <w:tcPr>
                  <w:tcW w:w="2352" w:type="dxa"/>
                  <w:shd w:val="clear" w:color="auto" w:fill="auto"/>
                  <w:noWrap w:val="0"/>
                  <w:vAlign w:val="center"/>
                </w:tcPr>
                <w:p w14:paraId="2FB3E3D9">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0.0001 </w:t>
                  </w:r>
                </w:p>
              </w:tc>
            </w:tr>
            <w:tr w14:paraId="5DE1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446" w:type="pct"/>
                  <w:vMerge w:val="continue"/>
                  <w:noWrap w:val="0"/>
                  <w:vAlign w:val="center"/>
                </w:tcPr>
                <w:p w14:paraId="4FBD2D22">
                  <w:pPr>
                    <w:pStyle w:val="55"/>
                    <w:keepNext w:val="0"/>
                    <w:keepLines w:val="0"/>
                    <w:suppressLineNumbers w:val="0"/>
                    <w:shd w:val="clear" w:color="auto" w:fill="auto"/>
                    <w:spacing w:before="0" w:beforeAutospacing="0" w:after="0" w:afterAutospacing="0"/>
                    <w:ind w:left="0" w:right="0"/>
                    <w:rPr>
                      <w:rFonts w:hint="default" w:ascii="Times New Roman" w:hAnsi="Times New Roman" w:cs="Times New Roman"/>
                      <w:color w:val="000000" w:themeColor="text1"/>
                      <w:highlight w:val="none"/>
                      <w14:textFill>
                        <w14:solidFill>
                          <w14:schemeClr w14:val="tx1"/>
                        </w14:solidFill>
                      </w14:textFill>
                    </w:rPr>
                  </w:pPr>
                </w:p>
              </w:tc>
              <w:tc>
                <w:tcPr>
                  <w:tcW w:w="477" w:type="pct"/>
                  <w:noWrap w:val="0"/>
                  <w:vAlign w:val="center"/>
                </w:tcPr>
                <w:p w14:paraId="226DB539">
                  <w:pPr>
                    <w:keepNext w:val="0"/>
                    <w:keepLines w:val="0"/>
                    <w:widowControl/>
                    <w:suppressLineNumbers w:val="0"/>
                    <w:spacing w:before="0" w:beforeAutospacing="0" w:after="0" w:afterAutospacing="0"/>
                    <w:ind w:left="0" w:right="0"/>
                    <w:jc w:val="center"/>
                    <w:textAlignment w:val="center"/>
                    <w:rPr>
                      <w:rFonts w:hint="default"/>
                      <w:color w:val="000000" w:themeColor="text1"/>
                      <w:szCs w:val="21"/>
                      <w:highlight w:val="none"/>
                      <w:vertAlign w:val="baseline"/>
                      <w14:textFill>
                        <w14:solidFill>
                          <w14:schemeClr w14:val="tx1"/>
                        </w14:solidFill>
                      </w14:textFill>
                    </w:rPr>
                  </w:pPr>
                  <w:r>
                    <w:rPr>
                      <w:rFonts w:hint="eastAsia" w:ascii="宋体" w:hAnsi="宋体" w:cs="宋体"/>
                      <w:color w:val="000000" w:themeColor="text1"/>
                      <w:kern w:val="0"/>
                      <w:sz w:val="21"/>
                      <w:szCs w:val="21"/>
                      <w14:textFill>
                        <w14:solidFill>
                          <w14:schemeClr w14:val="tx1"/>
                        </w14:solidFill>
                      </w14:textFill>
                    </w:rPr>
                    <w:t>石油类</w:t>
                  </w:r>
                </w:p>
              </w:tc>
              <w:tc>
                <w:tcPr>
                  <w:tcW w:w="2650" w:type="dxa"/>
                  <w:noWrap w:val="0"/>
                  <w:vAlign w:val="center"/>
                </w:tcPr>
                <w:p w14:paraId="2766DE1E">
                  <w:pPr>
                    <w:keepNext w:val="0"/>
                    <w:keepLines w:val="0"/>
                    <w:widowControl/>
                    <w:suppressLineNumbers w:val="0"/>
                    <w:spacing w:before="0" w:beforeAutospacing="0" w:after="0" w:afterAutospacing="0"/>
                    <w:ind w:left="0" w:leftChars="0" w:right="0" w:rightChars="0"/>
                    <w:jc w:val="center"/>
                    <w:textAlignment w:val="center"/>
                    <w:rPr>
                      <w:rFonts w:hint="default"/>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20</w:t>
                  </w:r>
                </w:p>
              </w:tc>
              <w:tc>
                <w:tcPr>
                  <w:tcW w:w="2052" w:type="dxa"/>
                  <w:shd w:val="clear" w:color="auto" w:fill="auto"/>
                  <w:noWrap w:val="0"/>
                  <w:vAlign w:val="center"/>
                </w:tcPr>
                <w:p w14:paraId="6CB9D761">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0.0005 </w:t>
                  </w:r>
                </w:p>
              </w:tc>
              <w:tc>
                <w:tcPr>
                  <w:tcW w:w="3115" w:type="dxa"/>
                  <w:shd w:val="clear" w:color="auto" w:fill="auto"/>
                  <w:noWrap w:val="0"/>
                  <w:vAlign w:val="center"/>
                </w:tcPr>
                <w:p w14:paraId="10C04A0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t>1</w:t>
                  </w:r>
                </w:p>
              </w:tc>
              <w:tc>
                <w:tcPr>
                  <w:tcW w:w="2352" w:type="dxa"/>
                  <w:shd w:val="clear" w:color="auto" w:fill="auto"/>
                  <w:noWrap w:val="0"/>
                  <w:vAlign w:val="center"/>
                </w:tcPr>
                <w:p w14:paraId="55F2900F">
                  <w:pPr>
                    <w:keepNext w:val="0"/>
                    <w:keepLines w:val="0"/>
                    <w:widowControl/>
                    <w:suppressLineNumbers w:val="0"/>
                    <w:jc w:val="center"/>
                    <w:textAlignment w:val="center"/>
                    <w:rPr>
                      <w:rFonts w:hint="default" w:ascii="Times New Roman" w:hAnsi="Times New Roman" w:eastAsia="宋体" w:cs="Times New Roman"/>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0.00003 </w:t>
                  </w:r>
                </w:p>
              </w:tc>
            </w:tr>
          </w:tbl>
          <w:p w14:paraId="1B15D234">
            <w:pPr>
              <w:keepNext w:val="0"/>
              <w:keepLines w:val="0"/>
              <w:suppressLineNumbers w:val="0"/>
              <w:spacing w:before="0" w:beforeAutospacing="0" w:after="0" w:afterAutospacing="0"/>
              <w:ind w:left="0" w:right="0"/>
              <w:rPr>
                <w:rFonts w:hint="default"/>
                <w:b/>
                <w:bCs/>
                <w:color w:val="000000" w:themeColor="text1"/>
                <w:szCs w:val="21"/>
                <w14:textFill>
                  <w14:solidFill>
                    <w14:schemeClr w14:val="tx1"/>
                  </w14:solidFill>
                </w14:textFill>
              </w:rPr>
            </w:pPr>
          </w:p>
        </w:tc>
      </w:tr>
    </w:tbl>
    <w:p w14:paraId="707AF954">
      <w:pPr>
        <w:pStyle w:val="4"/>
        <w:ind w:left="0" w:leftChars="0" w:firstLine="0" w:firstLineChars="0"/>
        <w:rPr>
          <w:color w:val="000000" w:themeColor="text1"/>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2"/>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
        <w:gridCol w:w="8576"/>
      </w:tblGrid>
      <w:tr w14:paraId="4DFD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2" w:hRule="atLeast"/>
          <w:jc w:val="center"/>
        </w:trPr>
        <w:tc>
          <w:tcPr>
            <w:tcW w:w="495" w:type="dxa"/>
            <w:vAlign w:val="center"/>
          </w:tcPr>
          <w:p w14:paraId="6ADDBA7E">
            <w:pPr>
              <w:pStyle w:val="2"/>
              <w:keepNext w:val="0"/>
              <w:keepLines w:val="0"/>
              <w:suppressLineNumbers w:val="0"/>
              <w:spacing w:before="0" w:beforeAutospacing="0" w:after="0" w:afterAutospacing="0"/>
              <w:ind w:left="0" w:right="0"/>
              <w:jc w:val="center"/>
              <w:rPr>
                <w:rFonts w:hint="default"/>
                <w:color w:val="000000" w:themeColor="text1"/>
                <w:vertAlign w:val="baseline"/>
                <w14:textFill>
                  <w14:solidFill>
                    <w14:schemeClr w14:val="tx1"/>
                  </w14:solidFill>
                </w14:textFill>
              </w:rPr>
            </w:pPr>
            <w:r>
              <w:rPr>
                <w:rFonts w:hint="default"/>
                <w:bCs/>
                <w:color w:val="000000" w:themeColor="text1"/>
                <w:sz w:val="24"/>
                <w:highlight w:val="none"/>
                <w14:textFill>
                  <w14:solidFill>
                    <w14:schemeClr w14:val="tx1"/>
                  </w14:solidFill>
                </w14:textFill>
              </w:rPr>
              <w:t>运营期环境影响和保护措</w:t>
            </w:r>
          </w:p>
        </w:tc>
        <w:tc>
          <w:tcPr>
            <w:tcW w:w="8576" w:type="dxa"/>
            <w:vAlign w:val="top"/>
          </w:tcPr>
          <w:p w14:paraId="34E6C250">
            <w:pPr>
              <w:keepNext w:val="0"/>
              <w:keepLines w:val="0"/>
              <w:suppressLineNumbers w:val="0"/>
              <w:adjustRightInd w:val="0"/>
              <w:snapToGrid w:val="0"/>
              <w:spacing w:before="0" w:beforeLines="50" w:beforeAutospacing="0" w:after="0" w:afterAutospacing="0" w:line="360" w:lineRule="auto"/>
              <w:ind w:left="0" w:right="0"/>
              <w:rPr>
                <w:rFonts w:hint="default"/>
                <w:b/>
                <w:bCs/>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2.</w:t>
            </w:r>
            <w:r>
              <w:rPr>
                <w:rFonts w:hint="eastAsia"/>
                <w:b/>
                <w:bCs/>
                <w:color w:val="000000" w:themeColor="text1"/>
                <w:sz w:val="24"/>
                <w:szCs w:val="24"/>
                <w:lang w:val="en-US" w:eastAsia="zh-CN"/>
                <w14:textFill>
                  <w14:solidFill>
                    <w14:schemeClr w14:val="tx1"/>
                  </w14:solidFill>
                </w14:textFill>
              </w:rPr>
              <w:t>3</w:t>
            </w:r>
            <w:r>
              <w:rPr>
                <w:rFonts w:hint="default"/>
                <w:b/>
                <w:bCs/>
                <w:color w:val="000000" w:themeColor="text1"/>
                <w:sz w:val="24"/>
                <w:szCs w:val="24"/>
                <w14:textFill>
                  <w14:solidFill>
                    <w14:schemeClr w14:val="tx1"/>
                  </w14:solidFill>
                </w14:textFill>
              </w:rPr>
              <w:t>、废水达标情况分析</w:t>
            </w:r>
          </w:p>
          <w:p w14:paraId="2BF8CA88">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eastAsia" w:eastAsia="宋体"/>
                <w:b/>
                <w:bCs/>
                <w:color w:val="000000" w:themeColor="text1"/>
                <w:sz w:val="24"/>
                <w:highlight w:val="none"/>
                <w:lang w:val="en-US" w:eastAsia="zh-CN"/>
                <w14:textFill>
                  <w14:solidFill>
                    <w14:schemeClr w14:val="tx1"/>
                  </w14:solidFill>
                </w14:textFill>
              </w:rPr>
            </w:pPr>
            <w:r>
              <w:rPr>
                <w:rFonts w:hint="eastAsia"/>
                <w:b/>
                <w:bCs/>
                <w:color w:val="000000" w:themeColor="text1"/>
                <w:sz w:val="24"/>
                <w:highlight w:val="none"/>
                <w:lang w:val="en-US" w:eastAsia="zh-CN"/>
                <w14:textFill>
                  <w14:solidFill>
                    <w14:schemeClr w14:val="tx1"/>
                  </w14:solidFill>
                </w14:textFill>
              </w:rPr>
              <w:t>①</w:t>
            </w:r>
            <w:r>
              <w:rPr>
                <w:rFonts w:hint="default" w:ascii="Times New Roman" w:hAnsi="Times New Roman" w:cs="Times New Roman"/>
                <w:b/>
                <w:bCs/>
                <w:color w:val="000000" w:themeColor="text1"/>
                <w:sz w:val="24"/>
                <w:highlight w:val="none"/>
                <w14:textFill>
                  <w14:solidFill>
                    <w14:schemeClr w14:val="tx1"/>
                  </w14:solidFill>
                </w14:textFill>
              </w:rPr>
              <w:t>废</w:t>
            </w:r>
            <w:r>
              <w:rPr>
                <w:rFonts w:hint="eastAsia" w:cs="Times New Roman"/>
                <w:b/>
                <w:bCs/>
                <w:color w:val="000000" w:themeColor="text1"/>
                <w:sz w:val="24"/>
                <w:highlight w:val="none"/>
                <w:lang w:val="en-US" w:eastAsia="zh-CN"/>
                <w14:textFill>
                  <w14:solidFill>
                    <w14:schemeClr w14:val="tx1"/>
                  </w14:solidFill>
                </w14:textFill>
              </w:rPr>
              <w:t>水</w:t>
            </w:r>
            <w:r>
              <w:rPr>
                <w:rFonts w:hint="default" w:ascii="Times New Roman" w:hAnsi="Times New Roman" w:cs="Times New Roman"/>
                <w:b/>
                <w:bCs/>
                <w:color w:val="000000" w:themeColor="text1"/>
                <w:sz w:val="24"/>
                <w:highlight w:val="none"/>
                <w14:textFill>
                  <w14:solidFill>
                    <w14:schemeClr w14:val="tx1"/>
                  </w14:solidFill>
                </w14:textFill>
              </w:rPr>
              <w:t>治理设施可行性分析</w:t>
            </w:r>
          </w:p>
          <w:p w14:paraId="7C2617A8">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sz w:val="24"/>
                <w:highlight w:val="none"/>
                <w14:textFill>
                  <w14:solidFill>
                    <w14:schemeClr w14:val="tx1"/>
                  </w14:solidFill>
                </w14:textFill>
              </w:rPr>
            </w:pPr>
            <w:r>
              <w:rPr>
                <w:rFonts w:hint="default"/>
                <w:color w:val="000000" w:themeColor="text1"/>
                <w:sz w:val="24"/>
                <w:highlight w:val="none"/>
                <w14:textFill>
                  <w14:solidFill>
                    <w14:schemeClr w14:val="tx1"/>
                  </w14:solidFill>
                </w14:textFill>
              </w:rPr>
              <w:t>项目</w:t>
            </w:r>
            <w:r>
              <w:rPr>
                <w:rFonts w:hint="eastAsia"/>
                <w:color w:val="000000" w:themeColor="text1"/>
                <w:sz w:val="24"/>
                <w:highlight w:val="none"/>
                <w14:textFill>
                  <w14:solidFill>
                    <w14:schemeClr w14:val="tx1"/>
                  </w14:solidFill>
                </w14:textFill>
              </w:rPr>
              <w:t>外排</w:t>
            </w:r>
            <w:r>
              <w:rPr>
                <w:rFonts w:hint="default"/>
                <w:color w:val="000000" w:themeColor="text1"/>
                <w:sz w:val="24"/>
                <w:highlight w:val="none"/>
                <w14:textFill>
                  <w14:solidFill>
                    <w14:schemeClr w14:val="tx1"/>
                  </w14:solidFill>
                </w14:textFill>
              </w:rPr>
              <w:t>废水主要为</w:t>
            </w:r>
            <w:r>
              <w:rPr>
                <w:rFonts w:hint="eastAsia"/>
                <w:color w:val="000000" w:themeColor="text1"/>
                <w:sz w:val="24"/>
                <w:highlight w:val="none"/>
                <w:lang w:eastAsia="zh-CN"/>
                <w14:textFill>
                  <w14:solidFill>
                    <w14:schemeClr w14:val="tx1"/>
                  </w14:solidFill>
                </w14:textFill>
              </w:rPr>
              <w:t>生活污水、洗手废水、水帘湿式去漆雾循环水池废水</w:t>
            </w:r>
            <w:r>
              <w:rPr>
                <w:rFonts w:hint="default"/>
                <w:color w:val="000000" w:themeColor="text1"/>
                <w:sz w:val="24"/>
                <w:highlight w:val="none"/>
                <w14:textFill>
                  <w14:solidFill>
                    <w14:schemeClr w14:val="tx1"/>
                  </w14:solidFill>
                </w14:textFill>
              </w:rPr>
              <w:t>。</w:t>
            </w:r>
          </w:p>
          <w:p w14:paraId="6247B106">
            <w:pPr>
              <w:pStyle w:val="19"/>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jc w:val="both"/>
              <w:textAlignment w:val="auto"/>
              <w:outlineLvl w:val="0"/>
              <w:rPr>
                <w:rFonts w:hint="default" w:ascii="Times New Roman" w:hAnsi="Times New Roman"/>
                <w:snapToGrid w:val="0"/>
                <w:color w:val="000000" w:themeColor="text1"/>
                <w:szCs w:val="24"/>
                <w:highlight w:val="none"/>
                <w:lang w:val="en-US"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水帘湿式去漆雾循环水池废水经一体化生产废水处理站预处理</w:t>
            </w:r>
            <w:r>
              <w:rPr>
                <w:rFonts w:hint="default" w:ascii="Times New Roman" w:hAnsi="Times New Roman"/>
                <w:color w:val="000000" w:themeColor="text1"/>
                <w:szCs w:val="24"/>
                <w:highlight w:val="none"/>
                <w:lang w:val="en-US" w:eastAsia="zh-CN"/>
                <w14:textFill>
                  <w14:solidFill>
                    <w14:schemeClr w14:val="tx1"/>
                  </w14:solidFill>
                </w14:textFill>
              </w:rPr>
              <w:t>，处理工艺为</w:t>
            </w:r>
            <w:r>
              <w:rPr>
                <w:rFonts w:hint="eastAsia" w:ascii="Times New Roman" w:hAnsi="Times New Roman"/>
                <w:color w:val="000000" w:themeColor="text1"/>
                <w:szCs w:val="24"/>
                <w:highlight w:val="none"/>
                <w:lang w:val="en-US" w:eastAsia="zh-CN"/>
                <w14:textFill>
                  <w14:solidFill>
                    <w14:schemeClr w14:val="tx1"/>
                  </w14:solidFill>
                </w14:textFill>
              </w:rPr>
              <w:t>“芬顿氧化+</w:t>
            </w:r>
            <w:r>
              <w:rPr>
                <w:rFonts w:hint="default" w:ascii="Times New Roman" w:hAnsi="Times New Roman"/>
                <w:color w:val="000000" w:themeColor="text1"/>
                <w:szCs w:val="24"/>
                <w:highlight w:val="none"/>
                <w:lang w:val="en-US" w:eastAsia="zh-CN"/>
                <w14:textFill>
                  <w14:solidFill>
                    <w14:schemeClr w14:val="tx1"/>
                  </w14:solidFill>
                </w14:textFill>
              </w:rPr>
              <w:t>混凝+沉淀</w:t>
            </w:r>
            <w:r>
              <w:rPr>
                <w:rFonts w:hint="eastAsia" w:ascii="Times New Roman" w:hAnsi="Times New Roman"/>
                <w:color w:val="000000" w:themeColor="text1"/>
                <w:szCs w:val="24"/>
                <w:highlight w:val="none"/>
                <w:lang w:val="en-US" w:eastAsia="zh-CN"/>
                <w14:textFill>
                  <w14:solidFill>
                    <w14:schemeClr w14:val="tx1"/>
                  </w14:solidFill>
                </w14:textFill>
              </w:rPr>
              <w:t>”</w:t>
            </w:r>
            <w:r>
              <w:rPr>
                <w:rFonts w:hint="default" w:ascii="Times New Roman" w:hAnsi="Times New Roman"/>
                <w:color w:val="000000" w:themeColor="text1"/>
                <w:szCs w:val="24"/>
                <w:highlight w:val="none"/>
                <w:lang w:val="en-US" w:eastAsia="zh-CN"/>
                <w14:textFill>
                  <w14:solidFill>
                    <w14:schemeClr w14:val="tx1"/>
                  </w14:solidFill>
                </w14:textFill>
              </w:rPr>
              <w:t>（处理能力为</w:t>
            </w:r>
            <w:r>
              <w:rPr>
                <w:rFonts w:hint="eastAsia" w:ascii="Times New Roman" w:hAnsi="Times New Roman"/>
                <w:color w:val="000000" w:themeColor="text1"/>
                <w:szCs w:val="24"/>
                <w:highlight w:val="none"/>
                <w:lang w:val="en-US" w:eastAsia="zh-CN"/>
                <w14:textFill>
                  <w14:solidFill>
                    <w14:schemeClr w14:val="tx1"/>
                  </w14:solidFill>
                </w14:textFill>
              </w:rPr>
              <w:t>12</w:t>
            </w:r>
            <w:r>
              <w:rPr>
                <w:rFonts w:hint="default" w:ascii="Times New Roman" w:hAnsi="Times New Roman"/>
                <w:color w:val="000000" w:themeColor="text1"/>
                <w:szCs w:val="24"/>
                <w:highlight w:val="none"/>
                <w:lang w:val="en-US" w:eastAsia="zh-CN"/>
                <w14:textFill>
                  <w14:solidFill>
                    <w14:schemeClr w14:val="tx1"/>
                  </w14:solidFill>
                </w14:textFill>
              </w:rPr>
              <w:t>m</w:t>
            </w:r>
            <w:r>
              <w:rPr>
                <w:rFonts w:hint="default" w:ascii="Times New Roman" w:hAnsi="Times New Roman"/>
                <w:color w:val="000000" w:themeColor="text1"/>
                <w:szCs w:val="24"/>
                <w:highlight w:val="none"/>
                <w:vertAlign w:val="superscript"/>
                <w:lang w:val="en-US" w:eastAsia="zh-CN"/>
                <w14:textFill>
                  <w14:solidFill>
                    <w14:schemeClr w14:val="tx1"/>
                  </w14:solidFill>
                </w14:textFill>
              </w:rPr>
              <w:t>3</w:t>
            </w:r>
            <w:r>
              <w:rPr>
                <w:rFonts w:hint="default" w:ascii="Times New Roman" w:hAnsi="Times New Roman"/>
                <w:color w:val="000000" w:themeColor="text1"/>
                <w:szCs w:val="24"/>
                <w:highlight w:val="none"/>
                <w:lang w:val="en-US" w:eastAsia="zh-CN"/>
                <w14:textFill>
                  <w14:solidFill>
                    <w14:schemeClr w14:val="tx1"/>
                  </w14:solidFill>
                </w14:textFill>
              </w:rPr>
              <w:t>/d），</w:t>
            </w:r>
            <w:r>
              <w:rPr>
                <w:rFonts w:hint="default" w:ascii="Times New Roman" w:hAnsi="Times New Roman"/>
                <w:snapToGrid w:val="0"/>
                <w:color w:val="000000" w:themeColor="text1"/>
                <w:szCs w:val="24"/>
                <w:highlight w:val="none"/>
                <w:lang w:val="en-US" w:eastAsia="zh-CN"/>
                <w14:textFill>
                  <w14:solidFill>
                    <w14:schemeClr w14:val="tx1"/>
                  </w14:solidFill>
                </w14:textFill>
              </w:rPr>
              <w:t>参照</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《排污许可证申请与核发技术规范 铁路、船舶、航空航天和其他运输设备制造业》（HJ1124-2020）</w:t>
            </w:r>
            <w:r>
              <w:rPr>
                <w:rFonts w:hint="eastAsia" w:ascii="Times New Roman" w:hAnsi="Times New Roman" w:cs="Times New Roman"/>
                <w:b w:val="0"/>
                <w:bCs w:val="0"/>
                <w:color w:val="000000" w:themeColor="text1"/>
                <w:vertAlign w:val="baseline"/>
                <w:lang w:val="en-US" w:eastAsia="zh-CN"/>
                <w14:textFill>
                  <w14:solidFill>
                    <w14:schemeClr w14:val="tx1"/>
                  </w14:solidFill>
                </w14:textFill>
              </w:rPr>
              <w:t>，</w:t>
            </w:r>
            <w:r>
              <w:rPr>
                <w:rFonts w:hint="default" w:ascii="Times New Roman" w:hAnsi="Times New Roman"/>
                <w:snapToGrid w:val="0"/>
                <w:color w:val="000000" w:themeColor="text1"/>
                <w:szCs w:val="24"/>
                <w:highlight w:val="none"/>
                <w:lang w:val="en-US" w:eastAsia="zh-CN"/>
                <w14:textFill>
                  <w14:solidFill>
                    <w14:schemeClr w14:val="tx1"/>
                  </w14:solidFill>
                </w14:textFill>
              </w:rPr>
              <w:t>采取的</w:t>
            </w:r>
            <w:r>
              <w:rPr>
                <w:rFonts w:hint="eastAsia" w:ascii="Times New Roman" w:hAnsi="Times New Roman"/>
                <w:color w:val="000000" w:themeColor="text1"/>
                <w:szCs w:val="24"/>
                <w:highlight w:val="none"/>
                <w:lang w:val="en-US" w:eastAsia="zh-CN"/>
                <w14:textFill>
                  <w14:solidFill>
                    <w14:schemeClr w14:val="tx1"/>
                  </w14:solidFill>
                </w14:textFill>
              </w:rPr>
              <w:t>芬顿氧化+</w:t>
            </w:r>
            <w:r>
              <w:rPr>
                <w:rFonts w:hint="default" w:ascii="Times New Roman" w:hAnsi="Times New Roman"/>
                <w:snapToGrid w:val="0"/>
                <w:color w:val="000000" w:themeColor="text1"/>
                <w:szCs w:val="24"/>
                <w:highlight w:val="none"/>
                <w:lang w:val="en-US" w:eastAsia="zh-CN"/>
                <w14:textFill>
                  <w14:solidFill>
                    <w14:schemeClr w14:val="tx1"/>
                  </w14:solidFill>
                </w14:textFill>
              </w:rPr>
              <w:t>混凝+沉淀组合工艺为推荐的污染治理技术</w:t>
            </w:r>
            <w:r>
              <w:rPr>
                <w:rFonts w:hint="eastAsia" w:ascii="Times New Roman" w:hAnsi="Times New Roman"/>
                <w:snapToGrid w:val="0"/>
                <w:color w:val="000000" w:themeColor="text1"/>
                <w:szCs w:val="24"/>
                <w:highlight w:val="none"/>
                <w:lang w:val="en-US" w:eastAsia="zh-CN"/>
                <w14:textFill>
                  <w14:solidFill>
                    <w14:schemeClr w14:val="tx1"/>
                  </w14:solidFill>
                </w14:textFill>
              </w:rPr>
              <w:t>，技术可行</w:t>
            </w:r>
            <w:r>
              <w:rPr>
                <w:rFonts w:hint="default" w:ascii="Times New Roman" w:hAnsi="Times New Roman"/>
                <w:snapToGrid w:val="0"/>
                <w:color w:val="000000" w:themeColor="text1"/>
                <w:szCs w:val="24"/>
                <w:highlight w:val="none"/>
                <w:lang w:val="en-US" w:eastAsia="zh-CN"/>
                <w14:textFill>
                  <w14:solidFill>
                    <w14:schemeClr w14:val="tx1"/>
                  </w14:solidFill>
                </w14:textFill>
              </w:rPr>
              <w:t>。</w:t>
            </w:r>
          </w:p>
          <w:p w14:paraId="0C498DC3">
            <w:pPr>
              <w:pStyle w:val="19"/>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jc w:val="both"/>
              <w:textAlignment w:val="auto"/>
              <w:outlineLvl w:val="0"/>
              <w:rPr>
                <w:rFonts w:hint="default" w:ascii="Times New Roman" w:hAnsi="Times New Roman"/>
                <w:snapToGrid w:val="0"/>
                <w:color w:val="000000" w:themeColor="text1"/>
                <w:szCs w:val="24"/>
                <w:highlight w:val="none"/>
                <w:lang w:val="en-US" w:eastAsia="zh-CN"/>
                <w14:textFill>
                  <w14:solidFill>
                    <w14:schemeClr w14:val="tx1"/>
                  </w14:solidFill>
                </w14:textFill>
              </w:rPr>
            </w:pPr>
            <w:r>
              <w:rPr>
                <w:rFonts w:hint="default" w:ascii="Times New Roman" w:hAnsi="Times New Roman"/>
                <w:snapToGrid w:val="0"/>
                <w:color w:val="000000" w:themeColor="text1"/>
                <w:szCs w:val="24"/>
                <w:highlight w:val="none"/>
                <w:lang w:val="en-US" w:eastAsia="zh-CN"/>
                <w14:textFill>
                  <w14:solidFill>
                    <w14:schemeClr w14:val="tx1"/>
                  </w14:solidFill>
                </w14:textFill>
              </w:rPr>
              <w:t>生活污水主要污染因子为pH、COD、BOD</w:t>
            </w:r>
            <w:r>
              <w:rPr>
                <w:rFonts w:hint="default" w:ascii="Times New Roman" w:hAnsi="Times New Roman"/>
                <w:snapToGrid w:val="0"/>
                <w:color w:val="000000" w:themeColor="text1"/>
                <w:szCs w:val="24"/>
                <w:highlight w:val="none"/>
                <w:vertAlign w:val="subscript"/>
                <w:lang w:val="en-US" w:eastAsia="zh-CN"/>
                <w14:textFill>
                  <w14:solidFill>
                    <w14:schemeClr w14:val="tx1"/>
                  </w14:solidFill>
                </w14:textFill>
              </w:rPr>
              <w:t>5</w:t>
            </w:r>
            <w:r>
              <w:rPr>
                <w:rFonts w:hint="default" w:ascii="Times New Roman" w:hAnsi="Times New Roman"/>
                <w:snapToGrid w:val="0"/>
                <w:color w:val="000000" w:themeColor="text1"/>
                <w:szCs w:val="24"/>
                <w:highlight w:val="none"/>
                <w:lang w:val="en-US" w:eastAsia="zh-CN"/>
                <w14:textFill>
                  <w14:solidFill>
                    <w14:schemeClr w14:val="tx1"/>
                  </w14:solidFill>
                </w14:textFill>
              </w:rPr>
              <w:t>、SS、TP，洗手废水主要污染因子为COD、SS、石油类，洗手废水</w:t>
            </w:r>
            <w:r>
              <w:rPr>
                <w:rFonts w:hint="eastAsia" w:ascii="Times New Roman" w:hAnsi="Times New Roman"/>
                <w:snapToGrid w:val="0"/>
                <w:color w:val="000000" w:themeColor="text1"/>
                <w:szCs w:val="24"/>
                <w:highlight w:val="none"/>
                <w:lang w:val="en-US" w:eastAsia="zh-CN"/>
                <w14:textFill>
                  <w14:solidFill>
                    <w14:schemeClr w14:val="tx1"/>
                  </w14:solidFill>
                </w14:textFill>
              </w:rPr>
              <w:t>经</w:t>
            </w:r>
            <w:r>
              <w:rPr>
                <w:rFonts w:hint="default" w:ascii="Times New Roman" w:hAnsi="Times New Roman"/>
                <w:snapToGrid w:val="0"/>
                <w:color w:val="000000" w:themeColor="text1"/>
                <w:szCs w:val="24"/>
                <w:highlight w:val="none"/>
                <w:lang w:val="en-US" w:eastAsia="zh-CN"/>
                <w14:textFill>
                  <w14:solidFill>
                    <w14:schemeClr w14:val="tx1"/>
                  </w14:solidFill>
                </w14:textFill>
              </w:rPr>
              <w:t>油水分离器处理后和生活污水一并排入生化池（处理能力为</w:t>
            </w:r>
            <w:r>
              <w:rPr>
                <w:rFonts w:hint="eastAsia" w:ascii="Times New Roman" w:hAnsi="Times New Roman"/>
                <w:snapToGrid w:val="0"/>
                <w:color w:val="000000" w:themeColor="text1"/>
                <w:szCs w:val="24"/>
                <w:highlight w:val="none"/>
                <w:lang w:val="en-US" w:eastAsia="zh-CN"/>
                <w14:textFill>
                  <w14:solidFill>
                    <w14:schemeClr w14:val="tx1"/>
                  </w14:solidFill>
                </w14:textFill>
              </w:rPr>
              <w:t>100</w:t>
            </w:r>
            <w:r>
              <w:rPr>
                <w:rFonts w:hint="default" w:ascii="Times New Roman" w:hAnsi="Times New Roman"/>
                <w:snapToGrid w:val="0"/>
                <w:color w:val="000000" w:themeColor="text1"/>
                <w:szCs w:val="24"/>
                <w:highlight w:val="none"/>
                <w:lang w:val="en-US" w:eastAsia="zh-CN"/>
                <w14:textFill>
                  <w14:solidFill>
                    <w14:schemeClr w14:val="tx1"/>
                  </w14:solidFill>
                </w14:textFill>
              </w:rPr>
              <w:t>m</w:t>
            </w:r>
            <w:r>
              <w:rPr>
                <w:rFonts w:hint="default" w:ascii="Times New Roman" w:hAnsi="Times New Roman"/>
                <w:snapToGrid w:val="0"/>
                <w:color w:val="000000" w:themeColor="text1"/>
                <w:szCs w:val="24"/>
                <w:highlight w:val="none"/>
                <w:vertAlign w:val="superscript"/>
                <w:lang w:val="en-US" w:eastAsia="zh-CN"/>
                <w14:textFill>
                  <w14:solidFill>
                    <w14:schemeClr w14:val="tx1"/>
                  </w14:solidFill>
                </w14:textFill>
              </w:rPr>
              <w:t>3</w:t>
            </w:r>
            <w:r>
              <w:rPr>
                <w:rFonts w:hint="default" w:ascii="Times New Roman" w:hAnsi="Times New Roman"/>
                <w:snapToGrid w:val="0"/>
                <w:color w:val="000000" w:themeColor="text1"/>
                <w:szCs w:val="24"/>
                <w:highlight w:val="none"/>
                <w:lang w:val="en-US" w:eastAsia="zh-CN"/>
                <w14:textFill>
                  <w14:solidFill>
                    <w14:schemeClr w14:val="tx1"/>
                  </w14:solidFill>
                </w14:textFill>
              </w:rPr>
              <w:t>/d）进行生化处理，该生化池采用</w:t>
            </w:r>
            <w:r>
              <w:rPr>
                <w:rFonts w:hint="eastAsia" w:ascii="Times New Roman" w:hAnsi="Times New Roman"/>
                <w:snapToGrid w:val="0"/>
                <w:color w:val="000000" w:themeColor="text1"/>
                <w:szCs w:val="24"/>
                <w:highlight w:val="none"/>
                <w:lang w:val="en-US" w:eastAsia="zh-CN"/>
                <w14:textFill>
                  <w14:solidFill>
                    <w14:schemeClr w14:val="tx1"/>
                  </w14:solidFill>
                </w14:textFill>
              </w:rPr>
              <w:t>“</w:t>
            </w:r>
            <w:r>
              <w:rPr>
                <w:rFonts w:hint="default" w:ascii="Times New Roman" w:hAnsi="Times New Roman"/>
                <w:snapToGrid w:val="0"/>
                <w:color w:val="000000" w:themeColor="text1"/>
                <w:szCs w:val="24"/>
                <w:highlight w:val="none"/>
                <w:lang w:val="en-US" w:eastAsia="zh-CN"/>
                <w14:textFill>
                  <w14:solidFill>
                    <w14:schemeClr w14:val="tx1"/>
                  </w14:solidFill>
                </w14:textFill>
              </w:rPr>
              <w:t>水解酸化</w:t>
            </w:r>
            <w:r>
              <w:rPr>
                <w:rFonts w:hint="eastAsia" w:ascii="Times New Roman" w:hAnsi="Times New Roman"/>
                <w:snapToGrid w:val="0"/>
                <w:color w:val="000000" w:themeColor="text1"/>
                <w:szCs w:val="24"/>
                <w:highlight w:val="none"/>
                <w:lang w:val="en-US" w:eastAsia="zh-CN"/>
                <w14:textFill>
                  <w14:solidFill>
                    <w14:schemeClr w14:val="tx1"/>
                  </w14:solidFill>
                </w14:textFill>
              </w:rPr>
              <w:t>”</w:t>
            </w:r>
            <w:r>
              <w:rPr>
                <w:rFonts w:hint="default" w:ascii="Times New Roman" w:hAnsi="Times New Roman"/>
                <w:snapToGrid w:val="0"/>
                <w:color w:val="000000" w:themeColor="text1"/>
                <w:szCs w:val="24"/>
                <w:highlight w:val="none"/>
                <w:lang w:val="en-US" w:eastAsia="zh-CN"/>
                <w14:textFill>
                  <w14:solidFill>
                    <w14:schemeClr w14:val="tx1"/>
                  </w14:solidFill>
                </w14:textFill>
              </w:rPr>
              <w:t>工艺，参照</w:t>
            </w:r>
            <w:r>
              <w:rPr>
                <w:rFonts w:hint="default" w:ascii="Times New Roman" w:hAnsi="Times New Roman" w:cs="Times New Roman"/>
                <w:b w:val="0"/>
                <w:bCs w:val="0"/>
                <w:color w:val="000000" w:themeColor="text1"/>
                <w:vertAlign w:val="baseline"/>
                <w:lang w:val="en-US" w:eastAsia="zh-CN"/>
                <w14:textFill>
                  <w14:solidFill>
                    <w14:schemeClr w14:val="tx1"/>
                  </w14:solidFill>
                </w14:textFill>
              </w:rPr>
              <w:t>《排污许可证申请与核发技术规范 铁路、船舶、航空航天和其他运输设备制造业》（HJ1124-2020）</w:t>
            </w:r>
            <w:r>
              <w:rPr>
                <w:rFonts w:hint="default" w:ascii="Times New Roman" w:hAnsi="Times New Roman"/>
                <w:snapToGrid w:val="0"/>
                <w:color w:val="000000" w:themeColor="text1"/>
                <w:szCs w:val="24"/>
                <w:highlight w:val="none"/>
                <w:lang w:val="en-US" w:eastAsia="zh-CN"/>
                <w14:textFill>
                  <w14:solidFill>
                    <w14:schemeClr w14:val="tx1"/>
                  </w14:solidFill>
                </w14:textFill>
              </w:rPr>
              <w:t>，水解酸化工艺属于处理生活污水的推荐工艺，技术成熟，污染物可实现达标排放，且去除效果稳定，运行成本较低，操作容易。因此，在经济、技术上，该处理工艺合理可行。</w:t>
            </w:r>
          </w:p>
          <w:p w14:paraId="56FE1D62">
            <w:pPr>
              <w:pStyle w:val="19"/>
              <w:keepNext w:val="0"/>
              <w:keepLines w:val="0"/>
              <w:pageBreakBefore w:val="0"/>
              <w:suppressLineNumbers w:val="0"/>
              <w:kinsoku/>
              <w:wordWrap/>
              <w:overflowPunct/>
              <w:topLinePunct w:val="0"/>
              <w:bidi w:val="0"/>
              <w:spacing w:before="0" w:beforeAutospacing="0" w:after="0" w:afterAutospacing="0" w:line="360" w:lineRule="auto"/>
              <w:ind w:left="0" w:right="0" w:firstLine="482" w:firstLineChars="200"/>
              <w:jc w:val="both"/>
              <w:textAlignment w:val="auto"/>
              <w:outlineLvl w:val="0"/>
              <w:rPr>
                <w:rFonts w:hint="default" w:ascii="Times New Roman" w:hAnsi="Times New Roman"/>
                <w:b/>
                <w:bCs/>
                <w:snapToGrid w:val="0"/>
                <w:color w:val="000000" w:themeColor="text1"/>
                <w:szCs w:val="24"/>
                <w:highlight w:val="none"/>
                <w:lang w:val="en-US" w:eastAsia="zh-CN"/>
                <w14:textFill>
                  <w14:solidFill>
                    <w14:schemeClr w14:val="tx1"/>
                  </w14:solidFill>
                </w14:textFill>
              </w:rPr>
            </w:pPr>
            <w:r>
              <w:rPr>
                <w:rFonts w:hint="eastAsia" w:ascii="Times New Roman" w:hAnsi="Times New Roman"/>
                <w:b/>
                <w:bCs/>
                <w:snapToGrid w:val="0"/>
                <w:color w:val="000000" w:themeColor="text1"/>
                <w:szCs w:val="24"/>
                <w:highlight w:val="none"/>
                <w:lang w:val="en-US" w:eastAsia="zh-CN"/>
                <w14:textFill>
                  <w14:solidFill>
                    <w14:schemeClr w14:val="tx1"/>
                  </w14:solidFill>
                </w14:textFill>
              </w:rPr>
              <w:t>②依托污水处理可行性分析</w:t>
            </w:r>
          </w:p>
          <w:p w14:paraId="5B1D4AF3">
            <w:pPr>
              <w:adjustRightInd w:val="0"/>
              <w:snapToGrid w:val="0"/>
              <w:spacing w:line="460" w:lineRule="exact"/>
              <w:ind w:firstLine="460" w:firstLineChars="200"/>
              <w:rPr>
                <w:rFonts w:ascii="Times New Roman" w:hAnsi="Times New Roman"/>
                <w:color w:val="000000" w:themeColor="text1"/>
                <w:spacing w:val="-5"/>
                <w:szCs w:val="24"/>
                <w:highlight w:val="none"/>
                <w:lang w:val="en-US" w:eastAsia="zh-CN"/>
                <w14:textFill>
                  <w14:solidFill>
                    <w14:schemeClr w14:val="tx1"/>
                  </w14:solidFill>
                </w14:textFill>
              </w:rPr>
            </w:pPr>
            <w:r>
              <w:rPr>
                <w:rFonts w:hint="eastAsia" w:ascii="Times New Roman" w:hAnsi="Times New Roman"/>
                <w:color w:val="000000" w:themeColor="text1"/>
                <w:spacing w:val="-5"/>
                <w:sz w:val="24"/>
                <w:szCs w:val="24"/>
                <w:highlight w:val="none"/>
                <w:lang w:val="en-US" w:eastAsia="zh-CN"/>
                <w14:textFill>
                  <w14:solidFill>
                    <w14:schemeClr w14:val="tx1"/>
                  </w14:solidFill>
                </w14:textFill>
              </w:rPr>
              <w:t>本项目</w:t>
            </w:r>
            <w:r>
              <w:rPr>
                <w:rFonts w:ascii="Times New Roman" w:hAnsi="Times New Roman"/>
                <w:color w:val="000000" w:themeColor="text1"/>
                <w:spacing w:val="-5"/>
                <w:sz w:val="24"/>
                <w:szCs w:val="24"/>
                <w:highlight w:val="none"/>
                <w:lang w:val="en-US" w:eastAsia="zh-CN"/>
                <w14:textFill>
                  <w14:solidFill>
                    <w14:schemeClr w14:val="tx1"/>
                  </w14:solidFill>
                </w14:textFill>
              </w:rPr>
              <w:t>日</w:t>
            </w:r>
            <w:r>
              <w:rPr>
                <w:rFonts w:hint="eastAsia" w:ascii="Times New Roman" w:hAnsi="Times New Roman"/>
                <w:color w:val="000000" w:themeColor="text1"/>
                <w:spacing w:val="-5"/>
                <w:sz w:val="24"/>
                <w:szCs w:val="24"/>
                <w:highlight w:val="none"/>
                <w:lang w:val="en-US" w:eastAsia="zh-CN"/>
                <w14:textFill>
                  <w14:solidFill>
                    <w14:schemeClr w14:val="tx1"/>
                  </w14:solidFill>
                </w14:textFill>
              </w:rPr>
              <w:t>最大</w:t>
            </w:r>
            <w:r>
              <w:rPr>
                <w:rFonts w:ascii="Times New Roman" w:hAnsi="Times New Roman"/>
                <w:color w:val="000000" w:themeColor="text1"/>
                <w:spacing w:val="-5"/>
                <w:sz w:val="24"/>
                <w:szCs w:val="24"/>
                <w:highlight w:val="none"/>
                <w:lang w:val="en-US" w:eastAsia="zh-CN"/>
                <w14:textFill>
                  <w14:solidFill>
                    <w14:schemeClr w14:val="tx1"/>
                  </w14:solidFill>
                </w14:textFill>
              </w:rPr>
              <w:t>排水</w:t>
            </w:r>
            <w:r>
              <w:rPr>
                <w:rFonts w:hint="eastAsia"/>
                <w:color w:val="000000" w:themeColor="text1"/>
                <w:spacing w:val="-5"/>
                <w:sz w:val="24"/>
                <w:szCs w:val="24"/>
                <w:highlight w:val="none"/>
                <w:lang w:val="en-US" w:eastAsia="zh-CN"/>
                <w14:textFill>
                  <w14:solidFill>
                    <w14:schemeClr w14:val="tx1"/>
                  </w14:solidFill>
                </w14:textFill>
              </w:rPr>
              <w:t>10.99</w:t>
            </w:r>
            <w:r>
              <w:rPr>
                <w:rFonts w:ascii="Times New Roman" w:hAnsi="Times New Roman"/>
                <w:color w:val="000000" w:themeColor="text1"/>
                <w:spacing w:val="-5"/>
                <w:sz w:val="24"/>
                <w:szCs w:val="24"/>
                <w:highlight w:val="none"/>
                <w:lang w:val="en-US" w:eastAsia="zh-CN"/>
                <w14:textFill>
                  <w14:solidFill>
                    <w14:schemeClr w14:val="tx1"/>
                  </w14:solidFill>
                </w14:textFill>
              </w:rPr>
              <w:t>m</w:t>
            </w:r>
            <w:r>
              <w:rPr>
                <w:rFonts w:ascii="Times New Roman" w:hAnsi="Times New Roman"/>
                <w:color w:val="000000" w:themeColor="text1"/>
                <w:spacing w:val="-5"/>
                <w:sz w:val="24"/>
                <w:szCs w:val="24"/>
                <w:highlight w:val="none"/>
                <w:vertAlign w:val="superscript"/>
                <w:lang w:val="en-US" w:eastAsia="zh-CN"/>
                <w14:textFill>
                  <w14:solidFill>
                    <w14:schemeClr w14:val="tx1"/>
                  </w14:solidFill>
                </w14:textFill>
              </w:rPr>
              <w:t>3</w:t>
            </w:r>
            <w:r>
              <w:rPr>
                <w:rFonts w:ascii="Times New Roman" w:hAnsi="Times New Roman"/>
                <w:color w:val="000000" w:themeColor="text1"/>
                <w:spacing w:val="-5"/>
                <w:sz w:val="24"/>
                <w:szCs w:val="24"/>
                <w:highlight w:val="none"/>
                <w:lang w:val="en-US" w:eastAsia="zh-CN"/>
                <w14:textFill>
                  <w14:solidFill>
                    <w14:schemeClr w14:val="tx1"/>
                  </w14:solidFill>
                </w14:textFill>
              </w:rPr>
              <w:t>/d，废水主要污染物为</w:t>
            </w:r>
            <w:r>
              <w:rPr>
                <w:rFonts w:ascii="Times New Roman" w:hAnsi="Times New Roman"/>
                <w:snapToGrid w:val="0"/>
                <w:color w:val="000000" w:themeColor="text1"/>
                <w:sz w:val="24"/>
                <w:szCs w:val="24"/>
                <w:highlight w:val="none"/>
                <w:lang w:val="en-US" w:eastAsia="zh-CN"/>
                <w14:textFill>
                  <w14:solidFill>
                    <w14:schemeClr w14:val="tx1"/>
                  </w14:solidFill>
                </w14:textFill>
              </w:rPr>
              <w:t>pH、COD、BOD</w:t>
            </w:r>
            <w:r>
              <w:rPr>
                <w:rFonts w:ascii="Times New Roman" w:hAnsi="Times New Roman"/>
                <w:snapToGrid w:val="0"/>
                <w:color w:val="000000" w:themeColor="text1"/>
                <w:sz w:val="24"/>
                <w:szCs w:val="24"/>
                <w:highlight w:val="none"/>
                <w:vertAlign w:val="subscript"/>
                <w:lang w:val="en-US" w:eastAsia="zh-CN"/>
                <w14:textFill>
                  <w14:solidFill>
                    <w14:schemeClr w14:val="tx1"/>
                  </w14:solidFill>
                </w14:textFill>
              </w:rPr>
              <w:t>5</w:t>
            </w:r>
            <w:r>
              <w:rPr>
                <w:rFonts w:ascii="Times New Roman" w:hAnsi="Times New Roman"/>
                <w:snapToGrid w:val="0"/>
                <w:color w:val="000000" w:themeColor="text1"/>
                <w:sz w:val="24"/>
                <w:szCs w:val="24"/>
                <w:highlight w:val="none"/>
                <w:lang w:val="en-US" w:eastAsia="zh-CN"/>
                <w14:textFill>
                  <w14:solidFill>
                    <w14:schemeClr w14:val="tx1"/>
                  </w14:solidFill>
                </w14:textFill>
              </w:rPr>
              <w:t>、SS、TP、石油类</w:t>
            </w:r>
            <w:r>
              <w:rPr>
                <w:rFonts w:ascii="Times New Roman" w:hAnsi="Times New Roman"/>
                <w:color w:val="000000" w:themeColor="text1"/>
                <w:spacing w:val="-5"/>
                <w:sz w:val="24"/>
                <w:szCs w:val="24"/>
                <w:highlight w:val="none"/>
                <w:lang w:val="en-US" w:eastAsia="zh-CN"/>
                <w14:textFill>
                  <w14:solidFill>
                    <w14:schemeClr w14:val="tx1"/>
                  </w14:solidFill>
                </w14:textFill>
              </w:rPr>
              <w:t>等，水质较为简单，</w:t>
            </w:r>
            <w:r>
              <w:rPr>
                <w:color w:val="000000" w:themeColor="text1"/>
                <w:sz w:val="24"/>
                <w:highlight w:val="none"/>
                <w14:textFill>
                  <w14:solidFill>
                    <w14:schemeClr w14:val="tx1"/>
                  </w14:solidFill>
                </w14:textFill>
              </w:rPr>
              <w:t>生化池处理能力为</w:t>
            </w:r>
            <w:r>
              <w:rPr>
                <w:rFonts w:hint="eastAsia"/>
                <w:color w:val="000000" w:themeColor="text1"/>
                <w:sz w:val="24"/>
                <w:highlight w:val="none"/>
                <w:lang w:eastAsia="zh-CN"/>
                <w14:textFill>
                  <w14:solidFill>
                    <w14:schemeClr w14:val="tx1"/>
                  </w14:solidFill>
                </w14:textFill>
              </w:rPr>
              <w:t>1</w:t>
            </w:r>
            <w:r>
              <w:rPr>
                <w:rFonts w:hint="eastAsia"/>
                <w:color w:val="000000" w:themeColor="text1"/>
                <w:sz w:val="24"/>
                <w:highlight w:val="none"/>
                <w:lang w:val="en-US" w:eastAsia="zh-CN"/>
                <w14:textFill>
                  <w14:solidFill>
                    <w14:schemeClr w14:val="tx1"/>
                  </w14:solidFill>
                </w14:textFill>
              </w:rPr>
              <w:t>00</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/d，该生化池剩余处理能力约</w:t>
            </w:r>
            <w:r>
              <w:rPr>
                <w:rFonts w:hint="eastAsia"/>
                <w:color w:val="000000" w:themeColor="text1"/>
                <w:sz w:val="24"/>
                <w:highlight w:val="none"/>
                <w:lang w:eastAsia="zh-CN"/>
                <w14:textFill>
                  <w14:solidFill>
                    <w14:schemeClr w14:val="tx1"/>
                  </w14:solidFill>
                </w14:textFill>
              </w:rPr>
              <w:t>3</w:t>
            </w:r>
            <w:r>
              <w:rPr>
                <w:rFonts w:hint="eastAsia"/>
                <w:color w:val="000000" w:themeColor="text1"/>
                <w:sz w:val="24"/>
                <w:highlight w:val="none"/>
                <w:lang w:val="en-US" w:eastAsia="zh-CN"/>
                <w14:textFill>
                  <w14:solidFill>
                    <w14:schemeClr w14:val="tx1"/>
                  </w14:solidFill>
                </w14:textFill>
              </w:rPr>
              <w:t>0</w:t>
            </w:r>
            <w:r>
              <w:rPr>
                <w:color w:val="000000" w:themeColor="text1"/>
                <w:sz w:val="24"/>
                <w:highlight w:val="none"/>
                <w14:textFill>
                  <w14:solidFill>
                    <w14:schemeClr w14:val="tx1"/>
                  </w14:solidFill>
                </w14:textFill>
              </w:rPr>
              <w:t>m</w:t>
            </w:r>
            <w:r>
              <w:rPr>
                <w:color w:val="000000" w:themeColor="text1"/>
                <w:sz w:val="24"/>
                <w:highlight w:val="none"/>
                <w:vertAlign w:val="superscript"/>
                <w14:textFill>
                  <w14:solidFill>
                    <w14:schemeClr w14:val="tx1"/>
                  </w14:solidFill>
                </w14:textFill>
              </w:rPr>
              <w:t>3</w:t>
            </w:r>
            <w:r>
              <w:rPr>
                <w:color w:val="000000" w:themeColor="text1"/>
                <w:sz w:val="24"/>
                <w:highlight w:val="none"/>
                <w14:textFill>
                  <w14:solidFill>
                    <w14:schemeClr w14:val="tx1"/>
                  </w14:solidFill>
                </w14:textFill>
              </w:rPr>
              <w:t>/d，生化池可满足本项目废水的处理。生化池责任主体为</w:t>
            </w:r>
            <w:r>
              <w:rPr>
                <w:rFonts w:hint="eastAsia"/>
                <w:color w:val="000000" w:themeColor="text1"/>
                <w:sz w:val="24"/>
                <w:highlight w:val="none"/>
                <w14:textFill>
                  <w14:solidFill>
                    <w14:schemeClr w14:val="tx1"/>
                  </w14:solidFill>
                </w14:textFill>
              </w:rPr>
              <w:t>重庆市霞艺汽车配件制造有限公司</w:t>
            </w:r>
            <w:r>
              <w:rPr>
                <w:bCs/>
                <w:color w:val="000000" w:themeColor="text1"/>
                <w:sz w:val="24"/>
                <w:highlight w:val="none"/>
                <w14:textFill>
                  <w14:solidFill>
                    <w14:schemeClr w14:val="tx1"/>
                  </w14:solidFill>
                </w14:textFill>
              </w:rPr>
              <w:t>。</w:t>
            </w:r>
          </w:p>
          <w:p w14:paraId="05484EF5">
            <w:pPr>
              <w:pStyle w:val="19"/>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jc w:val="both"/>
              <w:textAlignment w:val="auto"/>
              <w:outlineLvl w:val="0"/>
              <w:rPr>
                <w:rFonts w:hint="eastAsia" w:ascii="Times New Roman" w:hAnsi="Times New Roman"/>
                <w:color w:val="000000" w:themeColor="text1"/>
                <w:sz w:val="24"/>
                <w:szCs w:val="24"/>
                <w14:textFill>
                  <w14:solidFill>
                    <w14:schemeClr w14:val="tx1"/>
                  </w14:solidFill>
                </w14:textFill>
              </w:rPr>
            </w:pPr>
            <w:r>
              <w:rPr>
                <w:rFonts w:hint="eastAsia"/>
                <w:color w:val="000000" w:themeColor="text1"/>
                <w:sz w:val="24"/>
                <w:highlight w:val="none"/>
                <w:lang w:val="en-US" w:eastAsia="zh-CN"/>
                <w14:textFill>
                  <w14:solidFill>
                    <w14:schemeClr w14:val="tx1"/>
                  </w14:solidFill>
                </w14:textFill>
              </w:rPr>
              <w:t>本</w:t>
            </w:r>
            <w:r>
              <w:rPr>
                <w:rFonts w:hint="eastAsia"/>
                <w:color w:val="000000" w:themeColor="text1"/>
                <w:sz w:val="24"/>
                <w:highlight w:val="none"/>
                <w:lang w:eastAsia="zh-CN"/>
                <w14:textFill>
                  <w14:solidFill>
                    <w14:schemeClr w14:val="tx1"/>
                  </w14:solidFill>
                </w14:textFill>
              </w:rPr>
              <w:t>项目</w:t>
            </w:r>
            <w:r>
              <w:rPr>
                <w:color w:val="000000" w:themeColor="text1"/>
                <w:sz w:val="24"/>
                <w:highlight w:val="none"/>
                <w14:textFill>
                  <w14:solidFill>
                    <w14:schemeClr w14:val="tx1"/>
                  </w14:solidFill>
                </w14:textFill>
              </w:rPr>
              <w:t>所在区域位于</w:t>
            </w:r>
            <w:r>
              <w:rPr>
                <w:rFonts w:eastAsia="宋体"/>
                <w:color w:val="000000" w:themeColor="text1"/>
                <w:sz w:val="24"/>
                <w14:textFill>
                  <w14:solidFill>
                    <w14:schemeClr w14:val="tx1"/>
                  </w14:solidFill>
                </w14:textFill>
              </w:rPr>
              <w:t>璧山区</w:t>
            </w:r>
            <w:r>
              <w:rPr>
                <w:rFonts w:hint="eastAsia"/>
                <w:color w:val="000000" w:themeColor="text1"/>
                <w:sz w:val="24"/>
                <w:highlight w:val="none"/>
                <w:lang w:val="en-US" w:eastAsia="zh-CN"/>
                <w14:textFill>
                  <w14:solidFill>
                    <w14:schemeClr w14:val="tx1"/>
                  </w14:solidFill>
                </w14:textFill>
              </w:rPr>
              <w:t>青杠</w:t>
            </w:r>
            <w:r>
              <w:rPr>
                <w:color w:val="000000" w:themeColor="text1"/>
                <w:sz w:val="24"/>
                <w:highlight w:val="none"/>
                <w14:textFill>
                  <w14:solidFill>
                    <w14:schemeClr w14:val="tx1"/>
                  </w14:solidFill>
                </w14:textFill>
              </w:rPr>
              <w:t>污水处理厂的纳污范围内，目前管网已铺设至项目所在地。</w:t>
            </w:r>
            <w:r>
              <w:rPr>
                <w:rFonts w:hint="default" w:ascii="Times New Roman" w:hAnsi="Times New Roman" w:eastAsia="宋体" w:cs="Times New Roman"/>
                <w:color w:val="000000" w:themeColor="text1"/>
                <w:sz w:val="24"/>
                <w14:textFill>
                  <w14:solidFill>
                    <w14:schemeClr w14:val="tx1"/>
                  </w14:solidFill>
                </w14:textFill>
              </w:rPr>
              <w:t>璧山区青杠污水处理厂位于青杠街道龙青路，占地1.6万平方米，总投资6000多万元，2015年3月开工建设，于2016年建设完成，2016年5月通过环境保护竣工验收。璧山区青杠污水处理厂采用较为先进的污水处理工艺A2/O+MBR，其设计规模为2.5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/d，排放的尾水COD、BOD</w:t>
            </w:r>
            <w:r>
              <w:rPr>
                <w:rFonts w:hint="default" w:ascii="Times New Roman" w:hAnsi="Times New Roman" w:eastAsia="宋体" w:cs="Times New Roman"/>
                <w:color w:val="000000" w:themeColor="text1"/>
                <w:sz w:val="24"/>
                <w:vertAlign w:val="subscript"/>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、NH</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-N、TP</w:t>
            </w:r>
            <w:r>
              <w:rPr>
                <w:rFonts w:hint="eastAsia" w:ascii="Times New Roman" w:hAnsi="Times New Roman" w:eastAsia="宋体" w:cs="Times New Roman"/>
                <w:color w:val="000000" w:themeColor="text1"/>
                <w:sz w:val="24"/>
                <w:lang w:val="en-US" w:eastAsia="zh-CN"/>
                <w14:textFill>
                  <w14:solidFill>
                    <w14:schemeClr w14:val="tx1"/>
                  </w14:solidFill>
                </w14:textFill>
              </w:rPr>
              <w:t>达</w:t>
            </w:r>
            <w:r>
              <w:rPr>
                <w:rFonts w:hint="default" w:ascii="Times New Roman" w:hAnsi="Times New Roman" w:eastAsia="宋体" w:cs="Times New Roman"/>
                <w:color w:val="000000" w:themeColor="text1"/>
                <w:sz w:val="24"/>
                <w14:textFill>
                  <w14:solidFill>
                    <w14:schemeClr w14:val="tx1"/>
                  </w14:solidFill>
                </w14:textFill>
              </w:rPr>
              <w:t>《地表水环境质量标准》（GB3838-2002）Ⅳ类水域标准，其余指标</w:t>
            </w:r>
            <w:r>
              <w:rPr>
                <w:rFonts w:hint="eastAsia" w:ascii="Times New Roman" w:hAnsi="Times New Roman" w:eastAsia="宋体" w:cs="Times New Roman"/>
                <w:color w:val="000000" w:themeColor="text1"/>
                <w:sz w:val="24"/>
                <w:lang w:val="en-US" w:eastAsia="zh-CN"/>
                <w14:textFill>
                  <w14:solidFill>
                    <w14:schemeClr w14:val="tx1"/>
                  </w14:solidFill>
                </w14:textFill>
              </w:rPr>
              <w:t>达</w:t>
            </w:r>
            <w:r>
              <w:rPr>
                <w:rFonts w:hint="default" w:ascii="Times New Roman" w:hAnsi="Times New Roman" w:eastAsia="宋体" w:cs="Times New Roman"/>
                <w:color w:val="000000" w:themeColor="text1"/>
                <w:sz w:val="24"/>
                <w14:textFill>
                  <w14:solidFill>
                    <w14:schemeClr w14:val="tx1"/>
                  </w14:solidFill>
                </w14:textFill>
              </w:rPr>
              <w:t>《城镇污水处理厂污染物排放标准》（GB18918-2002）一级A标准后</w:t>
            </w:r>
            <w:r>
              <w:rPr>
                <w:rFonts w:hint="eastAsia" w:ascii="Times New Roman" w:hAnsi="Times New Roman" w:eastAsia="宋体" w:cs="Times New Roman"/>
                <w:color w:val="000000" w:themeColor="text1"/>
                <w:sz w:val="24"/>
                <w:lang w:val="en-US" w:eastAsia="zh-CN"/>
                <w14:textFill>
                  <w14:solidFill>
                    <w14:schemeClr w14:val="tx1"/>
                  </w14:solidFill>
                </w14:textFill>
              </w:rPr>
              <w:t>外排至璧南河</w:t>
            </w:r>
            <w:r>
              <w:rPr>
                <w:rFonts w:hint="default" w:ascii="Times New Roman" w:hAnsi="Times New Roman" w:eastAsia="宋体" w:cs="Times New Roman"/>
                <w:color w:val="000000" w:themeColor="text1"/>
                <w:sz w:val="24"/>
                <w14:textFill>
                  <w14:solidFill>
                    <w14:schemeClr w14:val="tx1"/>
                  </w14:solidFill>
                </w14:textFill>
              </w:rPr>
              <w:t>。</w:t>
            </w:r>
          </w:p>
          <w:p w14:paraId="5DF66DBB">
            <w:pPr>
              <w:pStyle w:val="19"/>
              <w:keepNext w:val="0"/>
              <w:keepLines w:val="0"/>
              <w:pageBreakBefore w:val="0"/>
              <w:kinsoku/>
              <w:wordWrap/>
              <w:overflowPunct/>
              <w:topLinePunct w:val="0"/>
              <w:bidi w:val="0"/>
              <w:spacing w:before="0" w:beforeAutospacing="0" w:after="0" w:afterAutospacing="0" w:line="360" w:lineRule="auto"/>
              <w:ind w:firstLine="460" w:firstLineChars="200"/>
              <w:jc w:val="both"/>
              <w:textAlignment w:val="auto"/>
              <w:outlineLvl w:val="0"/>
              <w:rPr>
                <w:rFonts w:ascii="Times New Roman" w:hAnsi="Times New Roman"/>
                <w:color w:val="000000" w:themeColor="text1"/>
                <w:spacing w:val="-5"/>
                <w:szCs w:val="24"/>
                <w:highlight w:val="none"/>
                <w:lang w:val="en-US" w:eastAsia="zh-CN"/>
                <w14:textFill>
                  <w14:solidFill>
                    <w14:schemeClr w14:val="tx1"/>
                  </w14:solidFill>
                </w14:textFill>
              </w:rPr>
            </w:pPr>
            <w:r>
              <w:rPr>
                <w:rFonts w:hint="eastAsia" w:ascii="Times New Roman" w:hAnsi="Times New Roman"/>
                <w:color w:val="000000" w:themeColor="text1"/>
                <w:spacing w:val="-5"/>
                <w:szCs w:val="24"/>
                <w:highlight w:val="none"/>
                <w:lang w:val="en-US" w:eastAsia="zh-CN"/>
                <w14:textFill>
                  <w14:solidFill>
                    <w14:schemeClr w14:val="tx1"/>
                  </w14:solidFill>
                </w14:textFill>
              </w:rPr>
              <w:t>综上所述，本项目外排废水量、废水水质不会对青杠污水处理厂产生冲击，青杠污水处理厂采取的处理工艺能够满足本项目废水处理要求。因此，本项目废水排入青杠污水处理厂处理是可行的。</w:t>
            </w:r>
          </w:p>
          <w:p w14:paraId="15F71566">
            <w:pPr>
              <w:pStyle w:val="19"/>
              <w:keepNext w:val="0"/>
              <w:keepLines w:val="0"/>
              <w:suppressLineNumbers w:val="0"/>
              <w:spacing w:before="0" w:beforeAutospacing="0" w:after="0" w:afterAutospacing="0" w:line="460" w:lineRule="exact"/>
              <w:ind w:left="0" w:right="0"/>
              <w:jc w:val="both"/>
              <w:outlineLvl w:val="0"/>
              <w:rPr>
                <w:rFonts w:hint="default" w:ascii="Times New Roman" w:hAnsi="Times New Roman"/>
                <w:b/>
                <w:bCs/>
                <w:snapToGrid w:val="0"/>
                <w:color w:val="000000" w:themeColor="text1"/>
                <w:szCs w:val="24"/>
                <w:highlight w:val="none"/>
                <w:lang w:val="en-US" w:eastAsia="zh-CN"/>
                <w14:textFill>
                  <w14:solidFill>
                    <w14:schemeClr w14:val="tx1"/>
                  </w14:solidFill>
                </w14:textFill>
              </w:rPr>
            </w:pPr>
            <w:r>
              <w:rPr>
                <w:rFonts w:hint="eastAsia" w:ascii="Times New Roman" w:hAnsi="Times New Roman"/>
                <w:b/>
                <w:bCs/>
                <w:color w:val="000000" w:themeColor="text1"/>
                <w:sz w:val="24"/>
                <w:szCs w:val="24"/>
                <w:lang w:val="en-US" w:eastAsia="zh-CN"/>
                <w14:textFill>
                  <w14:solidFill>
                    <w14:schemeClr w14:val="tx1"/>
                  </w14:solidFill>
                </w14:textFill>
              </w:rPr>
              <w:t>2</w:t>
            </w: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环境影响分析</w:t>
            </w:r>
          </w:p>
          <w:p w14:paraId="7316B605">
            <w:pPr>
              <w:pStyle w:val="19"/>
              <w:keepNext w:val="0"/>
              <w:keepLines w:val="0"/>
              <w:pageBreakBefore w:val="0"/>
              <w:suppressLineNumbers w:val="0"/>
              <w:kinsoku/>
              <w:wordWrap/>
              <w:overflowPunct/>
              <w:topLinePunct w:val="0"/>
              <w:autoSpaceDE/>
              <w:autoSpaceDN/>
              <w:bidi w:val="0"/>
              <w:spacing w:before="0" w:beforeAutospacing="0" w:after="0" w:afterAutospacing="0" w:line="360" w:lineRule="auto"/>
              <w:ind w:left="0" w:right="0" w:firstLine="480" w:firstLineChars="200"/>
              <w:jc w:val="both"/>
              <w:textAlignment w:val="auto"/>
              <w:outlineLvl w:val="0"/>
              <w:rPr>
                <w:rFonts w:hint="default" w:ascii="Times New Roman" w:hAnsi="Times New Roman"/>
                <w:snapToGrid w:val="0"/>
                <w:color w:val="000000" w:themeColor="text1"/>
                <w:szCs w:val="24"/>
                <w:highlight w:val="none"/>
                <w:lang w:val="en-US" w:eastAsia="zh-CN"/>
                <w14:textFill>
                  <w14:solidFill>
                    <w14:schemeClr w14:val="tx1"/>
                  </w14:solidFill>
                </w14:textFill>
              </w:rPr>
            </w:pPr>
            <w:r>
              <w:rPr>
                <w:rFonts w:hint="default" w:ascii="Times New Roman" w:hAnsi="Times New Roman"/>
                <w:snapToGrid w:val="0"/>
                <w:color w:val="000000" w:themeColor="text1"/>
                <w:szCs w:val="24"/>
                <w:highlight w:val="none"/>
                <w:lang w:val="en-US" w:eastAsia="zh-CN"/>
                <w14:textFill>
                  <w14:solidFill>
                    <w14:schemeClr w14:val="tx1"/>
                  </w14:solidFill>
                </w14:textFill>
              </w:rPr>
              <w:t>项目产生污废水水质简单，污水量较少，不会对</w:t>
            </w:r>
            <w:r>
              <w:rPr>
                <w:rFonts w:hint="eastAsia" w:ascii="Times New Roman" w:hAnsi="Times New Roman"/>
                <w:color w:val="000000" w:themeColor="text1"/>
                <w:sz w:val="24"/>
                <w:szCs w:val="24"/>
                <w:lang w:eastAsia="zh-CN"/>
                <w14:textFill>
                  <w14:solidFill>
                    <w14:schemeClr w14:val="tx1"/>
                  </w14:solidFill>
                </w14:textFill>
              </w:rPr>
              <w:t>青杠</w:t>
            </w:r>
            <w:r>
              <w:rPr>
                <w:rFonts w:hint="eastAsia" w:ascii="Times New Roman" w:hAnsi="Times New Roman"/>
                <w:color w:val="000000" w:themeColor="text1"/>
                <w:sz w:val="24"/>
                <w:szCs w:val="24"/>
                <w14:textFill>
                  <w14:solidFill>
                    <w14:schemeClr w14:val="tx1"/>
                  </w14:solidFill>
                </w14:textFill>
              </w:rPr>
              <w:t>污水处理厂</w:t>
            </w:r>
            <w:r>
              <w:rPr>
                <w:rFonts w:hint="default" w:ascii="Times New Roman" w:hAnsi="Times New Roman"/>
                <w:snapToGrid w:val="0"/>
                <w:color w:val="000000" w:themeColor="text1"/>
                <w:szCs w:val="24"/>
                <w:highlight w:val="none"/>
                <w:lang w:val="en-US" w:eastAsia="zh-CN"/>
                <w14:textFill>
                  <w14:solidFill>
                    <w14:schemeClr w14:val="tx1"/>
                  </w14:solidFill>
                </w14:textFill>
              </w:rPr>
              <w:t>的正常运行产生影响，排水经</w:t>
            </w:r>
            <w:r>
              <w:rPr>
                <w:rFonts w:hint="eastAsia" w:ascii="Times New Roman" w:hAnsi="Times New Roman"/>
                <w:color w:val="000000" w:themeColor="text1"/>
                <w:sz w:val="24"/>
                <w:szCs w:val="24"/>
                <w:lang w:eastAsia="zh-CN"/>
                <w14:textFill>
                  <w14:solidFill>
                    <w14:schemeClr w14:val="tx1"/>
                  </w14:solidFill>
                </w14:textFill>
              </w:rPr>
              <w:t>青杠</w:t>
            </w:r>
            <w:r>
              <w:rPr>
                <w:rFonts w:hint="eastAsia" w:ascii="Times New Roman" w:hAnsi="Times New Roman"/>
                <w:color w:val="000000" w:themeColor="text1"/>
                <w:sz w:val="24"/>
                <w:szCs w:val="24"/>
                <w14:textFill>
                  <w14:solidFill>
                    <w14:schemeClr w14:val="tx1"/>
                  </w14:solidFill>
                </w14:textFill>
              </w:rPr>
              <w:t>污水处理厂</w:t>
            </w:r>
            <w:r>
              <w:rPr>
                <w:rFonts w:hint="default" w:ascii="Times New Roman" w:hAnsi="Times New Roman"/>
                <w:snapToGrid w:val="0"/>
                <w:color w:val="000000" w:themeColor="text1"/>
                <w:szCs w:val="24"/>
                <w:highlight w:val="none"/>
                <w:lang w:val="en-US" w:eastAsia="zh-CN"/>
                <w14:textFill>
                  <w14:solidFill>
                    <w14:schemeClr w14:val="tx1"/>
                  </w14:solidFill>
                </w14:textFill>
              </w:rPr>
              <w:t>深度处理后达标排放，对地表水环境影响较小。</w:t>
            </w:r>
          </w:p>
          <w:p w14:paraId="47BCD6AB">
            <w:pPr>
              <w:pStyle w:val="16"/>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textAlignment w:val="auto"/>
              <w:rPr>
                <w:rFonts w:hint="default"/>
                <w:b/>
                <w:bCs/>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2.</w:t>
            </w:r>
            <w:r>
              <w:rPr>
                <w:rFonts w:hint="eastAsia"/>
                <w:b/>
                <w:bCs/>
                <w:color w:val="000000" w:themeColor="text1"/>
                <w:sz w:val="24"/>
                <w:szCs w:val="24"/>
                <w:lang w:val="en-US" w:eastAsia="zh-CN"/>
                <w14:textFill>
                  <w14:solidFill>
                    <w14:schemeClr w14:val="tx1"/>
                  </w14:solidFill>
                </w14:textFill>
              </w:rPr>
              <w:t>5</w:t>
            </w:r>
            <w:r>
              <w:rPr>
                <w:rFonts w:hint="default"/>
                <w:b/>
                <w:bCs/>
                <w:color w:val="000000" w:themeColor="text1"/>
                <w:sz w:val="24"/>
                <w:szCs w:val="24"/>
                <w14:textFill>
                  <w14:solidFill>
                    <w14:schemeClr w14:val="tx1"/>
                  </w14:solidFill>
                </w14:textFill>
              </w:rPr>
              <w:t>、监测要求</w:t>
            </w:r>
          </w:p>
          <w:p w14:paraId="4C1785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b/>
                <w:bCs/>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参考</w:t>
            </w:r>
            <w:r>
              <w:rPr>
                <w:rFonts w:hint="default"/>
                <w:color w:val="000000" w:themeColor="text1"/>
                <w:sz w:val="24"/>
                <w:szCs w:val="24"/>
                <w14:textFill>
                  <w14:solidFill>
                    <w14:schemeClr w14:val="tx1"/>
                  </w14:solidFill>
                </w14:textFill>
              </w:rPr>
              <w:t>《排污单位自行监测技术指南 总则》（HJ</w:t>
            </w:r>
            <w:r>
              <w:rPr>
                <w:rFonts w:hint="eastAsia"/>
                <w:color w:val="000000" w:themeColor="text1"/>
                <w:sz w:val="24"/>
                <w:szCs w:val="24"/>
                <w:lang w:val="en-US" w:eastAsia="zh-CN"/>
                <w14:textFill>
                  <w14:solidFill>
                    <w14:schemeClr w14:val="tx1"/>
                  </w14:solidFill>
                </w14:textFill>
              </w:rPr>
              <w:t xml:space="preserve"> </w:t>
            </w:r>
            <w:r>
              <w:rPr>
                <w:rFonts w:hint="default"/>
                <w:color w:val="000000" w:themeColor="text1"/>
                <w:sz w:val="24"/>
                <w:szCs w:val="24"/>
                <w14:textFill>
                  <w14:solidFill>
                    <w14:schemeClr w14:val="tx1"/>
                  </w14:solidFill>
                </w14:textFill>
              </w:rPr>
              <w:t>819-2017）</w:t>
            </w:r>
            <w:r>
              <w:rPr>
                <w:rFonts w:hint="eastAsia"/>
                <w:color w:val="000000" w:themeColor="text1"/>
                <w:sz w:val="24"/>
                <w:szCs w:val="24"/>
                <w:lang w:eastAsia="zh-CN"/>
                <w14:textFill>
                  <w14:solidFill>
                    <w14:schemeClr w14:val="tx1"/>
                  </w14:solidFill>
                </w14:textFill>
              </w:rPr>
              <w:t>、《排污单位自行监测技术指南涂装》（HJ 1086-2020）</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《排污许可证申请与核发技术规范铁路、船舶、航空航天和其他运输设备制造业》（HJ</w:t>
            </w:r>
            <w:r>
              <w:rPr>
                <w:rFonts w:hint="eastAsia"/>
                <w:color w:val="000000" w:themeColor="text1"/>
                <w:sz w:val="24"/>
                <w:lang w:val="en-US" w:eastAsia="zh-CN"/>
                <w14:textFill>
                  <w14:solidFill>
                    <w14:schemeClr w14:val="tx1"/>
                  </w14:solidFill>
                </w14:textFill>
              </w:rPr>
              <w:t xml:space="preserve"> </w:t>
            </w:r>
            <w:r>
              <w:rPr>
                <w:rFonts w:hint="eastAsia"/>
                <w:color w:val="000000" w:themeColor="text1"/>
                <w:sz w:val="24"/>
                <w14:textFill>
                  <w14:solidFill>
                    <w14:schemeClr w14:val="tx1"/>
                  </w14:solidFill>
                </w14:textFill>
              </w:rPr>
              <w:t>1124-2020）</w:t>
            </w:r>
            <w:r>
              <w:rPr>
                <w:rFonts w:hint="eastAsia"/>
                <w:color w:val="000000" w:themeColor="text1"/>
                <w:sz w:val="24"/>
                <w:szCs w:val="24"/>
                <w:lang w:val="en-US" w:eastAsia="zh-CN"/>
                <w14:textFill>
                  <w14:solidFill>
                    <w14:schemeClr w14:val="tx1"/>
                  </w14:solidFill>
                </w14:textFill>
              </w:rPr>
              <w:t>等文件要求</w:t>
            </w:r>
            <w:r>
              <w:rPr>
                <w:rFonts w:hint="default"/>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本</w:t>
            </w:r>
            <w:r>
              <w:rPr>
                <w:rFonts w:hint="default"/>
                <w:color w:val="000000" w:themeColor="text1"/>
                <w:sz w:val="24"/>
                <w:szCs w:val="24"/>
                <w14:textFill>
                  <w14:solidFill>
                    <w14:schemeClr w14:val="tx1"/>
                  </w14:solidFill>
                </w14:textFill>
              </w:rPr>
              <w:t>项目废水监测要求见表4-</w:t>
            </w:r>
            <w:r>
              <w:rPr>
                <w:rFonts w:hint="eastAsia"/>
                <w:color w:val="000000" w:themeColor="text1"/>
                <w:sz w:val="24"/>
                <w:szCs w:val="24"/>
                <w:lang w:val="en-US" w:eastAsia="zh-CN"/>
                <w14:textFill>
                  <w14:solidFill>
                    <w14:schemeClr w14:val="tx1"/>
                  </w14:solidFill>
                </w14:textFill>
              </w:rPr>
              <w:t>9</w:t>
            </w:r>
            <w:r>
              <w:rPr>
                <w:rFonts w:hint="eastAsia"/>
                <w:color w:val="000000" w:themeColor="text1"/>
                <w:sz w:val="24"/>
                <w:szCs w:val="24"/>
                <w14:textFill>
                  <w14:solidFill>
                    <w14:schemeClr w14:val="tx1"/>
                  </w14:solidFill>
                </w14:textFill>
              </w:rPr>
              <w:t>。</w:t>
            </w:r>
          </w:p>
          <w:p w14:paraId="5C6FDC71">
            <w:pPr>
              <w:keepNext w:val="0"/>
              <w:keepLines w:val="0"/>
              <w:suppressLineNumbers w:val="0"/>
              <w:adjustRightInd w:val="0"/>
              <w:snapToGrid w:val="0"/>
              <w:spacing w:before="0" w:beforeAutospacing="0" w:after="0" w:afterAutospacing="0"/>
              <w:ind w:left="0" w:right="0"/>
              <w:jc w:val="center"/>
              <w:rPr>
                <w:rFonts w:hint="default"/>
                <w:b/>
                <w:bCs/>
                <w:color w:val="000000" w:themeColor="text1"/>
                <w:sz w:val="24"/>
                <w:szCs w:val="24"/>
                <w14:textFill>
                  <w14:solidFill>
                    <w14:schemeClr w14:val="tx1"/>
                  </w14:solidFill>
                </w14:textFill>
              </w:rPr>
            </w:pPr>
            <w:r>
              <w:rPr>
                <w:rFonts w:hint="default"/>
                <w:b/>
                <w:bCs/>
                <w:color w:val="000000" w:themeColor="text1"/>
                <w:sz w:val="24"/>
                <w:szCs w:val="24"/>
                <w14:textFill>
                  <w14:solidFill>
                    <w14:schemeClr w14:val="tx1"/>
                  </w14:solidFill>
                </w14:textFill>
              </w:rPr>
              <w:t>表4-</w:t>
            </w:r>
            <w:r>
              <w:rPr>
                <w:rFonts w:hint="eastAsia"/>
                <w:b/>
                <w:bCs/>
                <w:color w:val="000000" w:themeColor="text1"/>
                <w:sz w:val="24"/>
                <w:szCs w:val="24"/>
                <w:lang w:val="en-US" w:eastAsia="zh-CN"/>
                <w14:textFill>
                  <w14:solidFill>
                    <w14:schemeClr w14:val="tx1"/>
                  </w14:solidFill>
                </w14:textFill>
              </w:rPr>
              <w:t>9</w:t>
            </w:r>
            <w:r>
              <w:rPr>
                <w:rFonts w:hint="default"/>
                <w:b/>
                <w:bCs/>
                <w:color w:val="000000" w:themeColor="text1"/>
                <w:sz w:val="24"/>
                <w:szCs w:val="24"/>
                <w14:textFill>
                  <w14:solidFill>
                    <w14:schemeClr w14:val="tx1"/>
                  </w14:solidFill>
                </w14:textFill>
              </w:rPr>
              <w:t xml:space="preserve"> 废水监测要求一览表</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1440"/>
              <w:gridCol w:w="890"/>
              <w:gridCol w:w="1410"/>
              <w:gridCol w:w="3274"/>
            </w:tblGrid>
            <w:tr w14:paraId="29FE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3" w:type="dxa"/>
                  <w:vAlign w:val="center"/>
                </w:tcPr>
                <w:p w14:paraId="7E919AB3">
                  <w:pPr>
                    <w:keepNext w:val="0"/>
                    <w:keepLines w:val="0"/>
                    <w:suppressLineNumbers w:val="0"/>
                    <w:adjustRightInd w:val="0"/>
                    <w:snapToGrid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监测点位</w:t>
                  </w:r>
                </w:p>
              </w:tc>
              <w:tc>
                <w:tcPr>
                  <w:tcW w:w="1440" w:type="dxa"/>
                  <w:vAlign w:val="center"/>
                </w:tcPr>
                <w:p w14:paraId="16DC73D6">
                  <w:pPr>
                    <w:keepNext w:val="0"/>
                    <w:keepLines w:val="0"/>
                    <w:suppressLineNumbers w:val="0"/>
                    <w:adjustRightInd w:val="0"/>
                    <w:snapToGrid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监测因子</w:t>
                  </w:r>
                </w:p>
              </w:tc>
              <w:tc>
                <w:tcPr>
                  <w:tcW w:w="890" w:type="dxa"/>
                  <w:vAlign w:val="center"/>
                </w:tcPr>
                <w:p w14:paraId="301A07B7">
                  <w:pPr>
                    <w:keepNext w:val="0"/>
                    <w:keepLines w:val="0"/>
                    <w:suppressLineNumbers w:val="0"/>
                    <w:adjustRightInd w:val="0"/>
                    <w:snapToGrid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排放口类型</w:t>
                  </w:r>
                </w:p>
              </w:tc>
              <w:tc>
                <w:tcPr>
                  <w:tcW w:w="1410" w:type="dxa"/>
                  <w:vAlign w:val="center"/>
                </w:tcPr>
                <w:p w14:paraId="7EE2D46D">
                  <w:pPr>
                    <w:keepNext w:val="0"/>
                    <w:keepLines w:val="0"/>
                    <w:suppressLineNumbers w:val="0"/>
                    <w:adjustRightInd w:val="0"/>
                    <w:snapToGrid w:val="0"/>
                    <w:spacing w:before="0" w:beforeAutospacing="0" w:after="0" w:afterAutospacing="0"/>
                    <w:ind w:left="0" w:right="0"/>
                    <w:jc w:val="center"/>
                    <w:rPr>
                      <w:rFonts w:hint="default"/>
                      <w:b/>
                      <w:bCs/>
                      <w:color w:val="000000" w:themeColor="text1"/>
                      <w:sz w:val="21"/>
                      <w:szCs w:val="21"/>
                      <w14:textFill>
                        <w14:solidFill>
                          <w14:schemeClr w14:val="tx1"/>
                        </w14:solidFill>
                      </w14:textFill>
                    </w:rPr>
                  </w:pPr>
                  <w:r>
                    <w:rPr>
                      <w:rFonts w:hint="default"/>
                      <w:b/>
                      <w:bCs/>
                      <w:color w:val="000000" w:themeColor="text1"/>
                      <w:sz w:val="21"/>
                      <w:szCs w:val="21"/>
                      <w14:textFill>
                        <w14:solidFill>
                          <w14:schemeClr w14:val="tx1"/>
                        </w14:solidFill>
                      </w14:textFill>
                    </w:rPr>
                    <w:t>监测频次（间接排放）</w:t>
                  </w:r>
                </w:p>
              </w:tc>
              <w:tc>
                <w:tcPr>
                  <w:tcW w:w="3274" w:type="dxa"/>
                  <w:vAlign w:val="center"/>
                </w:tcPr>
                <w:p w14:paraId="2EB491AF">
                  <w:pPr>
                    <w:keepNext w:val="0"/>
                    <w:keepLines w:val="0"/>
                    <w:suppressLineNumbers w:val="0"/>
                    <w:adjustRightInd w:val="0"/>
                    <w:snapToGrid w:val="0"/>
                    <w:spacing w:before="0" w:beforeAutospacing="0" w:after="0" w:afterAutospacing="0"/>
                    <w:ind w:left="0" w:right="0"/>
                    <w:jc w:val="center"/>
                    <w:rPr>
                      <w:rFonts w:hint="default"/>
                      <w:b/>
                      <w:bCs/>
                      <w:color w:val="000000" w:themeColor="text1"/>
                      <w:sz w:val="21"/>
                      <w:szCs w:val="21"/>
                      <w:lang w:val="en-US" w:eastAsia="zh-CN"/>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执行标准</w:t>
                  </w:r>
                </w:p>
              </w:tc>
            </w:tr>
            <w:tr w14:paraId="77B4B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3" w:type="dxa"/>
                  <w:vAlign w:val="center"/>
                </w:tcPr>
                <w:p w14:paraId="4F59CC85">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生化池排放口</w:t>
                  </w:r>
                </w:p>
              </w:tc>
              <w:tc>
                <w:tcPr>
                  <w:tcW w:w="1440" w:type="dxa"/>
                  <w:vAlign w:val="center"/>
                </w:tcPr>
                <w:p w14:paraId="0F45E207">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BOD</w:t>
                  </w:r>
                  <w:r>
                    <w:rPr>
                      <w:rFonts w:hint="default" w:ascii="Times New Roman" w:hAnsi="Times New Roman" w:cs="Times New Roman"/>
                      <w:color w:val="000000" w:themeColor="text1"/>
                      <w:sz w:val="21"/>
                      <w:szCs w:val="21"/>
                      <w:vertAlign w:val="subscript"/>
                      <w14:textFill>
                        <w14:solidFill>
                          <w14:schemeClr w14:val="tx1"/>
                        </w14:solidFill>
                      </w14:textFill>
                    </w:rPr>
                    <w:t>5</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SS</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总磷</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石油类</w:t>
                  </w:r>
                </w:p>
              </w:tc>
              <w:tc>
                <w:tcPr>
                  <w:tcW w:w="890" w:type="dxa"/>
                  <w:vAlign w:val="center"/>
                </w:tcPr>
                <w:p w14:paraId="60CBD826">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default"/>
                      <w:color w:val="000000" w:themeColor="text1"/>
                      <w:sz w:val="21"/>
                      <w:szCs w:val="21"/>
                      <w14:textFill>
                        <w14:solidFill>
                          <w14:schemeClr w14:val="tx1"/>
                        </w14:solidFill>
                      </w14:textFill>
                    </w:rPr>
                    <w:t>一般排放口</w:t>
                  </w:r>
                </w:p>
              </w:tc>
              <w:tc>
                <w:tcPr>
                  <w:tcW w:w="1410" w:type="dxa"/>
                  <w:vAlign w:val="center"/>
                </w:tcPr>
                <w:p w14:paraId="5A4E0D24">
                  <w:pPr>
                    <w:keepNext w:val="0"/>
                    <w:keepLines w:val="0"/>
                    <w:suppressLineNumbers w:val="0"/>
                    <w:adjustRightInd w:val="0"/>
                    <w:snapToGrid w:val="0"/>
                    <w:spacing w:before="0" w:beforeAutospacing="0" w:after="0" w:afterAutospacing="0"/>
                    <w:ind w:left="0" w:right="0"/>
                    <w:jc w:val="center"/>
                    <w:rPr>
                      <w:rFonts w:hint="default"/>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验收时一次，</w:t>
                  </w:r>
                  <w:r>
                    <w:rPr>
                      <w:rFonts w:hint="eastAsia"/>
                      <w:color w:val="000000" w:themeColor="text1"/>
                      <w:sz w:val="21"/>
                      <w:szCs w:val="21"/>
                      <w:lang w:val="en-US" w:eastAsia="zh-CN"/>
                      <w14:textFill>
                        <w14:solidFill>
                          <w14:schemeClr w14:val="tx1"/>
                        </w14:solidFill>
                      </w14:textFill>
                    </w:rPr>
                    <w:t>营运期半</w:t>
                  </w:r>
                  <w:r>
                    <w:rPr>
                      <w:rFonts w:hint="eastAsia"/>
                      <w:color w:val="000000" w:themeColor="text1"/>
                      <w:sz w:val="21"/>
                      <w:szCs w:val="21"/>
                      <w14:textFill>
                        <w14:solidFill>
                          <w14:schemeClr w14:val="tx1"/>
                        </w14:solidFill>
                      </w14:textFill>
                    </w:rPr>
                    <w:t>年/次</w:t>
                  </w:r>
                </w:p>
              </w:tc>
              <w:tc>
                <w:tcPr>
                  <w:tcW w:w="3274" w:type="dxa"/>
                  <w:vAlign w:val="center"/>
                </w:tcPr>
                <w:p w14:paraId="3CB2300A">
                  <w:pPr>
                    <w:keepNext w:val="0"/>
                    <w:keepLines w:val="0"/>
                    <w:suppressLineNumbers w:val="0"/>
                    <w:adjustRightInd w:val="0"/>
                    <w:snapToGrid w:val="0"/>
                    <w:spacing w:before="0" w:beforeAutospacing="0" w:after="0" w:afterAutospacing="0"/>
                    <w:ind w:left="0" w:right="0"/>
                    <w:jc w:val="both"/>
                    <w:rPr>
                      <w:rFonts w:hint="eastAsia"/>
                      <w:b/>
                      <w:bCs/>
                      <w:color w:val="000000" w:themeColor="text1"/>
                      <w:sz w:val="21"/>
                      <w:szCs w:val="21"/>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《污水综合排放标准》（GB 8978-1996）表4三级标准，氨氮、总磷参照执行《污水排入城镇下水道水质标准》（GB/T31962-2015）B 级标准</w:t>
                  </w:r>
                </w:p>
              </w:tc>
            </w:tr>
          </w:tbl>
          <w:p w14:paraId="7F59E339">
            <w:pPr>
              <w:keepNext w:val="0"/>
              <w:keepLines w:val="0"/>
              <w:suppressLineNumbers w:val="0"/>
              <w:adjustRightInd w:val="0"/>
              <w:snapToGrid w:val="0"/>
              <w:spacing w:before="0" w:beforeLines="50" w:beforeAutospacing="0" w:after="0" w:afterAutospacing="0" w:line="360" w:lineRule="auto"/>
              <w:ind w:left="0" w:right="0"/>
              <w:rPr>
                <w:rFonts w:hint="default"/>
                <w:b/>
                <w:color w:val="000000" w:themeColor="text1"/>
                <w:spacing w:val="-10"/>
                <w:sz w:val="24"/>
                <w:szCs w:val="24"/>
                <w14:textFill>
                  <w14:solidFill>
                    <w14:schemeClr w14:val="tx1"/>
                  </w14:solidFill>
                </w14:textFill>
              </w:rPr>
            </w:pPr>
            <w:r>
              <w:rPr>
                <w:rFonts w:hint="default"/>
                <w:b/>
                <w:color w:val="000000" w:themeColor="text1"/>
                <w:spacing w:val="-10"/>
                <w:sz w:val="24"/>
                <w:szCs w:val="24"/>
                <w14:textFill>
                  <w14:solidFill>
                    <w14:schemeClr w14:val="tx1"/>
                  </w14:solidFill>
                </w14:textFill>
              </w:rPr>
              <w:t>3、噪声</w:t>
            </w:r>
          </w:p>
          <w:p w14:paraId="5F8AC48B">
            <w:pPr>
              <w:keepNext w:val="0"/>
              <w:keepLines w:val="0"/>
              <w:suppressLineNumbers w:val="0"/>
              <w:adjustRightInd w:val="0"/>
              <w:snapToGrid w:val="0"/>
              <w:spacing w:before="0" w:beforeAutospacing="0" w:after="0" w:afterAutospacing="0" w:line="360" w:lineRule="auto"/>
              <w:ind w:left="0" w:right="0"/>
              <w:rPr>
                <w:rFonts w:hint="default"/>
                <w:b/>
                <w:color w:val="000000" w:themeColor="text1"/>
                <w:spacing w:val="-10"/>
                <w:sz w:val="24"/>
                <w:szCs w:val="24"/>
                <w14:textFill>
                  <w14:solidFill>
                    <w14:schemeClr w14:val="tx1"/>
                  </w14:solidFill>
                </w14:textFill>
              </w:rPr>
            </w:pPr>
            <w:r>
              <w:rPr>
                <w:rFonts w:hint="default"/>
                <w:b/>
                <w:color w:val="000000" w:themeColor="text1"/>
                <w:spacing w:val="-10"/>
                <w:sz w:val="24"/>
                <w:szCs w:val="24"/>
                <w14:textFill>
                  <w14:solidFill>
                    <w14:schemeClr w14:val="tx1"/>
                  </w14:solidFill>
                </w14:textFill>
              </w:rPr>
              <w:t>3.1、噪声源强及降噪措施</w:t>
            </w:r>
          </w:p>
          <w:p w14:paraId="15F78740">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themeColor="text1"/>
                <w:kern w:val="0"/>
                <w:sz w:val="24"/>
                <w:szCs w:val="24"/>
                <w14:textFill>
                  <w14:solidFill>
                    <w14:schemeClr w14:val="tx1"/>
                  </w14:solidFill>
                </w14:textFill>
              </w:rPr>
            </w:pPr>
            <w:r>
              <w:rPr>
                <w:rFonts w:hint="default"/>
                <w:color w:val="000000" w:themeColor="text1"/>
                <w:sz w:val="24"/>
                <w:szCs w:val="24"/>
                <w14:textFill>
                  <w14:solidFill>
                    <w14:schemeClr w14:val="tx1"/>
                  </w14:solidFill>
                </w14:textFill>
              </w:rPr>
              <w:t>项目运营期间噪声主要来自各种生产设备运行时产生的噪声，</w:t>
            </w:r>
            <w:r>
              <w:rPr>
                <w:rFonts w:hint="eastAsia"/>
                <w:color w:val="000000" w:themeColor="text1"/>
                <w:sz w:val="24"/>
                <w:szCs w:val="24"/>
                <w14:textFill>
                  <w14:solidFill>
                    <w14:schemeClr w14:val="tx1"/>
                  </w14:solidFill>
                </w14:textFill>
              </w:rPr>
              <w:t>其</w:t>
            </w:r>
            <w:r>
              <w:rPr>
                <w:rFonts w:hint="default"/>
                <w:color w:val="000000" w:themeColor="text1"/>
                <w:sz w:val="24"/>
                <w:szCs w:val="24"/>
                <w14:textFill>
                  <w14:solidFill>
                    <w14:schemeClr w14:val="tx1"/>
                  </w14:solidFill>
                </w14:textFill>
              </w:rPr>
              <w:t>噪声值约为</w:t>
            </w:r>
            <w:r>
              <w:rPr>
                <w:rFonts w:hint="eastAsia"/>
                <w:color w:val="000000" w:themeColor="text1"/>
                <w:sz w:val="24"/>
                <w:szCs w:val="24"/>
                <w:lang w:val="en-US" w:eastAsia="zh-CN"/>
                <w14:textFill>
                  <w14:solidFill>
                    <w14:schemeClr w14:val="tx1"/>
                  </w14:solidFill>
                </w14:textFill>
              </w:rPr>
              <w:t>85~90</w:t>
            </w:r>
            <w:r>
              <w:rPr>
                <w:rFonts w:hint="default"/>
                <w:color w:val="000000" w:themeColor="text1"/>
                <w:sz w:val="24"/>
                <w:szCs w:val="24"/>
                <w14:textFill>
                  <w14:solidFill>
                    <w14:schemeClr w14:val="tx1"/>
                  </w14:solidFill>
                </w14:textFill>
              </w:rPr>
              <w:t>dB（A），通过在设备基座与基础之间设橡胶隔振垫、厂房隔声等降噪措施可削弱噪声源强约15~20dB（A），降低噪声的影响。</w:t>
            </w:r>
            <w:r>
              <w:rPr>
                <w:rFonts w:hint="eastAsia"/>
                <w:color w:val="000000" w:themeColor="text1"/>
                <w:sz w:val="24"/>
                <w:szCs w:val="24"/>
                <w14:textFill>
                  <w14:solidFill>
                    <w14:schemeClr w14:val="tx1"/>
                  </w14:solidFill>
                </w14:textFill>
              </w:rPr>
              <w:t>本项目生产设备主要布置在生产车间内，对生产车间采取隔声、减振等降噪措施。通过采取以上措施后，噪声将减缓</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项目位于2F，生产设备均位于室内，无室外声源</w:t>
            </w:r>
            <w:r>
              <w:rPr>
                <w:rFonts w:hint="eastAsia"/>
                <w:color w:val="000000" w:themeColor="text1"/>
                <w:sz w:val="24"/>
                <w:szCs w:val="24"/>
                <w14:textFill>
                  <w14:solidFill>
                    <w14:schemeClr w14:val="tx1"/>
                  </w14:solidFill>
                </w14:textFill>
              </w:rPr>
              <w:t>。</w:t>
            </w:r>
            <w:r>
              <w:rPr>
                <w:rFonts w:hint="default"/>
                <w:color w:val="000000" w:themeColor="text1"/>
                <w:sz w:val="24"/>
                <w:szCs w:val="24"/>
                <w14:textFill>
                  <w14:solidFill>
                    <w14:schemeClr w14:val="tx1"/>
                  </w14:solidFill>
                </w14:textFill>
              </w:rPr>
              <w:t>根据《环境影响评价技术导则 声环境》（HJ2.4</w:t>
            </w:r>
            <w:r>
              <w:rPr>
                <w:rFonts w:hint="eastAsia"/>
                <w:color w:val="000000" w:themeColor="text1"/>
                <w:sz w:val="24"/>
                <w:szCs w:val="24"/>
                <w14:textFill>
                  <w14:solidFill>
                    <w14:schemeClr w14:val="tx1"/>
                  </w14:solidFill>
                </w14:textFill>
              </w:rPr>
              <w:t>-</w:t>
            </w:r>
            <w:r>
              <w:rPr>
                <w:rFonts w:hint="default"/>
                <w:color w:val="000000" w:themeColor="text1"/>
                <w:sz w:val="24"/>
                <w:szCs w:val="24"/>
                <w14:textFill>
                  <w14:solidFill>
                    <w14:schemeClr w14:val="tx1"/>
                  </w14:solidFill>
                </w14:textFill>
              </w:rPr>
              <w:t>2021），本项目噪声源强调查清单见表4-</w:t>
            </w:r>
            <w:r>
              <w:rPr>
                <w:rFonts w:hint="eastAsia"/>
                <w:color w:val="000000" w:themeColor="text1"/>
                <w:sz w:val="24"/>
                <w:szCs w:val="24"/>
                <w:lang w:val="en-US" w:eastAsia="zh-CN"/>
                <w14:textFill>
                  <w14:solidFill>
                    <w14:schemeClr w14:val="tx1"/>
                  </w14:solidFill>
                </w14:textFill>
              </w:rPr>
              <w:t>10</w:t>
            </w:r>
            <w:r>
              <w:rPr>
                <w:rFonts w:hint="default"/>
                <w:color w:val="000000" w:themeColor="text1"/>
                <w:sz w:val="24"/>
                <w:szCs w:val="24"/>
                <w14:textFill>
                  <w14:solidFill>
                    <w14:schemeClr w14:val="tx1"/>
                  </w14:solidFill>
                </w14:textFill>
              </w:rPr>
              <w:t>。</w:t>
            </w:r>
          </w:p>
          <w:p w14:paraId="24B9778F">
            <w:pPr>
              <w:pStyle w:val="2"/>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cs="Times New Roman"/>
                <w:b w:val="0"/>
                <w:bCs w:val="0"/>
                <w:color w:val="000000" w:themeColor="text1"/>
                <w:vertAlign w:val="baseline"/>
                <w:lang w:val="en-US" w:eastAsia="zh-CN"/>
                <w14:textFill>
                  <w14:solidFill>
                    <w14:schemeClr w14:val="tx1"/>
                  </w14:solidFill>
                </w14:textFill>
              </w:rPr>
            </w:pPr>
          </w:p>
        </w:tc>
      </w:tr>
    </w:tbl>
    <w:p w14:paraId="69AE67EE">
      <w:pPr>
        <w:rPr>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3065"/>
      </w:tblGrid>
      <w:tr w14:paraId="1F98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5" w:hRule="atLeast"/>
          <w:jc w:val="center"/>
        </w:trPr>
        <w:tc>
          <w:tcPr>
            <w:tcW w:w="199" w:type="pct"/>
            <w:vAlign w:val="center"/>
          </w:tcPr>
          <w:p w14:paraId="3036E912">
            <w:pPr>
              <w:pStyle w:val="1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default"/>
                <w:color w:val="000000" w:themeColor="text1"/>
                <w14:textFill>
                  <w14:solidFill>
                    <w14:schemeClr w14:val="tx1"/>
                  </w14:solidFill>
                </w14:textFill>
              </w:rPr>
            </w:pPr>
            <w:r>
              <w:rPr>
                <w:rFonts w:hint="default"/>
                <w:bCs/>
                <w:color w:val="000000" w:themeColor="text1"/>
                <w:sz w:val="24"/>
                <w:szCs w:val="24"/>
                <w14:textFill>
                  <w14:solidFill>
                    <w14:schemeClr w14:val="tx1"/>
                  </w14:solidFill>
                </w14:textFill>
              </w:rPr>
              <w:t>运营期环境影响和保护措施</w:t>
            </w:r>
          </w:p>
        </w:tc>
        <w:tc>
          <w:tcPr>
            <w:tcW w:w="4800" w:type="pct"/>
            <w:vAlign w:val="top"/>
          </w:tcPr>
          <w:p w14:paraId="4BC88BE0">
            <w:pPr>
              <w:pStyle w:val="56"/>
              <w:keepNext w:val="0"/>
              <w:keepLines w:val="0"/>
              <w:pageBreakBefore w:val="0"/>
              <w:widowControl w:val="0"/>
              <w:kinsoku/>
              <w:wordWrap/>
              <w:overflowPunct/>
              <w:topLinePunct/>
              <w:autoSpaceDE/>
              <w:autoSpaceDN/>
              <w:bidi w:val="0"/>
              <w:adjustRightInd w:val="0"/>
              <w:snapToGrid w:val="0"/>
              <w:spacing w:line="360" w:lineRule="auto"/>
              <w:textAlignment w:val="auto"/>
              <w:rPr>
                <w:rStyle w:val="26"/>
                <w:rFonts w:ascii="Times New Roman" w:hAnsi="Times New Roman"/>
                <w:b/>
                <w:bCs/>
                <w:color w:val="000000" w:themeColor="text1"/>
                <w:szCs w:val="20"/>
                <w:highlight w:val="none"/>
                <w14:textFill>
                  <w14:solidFill>
                    <w14:schemeClr w14:val="tx1"/>
                  </w14:solidFill>
                </w14:textFill>
              </w:rPr>
            </w:pPr>
            <w:r>
              <w:rPr>
                <w:rFonts w:ascii="Times New Roman" w:hAnsi="Times New Roman"/>
                <w:b/>
                <w:bCs/>
                <w:color w:val="000000" w:themeColor="text1"/>
                <w:szCs w:val="24"/>
                <w:highlight w:val="none"/>
                <w14:textFill>
                  <w14:solidFill>
                    <w14:schemeClr w14:val="tx1"/>
                  </w14:solidFill>
                </w14:textFill>
              </w:rPr>
              <w:t>表</w:t>
            </w:r>
            <w:r>
              <w:rPr>
                <w:rFonts w:hint="eastAsia" w:ascii="Times New Roman" w:hAnsi="Times New Roman"/>
                <w:b/>
                <w:bCs/>
                <w:color w:val="000000" w:themeColor="text1"/>
                <w:szCs w:val="24"/>
                <w:highlight w:val="none"/>
                <w:lang w:val="en-US" w:eastAsia="zh-CN"/>
                <w14:textFill>
                  <w14:solidFill>
                    <w14:schemeClr w14:val="tx1"/>
                  </w14:solidFill>
                </w14:textFill>
              </w:rPr>
              <w:t>4-10</w:t>
            </w:r>
            <w:r>
              <w:rPr>
                <w:rFonts w:ascii="Times New Roman" w:hAnsi="Times New Roman"/>
                <w:b/>
                <w:bCs/>
                <w:color w:val="000000" w:themeColor="text1"/>
                <w:szCs w:val="24"/>
                <w:highlight w:val="none"/>
                <w14:textFill>
                  <w14:solidFill>
                    <w14:schemeClr w14:val="tx1"/>
                  </w14:solidFill>
                </w14:textFill>
              </w:rPr>
              <w:t>工业企业噪声源强调查清单（室内声源）</w:t>
            </w:r>
          </w:p>
          <w:tbl>
            <w:tblPr>
              <w:tblStyle w:val="21"/>
              <w:tblW w:w="48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
              <w:gridCol w:w="560"/>
              <w:gridCol w:w="672"/>
              <w:gridCol w:w="412"/>
              <w:gridCol w:w="673"/>
              <w:gridCol w:w="673"/>
              <w:gridCol w:w="811"/>
              <w:gridCol w:w="407"/>
              <w:gridCol w:w="544"/>
              <w:gridCol w:w="414"/>
              <w:gridCol w:w="407"/>
              <w:gridCol w:w="407"/>
              <w:gridCol w:w="407"/>
              <w:gridCol w:w="412"/>
              <w:gridCol w:w="407"/>
              <w:gridCol w:w="407"/>
              <w:gridCol w:w="407"/>
              <w:gridCol w:w="414"/>
              <w:gridCol w:w="811"/>
              <w:gridCol w:w="811"/>
              <w:gridCol w:w="329"/>
              <w:gridCol w:w="347"/>
              <w:gridCol w:w="320"/>
              <w:gridCol w:w="354"/>
              <w:gridCol w:w="688"/>
            </w:tblGrid>
            <w:tr w14:paraId="2396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vMerge w:val="restart"/>
                  <w:noWrap w:val="0"/>
                  <w:tcMar>
                    <w:top w:w="28" w:type="dxa"/>
                    <w:left w:w="28" w:type="dxa"/>
                    <w:bottom w:w="28" w:type="dxa"/>
                    <w:right w:w="28" w:type="dxa"/>
                  </w:tcMar>
                  <w:vAlign w:val="center"/>
                </w:tcPr>
                <w:p w14:paraId="6D37B470">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序号</w:t>
                  </w:r>
                </w:p>
              </w:tc>
              <w:tc>
                <w:tcPr>
                  <w:tcW w:w="224" w:type="pct"/>
                  <w:vMerge w:val="restart"/>
                  <w:noWrap w:val="0"/>
                  <w:tcMar>
                    <w:top w:w="28" w:type="dxa"/>
                    <w:left w:w="28" w:type="dxa"/>
                    <w:bottom w:w="28" w:type="dxa"/>
                    <w:right w:w="28" w:type="dxa"/>
                  </w:tcMar>
                  <w:vAlign w:val="center"/>
                </w:tcPr>
                <w:p w14:paraId="4E0404DC">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建筑物名称</w:t>
                  </w:r>
                </w:p>
              </w:tc>
              <w:tc>
                <w:tcPr>
                  <w:tcW w:w="269" w:type="pct"/>
                  <w:vMerge w:val="restart"/>
                  <w:noWrap w:val="0"/>
                  <w:tcMar>
                    <w:top w:w="28" w:type="dxa"/>
                    <w:left w:w="28" w:type="dxa"/>
                    <w:bottom w:w="28" w:type="dxa"/>
                    <w:right w:w="28" w:type="dxa"/>
                  </w:tcMar>
                  <w:vAlign w:val="center"/>
                </w:tcPr>
                <w:p w14:paraId="6F1D1FD3">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声源名称</w:t>
                  </w:r>
                </w:p>
              </w:tc>
              <w:tc>
                <w:tcPr>
                  <w:tcW w:w="165" w:type="pct"/>
                  <w:vMerge w:val="restart"/>
                  <w:noWrap w:val="0"/>
                  <w:tcMar>
                    <w:top w:w="28" w:type="dxa"/>
                    <w:left w:w="28" w:type="dxa"/>
                    <w:bottom w:w="28" w:type="dxa"/>
                    <w:right w:w="28" w:type="dxa"/>
                  </w:tcMar>
                  <w:vAlign w:val="center"/>
                </w:tcPr>
                <w:p w14:paraId="4A6E4C10">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设备数量</w:t>
                  </w:r>
                </w:p>
              </w:tc>
              <w:tc>
                <w:tcPr>
                  <w:tcW w:w="269" w:type="pct"/>
                  <w:vMerge w:val="restart"/>
                  <w:noWrap w:val="0"/>
                  <w:tcMar>
                    <w:top w:w="28" w:type="dxa"/>
                    <w:left w:w="28" w:type="dxa"/>
                    <w:bottom w:w="28" w:type="dxa"/>
                    <w:right w:w="28" w:type="dxa"/>
                  </w:tcMar>
                  <w:vAlign w:val="center"/>
                </w:tcPr>
                <w:p w14:paraId="13EC4E2F">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型号</w:t>
                  </w:r>
                </w:p>
              </w:tc>
              <w:tc>
                <w:tcPr>
                  <w:tcW w:w="269" w:type="pct"/>
                  <w:vMerge w:val="restart"/>
                  <w:noWrap w:val="0"/>
                  <w:tcMar>
                    <w:top w:w="28" w:type="dxa"/>
                    <w:left w:w="28" w:type="dxa"/>
                    <w:bottom w:w="28" w:type="dxa"/>
                    <w:right w:w="28" w:type="dxa"/>
                  </w:tcMar>
                  <w:vAlign w:val="center"/>
                </w:tcPr>
                <w:p w14:paraId="53AE44DD">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声源源强dB（A）</w:t>
                  </w:r>
                </w:p>
              </w:tc>
              <w:tc>
                <w:tcPr>
                  <w:tcW w:w="325" w:type="pct"/>
                  <w:vMerge w:val="restart"/>
                  <w:noWrap w:val="0"/>
                  <w:tcMar>
                    <w:top w:w="28" w:type="dxa"/>
                    <w:left w:w="28" w:type="dxa"/>
                    <w:bottom w:w="28" w:type="dxa"/>
                    <w:right w:w="28" w:type="dxa"/>
                  </w:tcMar>
                  <w:vAlign w:val="center"/>
                </w:tcPr>
                <w:p w14:paraId="6F8D452B">
                  <w:pPr>
                    <w:jc w:val="center"/>
                    <w:rPr>
                      <w:rFonts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b/>
                      <w:bCs/>
                      <w:color w:val="000000" w:themeColor="text1"/>
                      <w:kern w:val="0"/>
                      <w:sz w:val="18"/>
                      <w:szCs w:val="18"/>
                      <w:highlight w:val="none"/>
                      <w14:textFill>
                        <w14:solidFill>
                          <w14:schemeClr w14:val="tx1"/>
                        </w14:solidFill>
                      </w14:textFill>
                    </w:rPr>
                    <w:t>声源控制措施</w:t>
                  </w:r>
                  <w:r>
                    <w:rPr>
                      <w:color w:val="000000" w:themeColor="text1"/>
                      <w:kern w:val="0"/>
                      <w:sz w:val="18"/>
                      <w:szCs w:val="18"/>
                      <w:highlight w:val="none"/>
                      <w14:textFill>
                        <w14:solidFill>
                          <w14:schemeClr w14:val="tx1"/>
                        </w14:solidFill>
                      </w14:textFill>
                    </w:rPr>
                    <w:t>/</w:t>
                  </w:r>
                </w:p>
                <w:p w14:paraId="0F062C82">
                  <w:pPr>
                    <w:widowControl/>
                    <w:jc w:val="center"/>
                    <w:textAlignment w:val="bottom"/>
                    <w:rPr>
                      <w:b/>
                      <w:bCs/>
                      <w:color w:val="000000" w:themeColor="text1"/>
                      <w:sz w:val="18"/>
                      <w:szCs w:val="18"/>
                      <w:highlight w:val="none"/>
                      <w14:textFill>
                        <w14:solidFill>
                          <w14:schemeClr w14:val="tx1"/>
                        </w14:solidFill>
                      </w14:textFill>
                    </w:rPr>
                  </w:pPr>
                </w:p>
              </w:tc>
              <w:tc>
                <w:tcPr>
                  <w:tcW w:w="547" w:type="pct"/>
                  <w:gridSpan w:val="3"/>
                  <w:noWrap w:val="0"/>
                  <w:tcMar>
                    <w:top w:w="28" w:type="dxa"/>
                    <w:left w:w="28" w:type="dxa"/>
                    <w:bottom w:w="28" w:type="dxa"/>
                    <w:right w:w="28" w:type="dxa"/>
                  </w:tcMar>
                  <w:vAlign w:val="center"/>
                </w:tcPr>
                <w:p w14:paraId="604A3811">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空间相对位置m</w:t>
                  </w:r>
                </w:p>
              </w:tc>
              <w:tc>
                <w:tcPr>
                  <w:tcW w:w="654" w:type="pct"/>
                  <w:gridSpan w:val="4"/>
                  <w:noWrap w:val="0"/>
                  <w:tcMar>
                    <w:top w:w="28" w:type="dxa"/>
                    <w:left w:w="28" w:type="dxa"/>
                    <w:bottom w:w="28" w:type="dxa"/>
                    <w:right w:w="28" w:type="dxa"/>
                  </w:tcMar>
                  <w:vAlign w:val="center"/>
                </w:tcPr>
                <w:p w14:paraId="51E5E3D8">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距室内边界距离m</w:t>
                  </w:r>
                </w:p>
              </w:tc>
              <w:tc>
                <w:tcPr>
                  <w:tcW w:w="655" w:type="pct"/>
                  <w:gridSpan w:val="4"/>
                  <w:noWrap w:val="0"/>
                  <w:tcMar>
                    <w:top w:w="28" w:type="dxa"/>
                    <w:left w:w="28" w:type="dxa"/>
                    <w:bottom w:w="28" w:type="dxa"/>
                    <w:right w:w="28" w:type="dxa"/>
                  </w:tcMar>
                  <w:vAlign w:val="center"/>
                </w:tcPr>
                <w:p w14:paraId="77AFCF62">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室内边界声级/dB(A)</w:t>
                  </w:r>
                </w:p>
              </w:tc>
              <w:tc>
                <w:tcPr>
                  <w:tcW w:w="325" w:type="pct"/>
                  <w:vMerge w:val="restart"/>
                  <w:noWrap w:val="0"/>
                  <w:tcMar>
                    <w:top w:w="28" w:type="dxa"/>
                    <w:left w:w="28" w:type="dxa"/>
                    <w:bottom w:w="28" w:type="dxa"/>
                    <w:right w:w="28" w:type="dxa"/>
                  </w:tcMar>
                  <w:vAlign w:val="center"/>
                </w:tcPr>
                <w:p w14:paraId="23F6E7A9">
                  <w:pPr>
                    <w:jc w:val="center"/>
                    <w:rPr>
                      <w:rFonts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b/>
                      <w:bCs/>
                      <w:color w:val="000000" w:themeColor="text1"/>
                      <w:kern w:val="0"/>
                      <w:sz w:val="18"/>
                      <w:szCs w:val="18"/>
                      <w:highlight w:val="none"/>
                      <w14:textFill>
                        <w14:solidFill>
                          <w14:schemeClr w14:val="tx1"/>
                        </w14:solidFill>
                      </w14:textFill>
                    </w:rPr>
                    <w:t>运行时段</w:t>
                  </w:r>
                </w:p>
                <w:p w14:paraId="016F6BD7">
                  <w:pPr>
                    <w:widowControl/>
                    <w:jc w:val="center"/>
                    <w:textAlignment w:val="bottom"/>
                    <w:rPr>
                      <w:b/>
                      <w:bCs/>
                      <w:color w:val="000000" w:themeColor="text1"/>
                      <w:sz w:val="18"/>
                      <w:szCs w:val="18"/>
                      <w:highlight w:val="none"/>
                      <w14:textFill>
                        <w14:solidFill>
                          <w14:schemeClr w14:val="tx1"/>
                        </w14:solidFill>
                      </w14:textFill>
                    </w:rPr>
                  </w:pPr>
                </w:p>
              </w:tc>
              <w:tc>
                <w:tcPr>
                  <w:tcW w:w="325" w:type="pct"/>
                  <w:vMerge w:val="restart"/>
                  <w:noWrap w:val="0"/>
                  <w:tcMar>
                    <w:top w:w="28" w:type="dxa"/>
                    <w:left w:w="28" w:type="dxa"/>
                    <w:bottom w:w="28" w:type="dxa"/>
                    <w:right w:w="28" w:type="dxa"/>
                  </w:tcMar>
                  <w:vAlign w:val="center"/>
                </w:tcPr>
                <w:p w14:paraId="142D7A37">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建筑物插入损失/dB(A)</w:t>
                  </w:r>
                </w:p>
              </w:tc>
              <w:tc>
                <w:tcPr>
                  <w:tcW w:w="817" w:type="pct"/>
                  <w:gridSpan w:val="5"/>
                  <w:noWrap w:val="0"/>
                  <w:tcMar>
                    <w:top w:w="28" w:type="dxa"/>
                    <w:left w:w="28" w:type="dxa"/>
                    <w:bottom w:w="28" w:type="dxa"/>
                    <w:right w:w="28" w:type="dxa"/>
                  </w:tcMar>
                  <w:vAlign w:val="center"/>
                </w:tcPr>
                <w:p w14:paraId="24D9B9FA">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建筑物外噪声</w:t>
                  </w:r>
                </w:p>
              </w:tc>
            </w:tr>
            <w:tr w14:paraId="4AE5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 w:type="pct"/>
                  <w:vMerge w:val="continue"/>
                  <w:shd w:val="clear" w:color="auto" w:fill="auto"/>
                  <w:noWrap w:val="0"/>
                  <w:tcMar>
                    <w:top w:w="28" w:type="dxa"/>
                    <w:left w:w="28" w:type="dxa"/>
                    <w:bottom w:w="28" w:type="dxa"/>
                    <w:right w:w="28" w:type="dxa"/>
                  </w:tcMar>
                  <w:vAlign w:val="center"/>
                </w:tcPr>
                <w:p w14:paraId="0BBBD35C">
                  <w:pPr>
                    <w:jc w:val="center"/>
                    <w:rPr>
                      <w:b/>
                      <w:bCs/>
                      <w:color w:val="000000" w:themeColor="text1"/>
                      <w:sz w:val="18"/>
                      <w:szCs w:val="18"/>
                      <w:highlight w:val="none"/>
                      <w14:textFill>
                        <w14:solidFill>
                          <w14:schemeClr w14:val="tx1"/>
                        </w14:solidFill>
                      </w14:textFill>
                    </w:rPr>
                  </w:pPr>
                </w:p>
              </w:tc>
              <w:tc>
                <w:tcPr>
                  <w:tcW w:w="224" w:type="pct"/>
                  <w:vMerge w:val="continue"/>
                  <w:shd w:val="clear" w:color="auto" w:fill="auto"/>
                  <w:noWrap w:val="0"/>
                  <w:tcMar>
                    <w:top w:w="28" w:type="dxa"/>
                    <w:left w:w="28" w:type="dxa"/>
                    <w:bottom w:w="28" w:type="dxa"/>
                    <w:right w:w="28" w:type="dxa"/>
                  </w:tcMar>
                  <w:vAlign w:val="center"/>
                </w:tcPr>
                <w:p w14:paraId="57F0CDBE">
                  <w:pPr>
                    <w:jc w:val="center"/>
                    <w:rPr>
                      <w:b/>
                      <w:bCs/>
                      <w:color w:val="000000" w:themeColor="text1"/>
                      <w:sz w:val="18"/>
                      <w:szCs w:val="18"/>
                      <w:highlight w:val="none"/>
                      <w14:textFill>
                        <w14:solidFill>
                          <w14:schemeClr w14:val="tx1"/>
                        </w14:solidFill>
                      </w14:textFill>
                    </w:rPr>
                  </w:pPr>
                </w:p>
              </w:tc>
              <w:tc>
                <w:tcPr>
                  <w:tcW w:w="269" w:type="pct"/>
                  <w:vMerge w:val="continue"/>
                  <w:shd w:val="clear" w:color="auto" w:fill="auto"/>
                  <w:noWrap w:val="0"/>
                  <w:tcMar>
                    <w:top w:w="28" w:type="dxa"/>
                    <w:left w:w="28" w:type="dxa"/>
                    <w:bottom w:w="28" w:type="dxa"/>
                    <w:right w:w="28" w:type="dxa"/>
                  </w:tcMar>
                  <w:vAlign w:val="center"/>
                </w:tcPr>
                <w:p w14:paraId="7544F13F">
                  <w:pPr>
                    <w:jc w:val="center"/>
                    <w:rPr>
                      <w:b/>
                      <w:bCs/>
                      <w:color w:val="000000" w:themeColor="text1"/>
                      <w:sz w:val="18"/>
                      <w:szCs w:val="18"/>
                      <w:highlight w:val="none"/>
                      <w14:textFill>
                        <w14:solidFill>
                          <w14:schemeClr w14:val="tx1"/>
                        </w14:solidFill>
                      </w14:textFill>
                    </w:rPr>
                  </w:pPr>
                </w:p>
              </w:tc>
              <w:tc>
                <w:tcPr>
                  <w:tcW w:w="165" w:type="pct"/>
                  <w:vMerge w:val="continue"/>
                  <w:shd w:val="clear" w:color="auto" w:fill="auto"/>
                  <w:noWrap w:val="0"/>
                  <w:tcMar>
                    <w:top w:w="28" w:type="dxa"/>
                    <w:left w:w="28" w:type="dxa"/>
                    <w:bottom w:w="28" w:type="dxa"/>
                    <w:right w:w="28" w:type="dxa"/>
                  </w:tcMar>
                  <w:vAlign w:val="center"/>
                </w:tcPr>
                <w:p w14:paraId="101CCD05">
                  <w:pPr>
                    <w:jc w:val="center"/>
                    <w:rPr>
                      <w:b/>
                      <w:bCs/>
                      <w:color w:val="000000" w:themeColor="text1"/>
                      <w:sz w:val="18"/>
                      <w:szCs w:val="18"/>
                      <w:highlight w:val="none"/>
                      <w14:textFill>
                        <w14:solidFill>
                          <w14:schemeClr w14:val="tx1"/>
                        </w14:solidFill>
                      </w14:textFill>
                    </w:rPr>
                  </w:pPr>
                </w:p>
              </w:tc>
              <w:tc>
                <w:tcPr>
                  <w:tcW w:w="269" w:type="pct"/>
                  <w:vMerge w:val="continue"/>
                  <w:shd w:val="clear" w:color="auto" w:fill="auto"/>
                  <w:noWrap w:val="0"/>
                  <w:tcMar>
                    <w:top w:w="28" w:type="dxa"/>
                    <w:left w:w="28" w:type="dxa"/>
                    <w:bottom w:w="28" w:type="dxa"/>
                    <w:right w:w="28" w:type="dxa"/>
                  </w:tcMar>
                  <w:vAlign w:val="center"/>
                </w:tcPr>
                <w:p w14:paraId="29AA7A46">
                  <w:pPr>
                    <w:jc w:val="center"/>
                    <w:rPr>
                      <w:b/>
                      <w:bCs/>
                      <w:color w:val="000000" w:themeColor="text1"/>
                      <w:sz w:val="18"/>
                      <w:szCs w:val="18"/>
                      <w:highlight w:val="none"/>
                      <w14:textFill>
                        <w14:solidFill>
                          <w14:schemeClr w14:val="tx1"/>
                        </w14:solidFill>
                      </w14:textFill>
                    </w:rPr>
                  </w:pPr>
                </w:p>
              </w:tc>
              <w:tc>
                <w:tcPr>
                  <w:tcW w:w="269" w:type="pct"/>
                  <w:vMerge w:val="continue"/>
                  <w:shd w:val="clear" w:color="auto" w:fill="auto"/>
                  <w:noWrap w:val="0"/>
                  <w:tcMar>
                    <w:top w:w="28" w:type="dxa"/>
                    <w:left w:w="28" w:type="dxa"/>
                    <w:bottom w:w="28" w:type="dxa"/>
                    <w:right w:w="28" w:type="dxa"/>
                  </w:tcMar>
                  <w:vAlign w:val="center"/>
                </w:tcPr>
                <w:p w14:paraId="27617B51">
                  <w:pPr>
                    <w:jc w:val="center"/>
                    <w:rPr>
                      <w:b/>
                      <w:bCs/>
                      <w:color w:val="000000" w:themeColor="text1"/>
                      <w:sz w:val="18"/>
                      <w:szCs w:val="18"/>
                      <w:highlight w:val="none"/>
                      <w14:textFill>
                        <w14:solidFill>
                          <w14:schemeClr w14:val="tx1"/>
                        </w14:solidFill>
                      </w14:textFill>
                    </w:rPr>
                  </w:pPr>
                </w:p>
              </w:tc>
              <w:tc>
                <w:tcPr>
                  <w:tcW w:w="325" w:type="pct"/>
                  <w:vMerge w:val="continue"/>
                  <w:shd w:val="clear" w:color="auto" w:fill="auto"/>
                  <w:noWrap w:val="0"/>
                  <w:tcMar>
                    <w:top w:w="28" w:type="dxa"/>
                    <w:left w:w="28" w:type="dxa"/>
                    <w:bottom w:w="28" w:type="dxa"/>
                    <w:right w:w="28" w:type="dxa"/>
                  </w:tcMar>
                  <w:vAlign w:val="center"/>
                </w:tcPr>
                <w:p w14:paraId="273BE9C3">
                  <w:pPr>
                    <w:jc w:val="center"/>
                    <w:rPr>
                      <w:b/>
                      <w:bCs/>
                      <w:color w:val="000000" w:themeColor="text1"/>
                      <w:sz w:val="18"/>
                      <w:szCs w:val="18"/>
                      <w:highlight w:val="none"/>
                      <w14:textFill>
                        <w14:solidFill>
                          <w14:schemeClr w14:val="tx1"/>
                        </w14:solidFill>
                      </w14:textFill>
                    </w:rPr>
                  </w:pPr>
                </w:p>
              </w:tc>
              <w:tc>
                <w:tcPr>
                  <w:tcW w:w="163" w:type="pct"/>
                  <w:shd w:val="clear" w:color="auto" w:fill="auto"/>
                  <w:noWrap w:val="0"/>
                  <w:tcMar>
                    <w:top w:w="28" w:type="dxa"/>
                    <w:left w:w="28" w:type="dxa"/>
                    <w:bottom w:w="28" w:type="dxa"/>
                    <w:right w:w="28" w:type="dxa"/>
                  </w:tcMar>
                  <w:vAlign w:val="center"/>
                </w:tcPr>
                <w:p w14:paraId="03707C01">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X</w:t>
                  </w:r>
                </w:p>
              </w:tc>
              <w:tc>
                <w:tcPr>
                  <w:tcW w:w="218" w:type="pct"/>
                  <w:shd w:val="clear" w:color="auto" w:fill="auto"/>
                  <w:noWrap w:val="0"/>
                  <w:tcMar>
                    <w:top w:w="28" w:type="dxa"/>
                    <w:left w:w="28" w:type="dxa"/>
                    <w:bottom w:w="28" w:type="dxa"/>
                    <w:right w:w="28" w:type="dxa"/>
                  </w:tcMar>
                  <w:vAlign w:val="center"/>
                </w:tcPr>
                <w:p w14:paraId="56AB7D09">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Y</w:t>
                  </w:r>
                </w:p>
              </w:tc>
              <w:tc>
                <w:tcPr>
                  <w:tcW w:w="165" w:type="pct"/>
                  <w:shd w:val="clear" w:color="auto" w:fill="auto"/>
                  <w:noWrap w:val="0"/>
                  <w:tcMar>
                    <w:top w:w="28" w:type="dxa"/>
                    <w:left w:w="28" w:type="dxa"/>
                    <w:bottom w:w="28" w:type="dxa"/>
                    <w:right w:w="28" w:type="dxa"/>
                  </w:tcMar>
                  <w:vAlign w:val="center"/>
                </w:tcPr>
                <w:p w14:paraId="3EA9F992">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Z</w:t>
                  </w:r>
                </w:p>
              </w:tc>
              <w:tc>
                <w:tcPr>
                  <w:tcW w:w="163" w:type="pct"/>
                  <w:shd w:val="clear" w:color="auto" w:fill="auto"/>
                  <w:noWrap w:val="0"/>
                  <w:tcMar>
                    <w:top w:w="28" w:type="dxa"/>
                    <w:left w:w="28" w:type="dxa"/>
                    <w:bottom w:w="28" w:type="dxa"/>
                    <w:right w:w="28" w:type="dxa"/>
                  </w:tcMar>
                  <w:vAlign w:val="center"/>
                </w:tcPr>
                <w:p w14:paraId="32737AF1">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东</w:t>
                  </w:r>
                </w:p>
              </w:tc>
              <w:tc>
                <w:tcPr>
                  <w:tcW w:w="163" w:type="pct"/>
                  <w:shd w:val="clear" w:color="auto" w:fill="auto"/>
                  <w:noWrap w:val="0"/>
                  <w:tcMar>
                    <w:top w:w="28" w:type="dxa"/>
                    <w:left w:w="28" w:type="dxa"/>
                    <w:bottom w:w="28" w:type="dxa"/>
                    <w:right w:w="28" w:type="dxa"/>
                  </w:tcMar>
                  <w:vAlign w:val="center"/>
                </w:tcPr>
                <w:p w14:paraId="2FE26F2E">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南</w:t>
                  </w:r>
                </w:p>
              </w:tc>
              <w:tc>
                <w:tcPr>
                  <w:tcW w:w="163" w:type="pct"/>
                  <w:shd w:val="clear" w:color="auto" w:fill="auto"/>
                  <w:noWrap w:val="0"/>
                  <w:tcMar>
                    <w:top w:w="28" w:type="dxa"/>
                    <w:left w:w="28" w:type="dxa"/>
                    <w:bottom w:w="28" w:type="dxa"/>
                    <w:right w:w="28" w:type="dxa"/>
                  </w:tcMar>
                  <w:vAlign w:val="center"/>
                </w:tcPr>
                <w:p w14:paraId="2C5ED961">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西</w:t>
                  </w:r>
                </w:p>
              </w:tc>
              <w:tc>
                <w:tcPr>
                  <w:tcW w:w="165" w:type="pct"/>
                  <w:shd w:val="clear" w:color="auto" w:fill="auto"/>
                  <w:noWrap w:val="0"/>
                  <w:tcMar>
                    <w:top w:w="28" w:type="dxa"/>
                    <w:left w:w="28" w:type="dxa"/>
                    <w:bottom w:w="28" w:type="dxa"/>
                    <w:right w:w="28" w:type="dxa"/>
                  </w:tcMar>
                  <w:vAlign w:val="center"/>
                </w:tcPr>
                <w:p w14:paraId="6128E3DC">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北</w:t>
                  </w:r>
                </w:p>
              </w:tc>
              <w:tc>
                <w:tcPr>
                  <w:tcW w:w="163" w:type="pct"/>
                  <w:shd w:val="clear" w:color="auto" w:fill="auto"/>
                  <w:noWrap w:val="0"/>
                  <w:tcMar>
                    <w:top w:w="28" w:type="dxa"/>
                    <w:left w:w="28" w:type="dxa"/>
                    <w:bottom w:w="28" w:type="dxa"/>
                    <w:right w:w="28" w:type="dxa"/>
                  </w:tcMar>
                  <w:vAlign w:val="center"/>
                </w:tcPr>
                <w:p w14:paraId="34AE4484">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东</w:t>
                  </w:r>
                </w:p>
              </w:tc>
              <w:tc>
                <w:tcPr>
                  <w:tcW w:w="163" w:type="pct"/>
                  <w:shd w:val="clear" w:color="auto" w:fill="auto"/>
                  <w:noWrap w:val="0"/>
                  <w:tcMar>
                    <w:top w:w="28" w:type="dxa"/>
                    <w:left w:w="28" w:type="dxa"/>
                    <w:bottom w:w="28" w:type="dxa"/>
                    <w:right w:w="28" w:type="dxa"/>
                  </w:tcMar>
                  <w:vAlign w:val="center"/>
                </w:tcPr>
                <w:p w14:paraId="4E477004">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南</w:t>
                  </w:r>
                </w:p>
              </w:tc>
              <w:tc>
                <w:tcPr>
                  <w:tcW w:w="163" w:type="pct"/>
                  <w:shd w:val="clear" w:color="auto" w:fill="auto"/>
                  <w:noWrap w:val="0"/>
                  <w:tcMar>
                    <w:top w:w="28" w:type="dxa"/>
                    <w:left w:w="28" w:type="dxa"/>
                    <w:bottom w:w="28" w:type="dxa"/>
                    <w:right w:w="28" w:type="dxa"/>
                  </w:tcMar>
                  <w:vAlign w:val="center"/>
                </w:tcPr>
                <w:p w14:paraId="61F0AC80">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西</w:t>
                  </w:r>
                </w:p>
              </w:tc>
              <w:tc>
                <w:tcPr>
                  <w:tcW w:w="165" w:type="pct"/>
                  <w:shd w:val="clear" w:color="auto" w:fill="auto"/>
                  <w:noWrap w:val="0"/>
                  <w:tcMar>
                    <w:top w:w="28" w:type="dxa"/>
                    <w:left w:w="28" w:type="dxa"/>
                    <w:bottom w:w="28" w:type="dxa"/>
                    <w:right w:w="28" w:type="dxa"/>
                  </w:tcMar>
                  <w:vAlign w:val="center"/>
                </w:tcPr>
                <w:p w14:paraId="508EB69E">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北</w:t>
                  </w:r>
                </w:p>
              </w:tc>
              <w:tc>
                <w:tcPr>
                  <w:tcW w:w="325" w:type="pct"/>
                  <w:vMerge w:val="continue"/>
                  <w:shd w:val="clear" w:color="auto" w:fill="auto"/>
                  <w:noWrap w:val="0"/>
                  <w:tcMar>
                    <w:top w:w="28" w:type="dxa"/>
                    <w:left w:w="28" w:type="dxa"/>
                    <w:bottom w:w="28" w:type="dxa"/>
                    <w:right w:w="28" w:type="dxa"/>
                  </w:tcMar>
                  <w:vAlign w:val="center"/>
                </w:tcPr>
                <w:p w14:paraId="40C969BB">
                  <w:pPr>
                    <w:jc w:val="center"/>
                    <w:rPr>
                      <w:b/>
                      <w:bCs/>
                      <w:color w:val="000000" w:themeColor="text1"/>
                      <w:sz w:val="18"/>
                      <w:szCs w:val="18"/>
                      <w:highlight w:val="none"/>
                      <w14:textFill>
                        <w14:solidFill>
                          <w14:schemeClr w14:val="tx1"/>
                        </w14:solidFill>
                      </w14:textFill>
                    </w:rPr>
                  </w:pPr>
                </w:p>
              </w:tc>
              <w:tc>
                <w:tcPr>
                  <w:tcW w:w="325" w:type="pct"/>
                  <w:vMerge w:val="continue"/>
                  <w:shd w:val="clear" w:color="auto" w:fill="auto"/>
                  <w:noWrap w:val="0"/>
                  <w:tcMar>
                    <w:top w:w="28" w:type="dxa"/>
                    <w:left w:w="28" w:type="dxa"/>
                    <w:bottom w:w="28" w:type="dxa"/>
                    <w:right w:w="28" w:type="dxa"/>
                  </w:tcMar>
                  <w:vAlign w:val="center"/>
                </w:tcPr>
                <w:p w14:paraId="76FAE329">
                  <w:pPr>
                    <w:jc w:val="center"/>
                    <w:rPr>
                      <w:b/>
                      <w:bCs/>
                      <w:color w:val="000000" w:themeColor="text1"/>
                      <w:sz w:val="18"/>
                      <w:szCs w:val="18"/>
                      <w:highlight w:val="none"/>
                      <w14:textFill>
                        <w14:solidFill>
                          <w14:schemeClr w14:val="tx1"/>
                        </w14:solidFill>
                      </w14:textFill>
                    </w:rPr>
                  </w:pPr>
                </w:p>
              </w:tc>
              <w:tc>
                <w:tcPr>
                  <w:tcW w:w="131" w:type="pct"/>
                  <w:shd w:val="clear" w:color="auto" w:fill="FFFFFF"/>
                  <w:noWrap w:val="0"/>
                  <w:tcMar>
                    <w:top w:w="28" w:type="dxa"/>
                    <w:left w:w="28" w:type="dxa"/>
                    <w:bottom w:w="28" w:type="dxa"/>
                    <w:right w:w="28" w:type="dxa"/>
                  </w:tcMar>
                  <w:vAlign w:val="center"/>
                </w:tcPr>
                <w:p w14:paraId="704985F6">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东</w:t>
                  </w:r>
                </w:p>
              </w:tc>
              <w:tc>
                <w:tcPr>
                  <w:tcW w:w="139" w:type="pct"/>
                  <w:shd w:val="clear" w:color="auto" w:fill="FFFFFF"/>
                  <w:noWrap w:val="0"/>
                  <w:tcMar>
                    <w:top w:w="28" w:type="dxa"/>
                    <w:left w:w="28" w:type="dxa"/>
                    <w:bottom w:w="28" w:type="dxa"/>
                    <w:right w:w="28" w:type="dxa"/>
                  </w:tcMar>
                  <w:vAlign w:val="center"/>
                </w:tcPr>
                <w:p w14:paraId="099DE615">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南</w:t>
                  </w:r>
                </w:p>
              </w:tc>
              <w:tc>
                <w:tcPr>
                  <w:tcW w:w="128" w:type="pct"/>
                  <w:shd w:val="clear" w:color="auto" w:fill="FFFFFF"/>
                  <w:noWrap w:val="0"/>
                  <w:tcMar>
                    <w:top w:w="28" w:type="dxa"/>
                    <w:left w:w="28" w:type="dxa"/>
                    <w:bottom w:w="28" w:type="dxa"/>
                    <w:right w:w="28" w:type="dxa"/>
                  </w:tcMar>
                  <w:vAlign w:val="center"/>
                </w:tcPr>
                <w:p w14:paraId="7347A0D0">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西</w:t>
                  </w:r>
                </w:p>
              </w:tc>
              <w:tc>
                <w:tcPr>
                  <w:tcW w:w="141" w:type="pct"/>
                  <w:shd w:val="clear" w:color="auto" w:fill="FFFFFF"/>
                  <w:noWrap w:val="0"/>
                  <w:tcMar>
                    <w:top w:w="28" w:type="dxa"/>
                    <w:left w:w="28" w:type="dxa"/>
                    <w:bottom w:w="28" w:type="dxa"/>
                    <w:right w:w="28" w:type="dxa"/>
                  </w:tcMar>
                  <w:vAlign w:val="center"/>
                </w:tcPr>
                <w:p w14:paraId="25EADA3A">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北</w:t>
                  </w:r>
                </w:p>
              </w:tc>
              <w:tc>
                <w:tcPr>
                  <w:tcW w:w="275" w:type="pct"/>
                  <w:noWrap w:val="0"/>
                  <w:tcMar>
                    <w:top w:w="28" w:type="dxa"/>
                    <w:left w:w="28" w:type="dxa"/>
                    <w:bottom w:w="28" w:type="dxa"/>
                    <w:right w:w="28" w:type="dxa"/>
                  </w:tcMar>
                  <w:vAlign w:val="center"/>
                </w:tcPr>
                <w:p w14:paraId="5DA7540B">
                  <w:pPr>
                    <w:widowControl/>
                    <w:jc w:val="center"/>
                    <w:textAlignment w:val="bottom"/>
                    <w:rPr>
                      <w:b/>
                      <w:bCs/>
                      <w:color w:val="000000" w:themeColor="text1"/>
                      <w:sz w:val="18"/>
                      <w:szCs w:val="18"/>
                      <w:highlight w:val="none"/>
                      <w14:textFill>
                        <w14:solidFill>
                          <w14:schemeClr w14:val="tx1"/>
                        </w14:solidFill>
                      </w14:textFill>
                    </w:rPr>
                  </w:pPr>
                  <w:r>
                    <w:rPr>
                      <w:b/>
                      <w:bCs/>
                      <w:color w:val="000000" w:themeColor="text1"/>
                      <w:kern w:val="0"/>
                      <w:sz w:val="18"/>
                      <w:szCs w:val="18"/>
                      <w:highlight w:val="none"/>
                      <w14:textFill>
                        <w14:solidFill>
                          <w14:schemeClr w14:val="tx1"/>
                        </w14:solidFill>
                      </w14:textFill>
                    </w:rPr>
                    <w:t>建筑物外距离/m</w:t>
                  </w:r>
                </w:p>
              </w:tc>
            </w:tr>
            <w:tr w14:paraId="474FC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noWrap w:val="0"/>
                  <w:tcMar>
                    <w:top w:w="28" w:type="dxa"/>
                    <w:left w:w="28" w:type="dxa"/>
                    <w:bottom w:w="28" w:type="dxa"/>
                    <w:right w:w="28" w:type="dxa"/>
                  </w:tcMar>
                  <w:vAlign w:val="center"/>
                </w:tcPr>
                <w:p w14:paraId="3A55FF50">
                  <w:pPr>
                    <w:widowControl/>
                    <w:jc w:val="center"/>
                    <w:textAlignment w:val="bottom"/>
                    <w:rPr>
                      <w:color w:val="000000" w:themeColor="text1"/>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w:t>
                  </w:r>
                </w:p>
              </w:tc>
              <w:tc>
                <w:tcPr>
                  <w:tcW w:w="224" w:type="pct"/>
                  <w:noWrap w:val="0"/>
                  <w:tcMar>
                    <w:top w:w="28" w:type="dxa"/>
                    <w:left w:w="28" w:type="dxa"/>
                    <w:bottom w:w="28" w:type="dxa"/>
                    <w:right w:w="28" w:type="dxa"/>
                  </w:tcMar>
                  <w:vAlign w:val="center"/>
                </w:tcPr>
                <w:p w14:paraId="7DE08E18">
                  <w:pPr>
                    <w:widowControl/>
                    <w:jc w:val="center"/>
                    <w:textAlignment w:val="bottom"/>
                    <w:rPr>
                      <w:color w:val="000000" w:themeColor="text1"/>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喷涂</w:t>
                  </w:r>
                  <w:r>
                    <w:rPr>
                      <w:rFonts w:hint="eastAsia"/>
                      <w:color w:val="000000" w:themeColor="text1"/>
                      <w:kern w:val="0"/>
                      <w:sz w:val="18"/>
                      <w:szCs w:val="18"/>
                      <w:highlight w:val="none"/>
                      <w:lang w:val="en-US" w:eastAsia="zh-CN"/>
                      <w14:textFill>
                        <w14:solidFill>
                          <w14:schemeClr w14:val="tx1"/>
                        </w14:solidFill>
                      </w14:textFill>
                    </w:rPr>
                    <w:t>线1#</w:t>
                  </w:r>
                </w:p>
              </w:tc>
              <w:tc>
                <w:tcPr>
                  <w:tcW w:w="269" w:type="pct"/>
                  <w:noWrap w:val="0"/>
                  <w:tcMar>
                    <w:top w:w="28" w:type="dxa"/>
                    <w:left w:w="28" w:type="dxa"/>
                    <w:bottom w:w="28" w:type="dxa"/>
                    <w:right w:w="28" w:type="dxa"/>
                  </w:tcMar>
                  <w:vAlign w:val="center"/>
                </w:tcPr>
                <w:p w14:paraId="6E4E2C2D">
                  <w:pPr>
                    <w:widowControl/>
                    <w:jc w:val="center"/>
                    <w:textAlignment w:val="bottom"/>
                    <w:rPr>
                      <w:color w:val="000000" w:themeColor="text1"/>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空压机</w:t>
                  </w:r>
                  <w:r>
                    <w:rPr>
                      <w:rFonts w:hint="eastAsia"/>
                      <w:color w:val="000000" w:themeColor="text1"/>
                      <w:kern w:val="0"/>
                      <w:sz w:val="18"/>
                      <w:szCs w:val="18"/>
                      <w:highlight w:val="none"/>
                      <w:lang w:val="en-US" w:eastAsia="zh-CN"/>
                      <w14:textFill>
                        <w14:solidFill>
                          <w14:schemeClr w14:val="tx1"/>
                        </w14:solidFill>
                      </w14:textFill>
                    </w:rPr>
                    <w:t>1#</w:t>
                  </w:r>
                </w:p>
              </w:tc>
              <w:tc>
                <w:tcPr>
                  <w:tcW w:w="165" w:type="pct"/>
                  <w:noWrap w:val="0"/>
                  <w:tcMar>
                    <w:top w:w="28" w:type="dxa"/>
                    <w:left w:w="28" w:type="dxa"/>
                    <w:bottom w:w="28" w:type="dxa"/>
                    <w:right w:w="28" w:type="dxa"/>
                  </w:tcMar>
                  <w:vAlign w:val="center"/>
                </w:tcPr>
                <w:p w14:paraId="6CF9D388">
                  <w:pPr>
                    <w:widowControl/>
                    <w:jc w:val="center"/>
                    <w:textAlignment w:val="bottom"/>
                    <w:rPr>
                      <w:color w:val="000000" w:themeColor="text1"/>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w:t>
                  </w:r>
                </w:p>
              </w:tc>
              <w:tc>
                <w:tcPr>
                  <w:tcW w:w="269" w:type="pct"/>
                  <w:noWrap w:val="0"/>
                  <w:tcMar>
                    <w:top w:w="28" w:type="dxa"/>
                    <w:left w:w="28" w:type="dxa"/>
                    <w:bottom w:w="28" w:type="dxa"/>
                    <w:right w:w="28" w:type="dxa"/>
                  </w:tcMar>
                  <w:vAlign w:val="center"/>
                </w:tcPr>
                <w:p w14:paraId="5C66C9C8">
                  <w:pPr>
                    <w:widowControl/>
                    <w:jc w:val="center"/>
                    <w:textAlignment w:val="bottom"/>
                    <w:rPr>
                      <w:rFonts w:hint="eastAsia" w:eastAsia="宋体"/>
                      <w:color w:val="000000" w:themeColor="text1"/>
                      <w:sz w:val="18"/>
                      <w:szCs w:val="18"/>
                      <w:highlight w:val="none"/>
                      <w:lang w:eastAsia="zh-CN"/>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w:t>
                  </w:r>
                </w:p>
              </w:tc>
              <w:tc>
                <w:tcPr>
                  <w:tcW w:w="269" w:type="pct"/>
                  <w:noWrap w:val="0"/>
                  <w:tcMar>
                    <w:top w:w="28" w:type="dxa"/>
                    <w:left w:w="28" w:type="dxa"/>
                    <w:bottom w:w="28" w:type="dxa"/>
                    <w:right w:w="28" w:type="dxa"/>
                  </w:tcMar>
                  <w:vAlign w:val="center"/>
                </w:tcPr>
                <w:p w14:paraId="6EC04B11">
                  <w:pPr>
                    <w:widowControl/>
                    <w:jc w:val="center"/>
                    <w:textAlignment w:val="bottom"/>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90</w:t>
                  </w:r>
                </w:p>
              </w:tc>
              <w:tc>
                <w:tcPr>
                  <w:tcW w:w="325" w:type="pct"/>
                  <w:vMerge w:val="restart"/>
                  <w:noWrap w:val="0"/>
                  <w:tcMar>
                    <w:top w:w="28" w:type="dxa"/>
                    <w:left w:w="28" w:type="dxa"/>
                    <w:bottom w:w="28" w:type="dxa"/>
                    <w:right w:w="28" w:type="dxa"/>
                  </w:tcMar>
                  <w:vAlign w:val="center"/>
                </w:tcPr>
                <w:p w14:paraId="086DCF16">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厂房隔声、基础减振等</w:t>
                  </w:r>
                </w:p>
              </w:tc>
              <w:tc>
                <w:tcPr>
                  <w:tcW w:w="163" w:type="pct"/>
                  <w:noWrap w:val="0"/>
                  <w:tcMar>
                    <w:top w:w="28" w:type="dxa"/>
                    <w:left w:w="28" w:type="dxa"/>
                    <w:bottom w:w="28" w:type="dxa"/>
                    <w:right w:w="28" w:type="dxa"/>
                  </w:tcMar>
                  <w:vAlign w:val="center"/>
                </w:tcPr>
                <w:p w14:paraId="09BBDAFA">
                  <w:pPr>
                    <w:widowControl/>
                    <w:jc w:val="center"/>
                    <w:textAlignment w:val="bottom"/>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-5</w:t>
                  </w:r>
                </w:p>
              </w:tc>
              <w:tc>
                <w:tcPr>
                  <w:tcW w:w="218" w:type="pct"/>
                  <w:noWrap w:val="0"/>
                  <w:tcMar>
                    <w:top w:w="28" w:type="dxa"/>
                    <w:left w:w="28" w:type="dxa"/>
                    <w:bottom w:w="28" w:type="dxa"/>
                    <w:right w:w="28" w:type="dxa"/>
                  </w:tcMar>
                  <w:vAlign w:val="center"/>
                </w:tcPr>
                <w:p w14:paraId="61F41820">
                  <w:pPr>
                    <w:widowControl/>
                    <w:jc w:val="center"/>
                    <w:textAlignment w:val="bottom"/>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p>
              </w:tc>
              <w:tc>
                <w:tcPr>
                  <w:tcW w:w="165" w:type="pct"/>
                  <w:noWrap w:val="0"/>
                  <w:tcMar>
                    <w:top w:w="28" w:type="dxa"/>
                    <w:left w:w="28" w:type="dxa"/>
                    <w:bottom w:w="28" w:type="dxa"/>
                    <w:right w:w="28" w:type="dxa"/>
                  </w:tcMar>
                  <w:vAlign w:val="center"/>
                </w:tcPr>
                <w:p w14:paraId="281DE9E4">
                  <w:pPr>
                    <w:widowControl/>
                    <w:jc w:val="center"/>
                    <w:textAlignment w:val="bottom"/>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9</w:t>
                  </w:r>
                </w:p>
              </w:tc>
              <w:tc>
                <w:tcPr>
                  <w:tcW w:w="163" w:type="pct"/>
                  <w:noWrap w:val="0"/>
                  <w:tcMar>
                    <w:top w:w="28" w:type="dxa"/>
                    <w:left w:w="28" w:type="dxa"/>
                    <w:bottom w:w="28" w:type="dxa"/>
                    <w:right w:w="28" w:type="dxa"/>
                  </w:tcMar>
                  <w:vAlign w:val="center"/>
                </w:tcPr>
                <w:p w14:paraId="36FC3603">
                  <w:pPr>
                    <w:widowControl/>
                    <w:jc w:val="center"/>
                    <w:textAlignment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35</w:t>
                  </w:r>
                </w:p>
              </w:tc>
              <w:tc>
                <w:tcPr>
                  <w:tcW w:w="163" w:type="pct"/>
                  <w:noWrap w:val="0"/>
                  <w:tcMar>
                    <w:top w:w="28" w:type="dxa"/>
                    <w:left w:w="28" w:type="dxa"/>
                    <w:bottom w:w="28" w:type="dxa"/>
                    <w:right w:w="28" w:type="dxa"/>
                  </w:tcMar>
                  <w:vAlign w:val="center"/>
                </w:tcPr>
                <w:p w14:paraId="15070A42">
                  <w:pPr>
                    <w:widowControl/>
                    <w:jc w:val="center"/>
                    <w:textAlignment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23</w:t>
                  </w:r>
                </w:p>
              </w:tc>
              <w:tc>
                <w:tcPr>
                  <w:tcW w:w="163" w:type="pct"/>
                  <w:noWrap w:val="0"/>
                  <w:tcMar>
                    <w:top w:w="28" w:type="dxa"/>
                    <w:left w:w="28" w:type="dxa"/>
                    <w:bottom w:w="28" w:type="dxa"/>
                    <w:right w:w="28" w:type="dxa"/>
                  </w:tcMar>
                  <w:vAlign w:val="center"/>
                </w:tcPr>
                <w:p w14:paraId="2FEB9B40">
                  <w:pPr>
                    <w:widowControl/>
                    <w:jc w:val="center"/>
                    <w:textAlignment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23</w:t>
                  </w:r>
                </w:p>
              </w:tc>
              <w:tc>
                <w:tcPr>
                  <w:tcW w:w="165" w:type="pct"/>
                  <w:noWrap w:val="0"/>
                  <w:tcMar>
                    <w:top w:w="28" w:type="dxa"/>
                    <w:left w:w="28" w:type="dxa"/>
                    <w:bottom w:w="28" w:type="dxa"/>
                    <w:right w:w="28" w:type="dxa"/>
                  </w:tcMar>
                  <w:vAlign w:val="center"/>
                </w:tcPr>
                <w:p w14:paraId="3EB3032C">
                  <w:pPr>
                    <w:widowControl/>
                    <w:jc w:val="center"/>
                    <w:textAlignment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20</w:t>
                  </w:r>
                </w:p>
              </w:tc>
              <w:tc>
                <w:tcPr>
                  <w:tcW w:w="163" w:type="pct"/>
                  <w:noWrap w:val="0"/>
                  <w:tcMar>
                    <w:top w:w="28" w:type="dxa"/>
                    <w:left w:w="28" w:type="dxa"/>
                    <w:bottom w:w="28" w:type="dxa"/>
                    <w:right w:w="28" w:type="dxa"/>
                  </w:tcMar>
                  <w:vAlign w:val="center"/>
                </w:tcPr>
                <w:p w14:paraId="19A3D9F8">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53.4 </w:t>
                  </w:r>
                </w:p>
              </w:tc>
              <w:tc>
                <w:tcPr>
                  <w:tcW w:w="163" w:type="pct"/>
                  <w:noWrap w:val="0"/>
                  <w:tcMar>
                    <w:top w:w="28" w:type="dxa"/>
                    <w:left w:w="28" w:type="dxa"/>
                    <w:bottom w:w="28" w:type="dxa"/>
                    <w:right w:w="28" w:type="dxa"/>
                  </w:tcMar>
                  <w:vAlign w:val="center"/>
                </w:tcPr>
                <w:p w14:paraId="5E2BFDFD">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55.9 </w:t>
                  </w:r>
                </w:p>
              </w:tc>
              <w:tc>
                <w:tcPr>
                  <w:tcW w:w="163" w:type="pct"/>
                  <w:noWrap w:val="0"/>
                  <w:tcMar>
                    <w:top w:w="28" w:type="dxa"/>
                    <w:left w:w="28" w:type="dxa"/>
                    <w:bottom w:w="28" w:type="dxa"/>
                    <w:right w:w="28" w:type="dxa"/>
                  </w:tcMar>
                  <w:vAlign w:val="center"/>
                </w:tcPr>
                <w:p w14:paraId="393E8C75">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55.9 </w:t>
                  </w:r>
                </w:p>
              </w:tc>
              <w:tc>
                <w:tcPr>
                  <w:tcW w:w="165" w:type="pct"/>
                  <w:noWrap w:val="0"/>
                  <w:tcMar>
                    <w:top w:w="28" w:type="dxa"/>
                    <w:left w:w="28" w:type="dxa"/>
                    <w:bottom w:w="28" w:type="dxa"/>
                    <w:right w:w="28" w:type="dxa"/>
                  </w:tcMar>
                  <w:vAlign w:val="center"/>
                </w:tcPr>
                <w:p w14:paraId="755A26CC">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56.9 </w:t>
                  </w:r>
                </w:p>
              </w:tc>
              <w:tc>
                <w:tcPr>
                  <w:tcW w:w="325" w:type="pct"/>
                  <w:vMerge w:val="restart"/>
                  <w:noWrap w:val="0"/>
                  <w:tcMar>
                    <w:top w:w="28" w:type="dxa"/>
                    <w:left w:w="28" w:type="dxa"/>
                    <w:bottom w:w="28" w:type="dxa"/>
                    <w:right w:w="28" w:type="dxa"/>
                  </w:tcMar>
                  <w:vAlign w:val="center"/>
                </w:tcPr>
                <w:p w14:paraId="03FECC00">
                  <w:pPr>
                    <w:jc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8:00-16:00</w:t>
                  </w:r>
                </w:p>
              </w:tc>
              <w:tc>
                <w:tcPr>
                  <w:tcW w:w="325" w:type="pct"/>
                  <w:noWrap w:val="0"/>
                  <w:tcMar>
                    <w:top w:w="28" w:type="dxa"/>
                    <w:left w:w="28" w:type="dxa"/>
                    <w:bottom w:w="28" w:type="dxa"/>
                    <w:right w:w="28" w:type="dxa"/>
                  </w:tcMar>
                  <w:vAlign w:val="center"/>
                </w:tcPr>
                <w:p w14:paraId="5C7618B5">
                  <w:pPr>
                    <w:widowControl/>
                    <w:jc w:val="center"/>
                    <w:textAlignment w:val="bottom"/>
                    <w:rPr>
                      <w:color w:val="000000" w:themeColor="text1"/>
                      <w:sz w:val="18"/>
                      <w:szCs w:val="18"/>
                      <w:highlight w:val="none"/>
                      <w14:textFill>
                        <w14:solidFill>
                          <w14:schemeClr w14:val="tx1"/>
                        </w14:solidFill>
                      </w14:textFill>
                    </w:rPr>
                  </w:pPr>
                  <w:r>
                    <w:rPr>
                      <w:rFonts w:hint="default" w:ascii="Times New Roman" w:hAnsi="Times New Roman" w:cs="Times New Roman"/>
                      <w:bCs/>
                      <w:color w:val="000000" w:themeColor="text1"/>
                      <w:sz w:val="18"/>
                      <w:szCs w:val="18"/>
                      <w:highlight w:val="none"/>
                      <w14:textFill>
                        <w14:solidFill>
                          <w14:schemeClr w14:val="tx1"/>
                        </w14:solidFill>
                      </w14:textFill>
                    </w:rPr>
                    <w:t>15</w:t>
                  </w:r>
                </w:p>
              </w:tc>
              <w:tc>
                <w:tcPr>
                  <w:tcW w:w="131" w:type="pct"/>
                  <w:noWrap w:val="0"/>
                  <w:tcMar>
                    <w:top w:w="28" w:type="dxa"/>
                    <w:left w:w="28" w:type="dxa"/>
                    <w:bottom w:w="28" w:type="dxa"/>
                    <w:right w:w="28" w:type="dxa"/>
                  </w:tcMar>
                  <w:vAlign w:val="center"/>
                </w:tcPr>
                <w:p w14:paraId="1B5B618A">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32 </w:t>
                  </w:r>
                </w:p>
              </w:tc>
              <w:tc>
                <w:tcPr>
                  <w:tcW w:w="139" w:type="pct"/>
                  <w:noWrap w:val="0"/>
                  <w:tcMar>
                    <w:top w:w="28" w:type="dxa"/>
                    <w:left w:w="28" w:type="dxa"/>
                    <w:bottom w:w="28" w:type="dxa"/>
                    <w:right w:w="28" w:type="dxa"/>
                  </w:tcMar>
                  <w:vAlign w:val="center"/>
                </w:tcPr>
                <w:p w14:paraId="4C3616FC">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35 </w:t>
                  </w:r>
                </w:p>
              </w:tc>
              <w:tc>
                <w:tcPr>
                  <w:tcW w:w="128" w:type="pct"/>
                  <w:noWrap w:val="0"/>
                  <w:tcMar>
                    <w:top w:w="28" w:type="dxa"/>
                    <w:left w:w="28" w:type="dxa"/>
                    <w:bottom w:w="28" w:type="dxa"/>
                    <w:right w:w="28" w:type="dxa"/>
                  </w:tcMar>
                  <w:vAlign w:val="center"/>
                </w:tcPr>
                <w:p w14:paraId="546DADD8">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35 </w:t>
                  </w:r>
                </w:p>
              </w:tc>
              <w:tc>
                <w:tcPr>
                  <w:tcW w:w="141" w:type="pct"/>
                  <w:noWrap w:val="0"/>
                  <w:tcMar>
                    <w:top w:w="28" w:type="dxa"/>
                    <w:left w:w="28" w:type="dxa"/>
                    <w:bottom w:w="28" w:type="dxa"/>
                    <w:right w:w="28" w:type="dxa"/>
                  </w:tcMar>
                  <w:vAlign w:val="center"/>
                </w:tcPr>
                <w:p w14:paraId="5AA37485">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36 </w:t>
                  </w:r>
                </w:p>
              </w:tc>
              <w:tc>
                <w:tcPr>
                  <w:tcW w:w="275" w:type="pct"/>
                  <w:noWrap w:val="0"/>
                  <w:tcMar>
                    <w:top w:w="28" w:type="dxa"/>
                    <w:left w:w="28" w:type="dxa"/>
                    <w:bottom w:w="28" w:type="dxa"/>
                    <w:right w:w="28" w:type="dxa"/>
                  </w:tcMar>
                  <w:vAlign w:val="center"/>
                </w:tcPr>
                <w:p w14:paraId="6C9D7E79">
                  <w:pPr>
                    <w:widowControl/>
                    <w:jc w:val="center"/>
                    <w:textAlignment w:val="center"/>
                    <w:rPr>
                      <w:color w:val="000000" w:themeColor="text1"/>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w:t>
                  </w:r>
                </w:p>
              </w:tc>
            </w:tr>
            <w:tr w14:paraId="18FA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noWrap w:val="0"/>
                  <w:tcMar>
                    <w:top w:w="28" w:type="dxa"/>
                    <w:left w:w="28" w:type="dxa"/>
                    <w:bottom w:w="28" w:type="dxa"/>
                    <w:right w:w="28" w:type="dxa"/>
                  </w:tcMar>
                  <w:vAlign w:val="center"/>
                </w:tcPr>
                <w:p w14:paraId="3C1EDD64">
                  <w:pPr>
                    <w:widowControl/>
                    <w:jc w:val="center"/>
                    <w:textAlignment w:val="bottom"/>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w:t>
                  </w:r>
                </w:p>
              </w:tc>
              <w:tc>
                <w:tcPr>
                  <w:tcW w:w="224" w:type="pct"/>
                  <w:noWrap w:val="0"/>
                  <w:tcMar>
                    <w:top w:w="28" w:type="dxa"/>
                    <w:left w:w="28" w:type="dxa"/>
                    <w:bottom w:w="28" w:type="dxa"/>
                    <w:right w:w="28" w:type="dxa"/>
                  </w:tcMar>
                  <w:vAlign w:val="center"/>
                </w:tcPr>
                <w:p w14:paraId="711F6D15">
                  <w:pPr>
                    <w:widowControl/>
                    <w:jc w:val="center"/>
                    <w:textAlignment w:val="bottom"/>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喷涂</w:t>
                  </w:r>
                  <w:r>
                    <w:rPr>
                      <w:rFonts w:hint="eastAsia"/>
                      <w:color w:val="000000" w:themeColor="text1"/>
                      <w:kern w:val="0"/>
                      <w:sz w:val="18"/>
                      <w:szCs w:val="18"/>
                      <w:highlight w:val="none"/>
                      <w:lang w:val="en-US" w:eastAsia="zh-CN"/>
                      <w14:textFill>
                        <w14:solidFill>
                          <w14:schemeClr w14:val="tx1"/>
                        </w14:solidFill>
                      </w14:textFill>
                    </w:rPr>
                    <w:t>线2#</w:t>
                  </w:r>
                </w:p>
              </w:tc>
              <w:tc>
                <w:tcPr>
                  <w:tcW w:w="269" w:type="pct"/>
                  <w:noWrap w:val="0"/>
                  <w:tcMar>
                    <w:top w:w="28" w:type="dxa"/>
                    <w:left w:w="28" w:type="dxa"/>
                    <w:bottom w:w="28" w:type="dxa"/>
                    <w:right w:w="28" w:type="dxa"/>
                  </w:tcMar>
                  <w:vAlign w:val="center"/>
                </w:tcPr>
                <w:p w14:paraId="0EB18469">
                  <w:pPr>
                    <w:widowControl/>
                    <w:jc w:val="center"/>
                    <w:textAlignment w:val="bottom"/>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空压机</w:t>
                  </w:r>
                  <w:r>
                    <w:rPr>
                      <w:rFonts w:hint="eastAsia"/>
                      <w:color w:val="000000" w:themeColor="text1"/>
                      <w:kern w:val="0"/>
                      <w:sz w:val="18"/>
                      <w:szCs w:val="18"/>
                      <w:highlight w:val="none"/>
                      <w:lang w:val="en-US" w:eastAsia="zh-CN"/>
                      <w14:textFill>
                        <w14:solidFill>
                          <w14:schemeClr w14:val="tx1"/>
                        </w14:solidFill>
                      </w14:textFill>
                    </w:rPr>
                    <w:t>1#</w:t>
                  </w:r>
                </w:p>
              </w:tc>
              <w:tc>
                <w:tcPr>
                  <w:tcW w:w="165" w:type="pct"/>
                  <w:noWrap w:val="0"/>
                  <w:tcMar>
                    <w:top w:w="28" w:type="dxa"/>
                    <w:left w:w="28" w:type="dxa"/>
                    <w:bottom w:w="28" w:type="dxa"/>
                    <w:right w:w="28" w:type="dxa"/>
                  </w:tcMar>
                  <w:vAlign w:val="center"/>
                </w:tcPr>
                <w:p w14:paraId="4399A5B3">
                  <w:pPr>
                    <w:widowControl/>
                    <w:jc w:val="center"/>
                    <w:textAlignment w:val="bottom"/>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w:t>
                  </w:r>
                </w:p>
              </w:tc>
              <w:tc>
                <w:tcPr>
                  <w:tcW w:w="269" w:type="pct"/>
                  <w:noWrap w:val="0"/>
                  <w:tcMar>
                    <w:top w:w="28" w:type="dxa"/>
                    <w:left w:w="28" w:type="dxa"/>
                    <w:bottom w:w="28" w:type="dxa"/>
                    <w:right w:w="28" w:type="dxa"/>
                  </w:tcMar>
                  <w:vAlign w:val="center"/>
                </w:tcPr>
                <w:p w14:paraId="4237BDE1">
                  <w:pPr>
                    <w:widowControl/>
                    <w:jc w:val="center"/>
                    <w:textAlignment w:val="bottom"/>
                    <w:rPr>
                      <w:rFonts w:hint="eastAsia" w:eastAsia="宋体"/>
                      <w:color w:val="000000" w:themeColor="text1"/>
                      <w:kern w:val="0"/>
                      <w:sz w:val="18"/>
                      <w:szCs w:val="18"/>
                      <w:highlight w:val="none"/>
                      <w:lang w:eastAsia="zh-CN"/>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w:t>
                  </w:r>
                </w:p>
              </w:tc>
              <w:tc>
                <w:tcPr>
                  <w:tcW w:w="269" w:type="pct"/>
                  <w:noWrap w:val="0"/>
                  <w:tcMar>
                    <w:top w:w="28" w:type="dxa"/>
                    <w:left w:w="28" w:type="dxa"/>
                    <w:bottom w:w="28" w:type="dxa"/>
                    <w:right w:w="28" w:type="dxa"/>
                  </w:tcMar>
                  <w:vAlign w:val="center"/>
                </w:tcPr>
                <w:p w14:paraId="51F04C60">
                  <w:pPr>
                    <w:widowControl/>
                    <w:jc w:val="center"/>
                    <w:textAlignment w:val="bottom"/>
                    <w:rPr>
                      <w:rFonts w:hint="default" w:eastAsia="宋体"/>
                      <w:color w:val="000000" w:themeColor="text1"/>
                      <w:kern w:val="0"/>
                      <w:sz w:val="18"/>
                      <w:szCs w:val="18"/>
                      <w:highlight w:val="none"/>
                      <w:lang w:val="en-US" w:eastAsia="zh-CN"/>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90</w:t>
                  </w:r>
                </w:p>
              </w:tc>
              <w:tc>
                <w:tcPr>
                  <w:tcW w:w="325" w:type="pct"/>
                  <w:vMerge w:val="continue"/>
                  <w:noWrap w:val="0"/>
                  <w:tcMar>
                    <w:top w:w="28" w:type="dxa"/>
                    <w:left w:w="28" w:type="dxa"/>
                    <w:bottom w:w="28" w:type="dxa"/>
                    <w:right w:w="28" w:type="dxa"/>
                  </w:tcMar>
                  <w:vAlign w:val="center"/>
                </w:tcPr>
                <w:p w14:paraId="748C119E">
                  <w:pPr>
                    <w:jc w:val="center"/>
                    <w:rPr>
                      <w:color w:val="000000" w:themeColor="text1"/>
                      <w:sz w:val="18"/>
                      <w:szCs w:val="18"/>
                      <w:highlight w:val="none"/>
                      <w14:textFill>
                        <w14:solidFill>
                          <w14:schemeClr w14:val="tx1"/>
                        </w14:solidFill>
                      </w14:textFill>
                    </w:rPr>
                  </w:pPr>
                </w:p>
              </w:tc>
              <w:tc>
                <w:tcPr>
                  <w:tcW w:w="163" w:type="pct"/>
                  <w:noWrap w:val="0"/>
                  <w:tcMar>
                    <w:top w:w="28" w:type="dxa"/>
                    <w:left w:w="28" w:type="dxa"/>
                    <w:bottom w:w="28" w:type="dxa"/>
                    <w:right w:w="28" w:type="dxa"/>
                  </w:tcMar>
                  <w:vAlign w:val="center"/>
                </w:tcPr>
                <w:p w14:paraId="0820A777">
                  <w:pPr>
                    <w:widowControl/>
                    <w:jc w:val="center"/>
                    <w:textAlignment w:val="bottom"/>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-5</w:t>
                  </w:r>
                </w:p>
              </w:tc>
              <w:tc>
                <w:tcPr>
                  <w:tcW w:w="218" w:type="pct"/>
                  <w:noWrap w:val="0"/>
                  <w:tcMar>
                    <w:top w:w="28" w:type="dxa"/>
                    <w:left w:w="28" w:type="dxa"/>
                    <w:bottom w:w="28" w:type="dxa"/>
                    <w:right w:w="28" w:type="dxa"/>
                  </w:tcMar>
                  <w:vAlign w:val="center"/>
                </w:tcPr>
                <w:p w14:paraId="7DFB88E9">
                  <w:pPr>
                    <w:widowControl/>
                    <w:jc w:val="center"/>
                    <w:textAlignment w:val="bottom"/>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p>
              </w:tc>
              <w:tc>
                <w:tcPr>
                  <w:tcW w:w="165" w:type="pct"/>
                  <w:noWrap w:val="0"/>
                  <w:tcMar>
                    <w:top w:w="28" w:type="dxa"/>
                    <w:left w:w="28" w:type="dxa"/>
                    <w:bottom w:w="28" w:type="dxa"/>
                    <w:right w:w="28" w:type="dxa"/>
                  </w:tcMar>
                  <w:vAlign w:val="center"/>
                </w:tcPr>
                <w:p w14:paraId="4A0A46FD">
                  <w:pPr>
                    <w:widowControl/>
                    <w:jc w:val="center"/>
                    <w:textAlignment w:val="bottom"/>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9</w:t>
                  </w:r>
                </w:p>
              </w:tc>
              <w:tc>
                <w:tcPr>
                  <w:tcW w:w="163" w:type="pct"/>
                  <w:noWrap w:val="0"/>
                  <w:tcMar>
                    <w:top w:w="28" w:type="dxa"/>
                    <w:left w:w="28" w:type="dxa"/>
                    <w:bottom w:w="28" w:type="dxa"/>
                    <w:right w:w="28" w:type="dxa"/>
                  </w:tcMar>
                  <w:vAlign w:val="center"/>
                </w:tcPr>
                <w:p w14:paraId="417AD64F">
                  <w:pPr>
                    <w:widowControl/>
                    <w:jc w:val="center"/>
                    <w:textAlignment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35</w:t>
                  </w:r>
                </w:p>
              </w:tc>
              <w:tc>
                <w:tcPr>
                  <w:tcW w:w="163" w:type="pct"/>
                  <w:noWrap w:val="0"/>
                  <w:tcMar>
                    <w:top w:w="28" w:type="dxa"/>
                    <w:left w:w="28" w:type="dxa"/>
                    <w:bottom w:w="28" w:type="dxa"/>
                    <w:right w:w="28" w:type="dxa"/>
                  </w:tcMar>
                  <w:vAlign w:val="center"/>
                </w:tcPr>
                <w:p w14:paraId="0F45F737">
                  <w:pPr>
                    <w:widowControl/>
                    <w:jc w:val="center"/>
                    <w:textAlignment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21</w:t>
                  </w:r>
                </w:p>
              </w:tc>
              <w:tc>
                <w:tcPr>
                  <w:tcW w:w="163" w:type="pct"/>
                  <w:noWrap w:val="0"/>
                  <w:tcMar>
                    <w:top w:w="28" w:type="dxa"/>
                    <w:left w:w="28" w:type="dxa"/>
                    <w:bottom w:w="28" w:type="dxa"/>
                    <w:right w:w="28" w:type="dxa"/>
                  </w:tcMar>
                  <w:vAlign w:val="center"/>
                </w:tcPr>
                <w:p w14:paraId="61E4B814">
                  <w:pPr>
                    <w:widowControl/>
                    <w:jc w:val="center"/>
                    <w:textAlignment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23</w:t>
                  </w:r>
                </w:p>
              </w:tc>
              <w:tc>
                <w:tcPr>
                  <w:tcW w:w="165" w:type="pct"/>
                  <w:noWrap w:val="0"/>
                  <w:tcMar>
                    <w:top w:w="28" w:type="dxa"/>
                    <w:left w:w="28" w:type="dxa"/>
                    <w:bottom w:w="28" w:type="dxa"/>
                    <w:right w:w="28" w:type="dxa"/>
                  </w:tcMar>
                  <w:vAlign w:val="center"/>
                </w:tcPr>
                <w:p w14:paraId="65E429D4">
                  <w:pPr>
                    <w:widowControl/>
                    <w:jc w:val="center"/>
                    <w:textAlignment w:val="cente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22</w:t>
                  </w:r>
                </w:p>
              </w:tc>
              <w:tc>
                <w:tcPr>
                  <w:tcW w:w="163" w:type="pct"/>
                  <w:noWrap w:val="0"/>
                  <w:tcMar>
                    <w:top w:w="28" w:type="dxa"/>
                    <w:left w:w="28" w:type="dxa"/>
                    <w:bottom w:w="28" w:type="dxa"/>
                    <w:right w:w="28" w:type="dxa"/>
                  </w:tcMar>
                  <w:vAlign w:val="center"/>
                </w:tcPr>
                <w:p w14:paraId="1FA214AA">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53.4 </w:t>
                  </w:r>
                </w:p>
              </w:tc>
              <w:tc>
                <w:tcPr>
                  <w:tcW w:w="163" w:type="pct"/>
                  <w:noWrap w:val="0"/>
                  <w:tcMar>
                    <w:top w:w="28" w:type="dxa"/>
                    <w:left w:w="28" w:type="dxa"/>
                    <w:bottom w:w="28" w:type="dxa"/>
                    <w:right w:w="28" w:type="dxa"/>
                  </w:tcMar>
                  <w:vAlign w:val="center"/>
                </w:tcPr>
                <w:p w14:paraId="75E31CC1">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56.5 </w:t>
                  </w:r>
                </w:p>
              </w:tc>
              <w:tc>
                <w:tcPr>
                  <w:tcW w:w="163" w:type="pct"/>
                  <w:noWrap w:val="0"/>
                  <w:tcMar>
                    <w:top w:w="28" w:type="dxa"/>
                    <w:left w:w="28" w:type="dxa"/>
                    <w:bottom w:w="28" w:type="dxa"/>
                    <w:right w:w="28" w:type="dxa"/>
                  </w:tcMar>
                  <w:vAlign w:val="center"/>
                </w:tcPr>
                <w:p w14:paraId="41E399B8">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55.9 </w:t>
                  </w:r>
                </w:p>
              </w:tc>
              <w:tc>
                <w:tcPr>
                  <w:tcW w:w="165" w:type="pct"/>
                  <w:noWrap w:val="0"/>
                  <w:tcMar>
                    <w:top w:w="28" w:type="dxa"/>
                    <w:left w:w="28" w:type="dxa"/>
                    <w:bottom w:w="28" w:type="dxa"/>
                    <w:right w:w="28" w:type="dxa"/>
                  </w:tcMar>
                  <w:vAlign w:val="center"/>
                </w:tcPr>
                <w:p w14:paraId="6F9A10CC">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56.2 </w:t>
                  </w:r>
                </w:p>
              </w:tc>
              <w:tc>
                <w:tcPr>
                  <w:tcW w:w="325" w:type="pct"/>
                  <w:vMerge w:val="continue"/>
                  <w:noWrap w:val="0"/>
                  <w:tcMar>
                    <w:top w:w="28" w:type="dxa"/>
                    <w:left w:w="28" w:type="dxa"/>
                    <w:bottom w:w="28" w:type="dxa"/>
                    <w:right w:w="28" w:type="dxa"/>
                  </w:tcMar>
                  <w:vAlign w:val="center"/>
                </w:tcPr>
                <w:p w14:paraId="197BFB65">
                  <w:pPr>
                    <w:jc w:val="center"/>
                    <w:rPr>
                      <w:color w:val="000000" w:themeColor="text1"/>
                      <w:sz w:val="18"/>
                      <w:szCs w:val="18"/>
                      <w:highlight w:val="none"/>
                      <w14:textFill>
                        <w14:solidFill>
                          <w14:schemeClr w14:val="tx1"/>
                        </w14:solidFill>
                      </w14:textFill>
                    </w:rPr>
                  </w:pPr>
                </w:p>
              </w:tc>
              <w:tc>
                <w:tcPr>
                  <w:tcW w:w="325" w:type="pct"/>
                  <w:noWrap w:val="0"/>
                  <w:tcMar>
                    <w:top w:w="28" w:type="dxa"/>
                    <w:left w:w="28" w:type="dxa"/>
                    <w:bottom w:w="28" w:type="dxa"/>
                    <w:right w:w="28" w:type="dxa"/>
                  </w:tcMar>
                  <w:vAlign w:val="center"/>
                </w:tcPr>
                <w:p w14:paraId="520B4B08">
                  <w:pPr>
                    <w:widowControl/>
                    <w:jc w:val="center"/>
                    <w:textAlignment w:val="bottom"/>
                    <w:rPr>
                      <w:color w:val="000000" w:themeColor="text1"/>
                      <w:sz w:val="18"/>
                      <w:szCs w:val="18"/>
                      <w:highlight w:val="none"/>
                      <w14:textFill>
                        <w14:solidFill>
                          <w14:schemeClr w14:val="tx1"/>
                        </w14:solidFill>
                      </w14:textFill>
                    </w:rPr>
                  </w:pPr>
                  <w:r>
                    <w:rPr>
                      <w:rFonts w:hint="default" w:ascii="Times New Roman" w:hAnsi="Times New Roman" w:cs="Times New Roman"/>
                      <w:bCs/>
                      <w:color w:val="000000" w:themeColor="text1"/>
                      <w:sz w:val="18"/>
                      <w:szCs w:val="18"/>
                      <w:highlight w:val="none"/>
                      <w14:textFill>
                        <w14:solidFill>
                          <w14:schemeClr w14:val="tx1"/>
                        </w14:solidFill>
                      </w14:textFill>
                    </w:rPr>
                    <w:t>15</w:t>
                  </w:r>
                </w:p>
              </w:tc>
              <w:tc>
                <w:tcPr>
                  <w:tcW w:w="131" w:type="pct"/>
                  <w:noWrap w:val="0"/>
                  <w:tcMar>
                    <w:top w:w="28" w:type="dxa"/>
                    <w:left w:w="28" w:type="dxa"/>
                    <w:bottom w:w="28" w:type="dxa"/>
                    <w:right w:w="28" w:type="dxa"/>
                  </w:tcMar>
                  <w:vAlign w:val="center"/>
                </w:tcPr>
                <w:p w14:paraId="15FB1A3D">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32 </w:t>
                  </w:r>
                </w:p>
              </w:tc>
              <w:tc>
                <w:tcPr>
                  <w:tcW w:w="139" w:type="pct"/>
                  <w:noWrap w:val="0"/>
                  <w:tcMar>
                    <w:top w:w="28" w:type="dxa"/>
                    <w:left w:w="28" w:type="dxa"/>
                    <w:bottom w:w="28" w:type="dxa"/>
                    <w:right w:w="28" w:type="dxa"/>
                  </w:tcMar>
                  <w:vAlign w:val="center"/>
                </w:tcPr>
                <w:p w14:paraId="00200129">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36 </w:t>
                  </w:r>
                </w:p>
              </w:tc>
              <w:tc>
                <w:tcPr>
                  <w:tcW w:w="128" w:type="pct"/>
                  <w:noWrap w:val="0"/>
                  <w:tcMar>
                    <w:top w:w="28" w:type="dxa"/>
                    <w:left w:w="28" w:type="dxa"/>
                    <w:bottom w:w="28" w:type="dxa"/>
                    <w:right w:w="28" w:type="dxa"/>
                  </w:tcMar>
                  <w:vAlign w:val="center"/>
                </w:tcPr>
                <w:p w14:paraId="573B1323">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35 </w:t>
                  </w:r>
                </w:p>
              </w:tc>
              <w:tc>
                <w:tcPr>
                  <w:tcW w:w="141" w:type="pct"/>
                  <w:noWrap w:val="0"/>
                  <w:tcMar>
                    <w:top w:w="28" w:type="dxa"/>
                    <w:left w:w="28" w:type="dxa"/>
                    <w:bottom w:w="28" w:type="dxa"/>
                    <w:right w:w="28" w:type="dxa"/>
                  </w:tcMar>
                  <w:vAlign w:val="center"/>
                </w:tcPr>
                <w:p w14:paraId="65BA8324">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35 </w:t>
                  </w:r>
                </w:p>
              </w:tc>
              <w:tc>
                <w:tcPr>
                  <w:tcW w:w="275" w:type="pct"/>
                  <w:noWrap w:val="0"/>
                  <w:tcMar>
                    <w:top w:w="28" w:type="dxa"/>
                    <w:left w:w="28" w:type="dxa"/>
                    <w:bottom w:w="28" w:type="dxa"/>
                    <w:right w:w="28" w:type="dxa"/>
                  </w:tcMar>
                  <w:vAlign w:val="center"/>
                </w:tcPr>
                <w:p w14:paraId="09A18CDF">
                  <w:pPr>
                    <w:widowControl/>
                    <w:jc w:val="center"/>
                    <w:textAlignment w:val="center"/>
                    <w:rPr>
                      <w:color w:val="000000" w:themeColor="text1"/>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w:t>
                  </w:r>
                </w:p>
              </w:tc>
            </w:tr>
            <w:tr w14:paraId="3584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noWrap w:val="0"/>
                  <w:tcMar>
                    <w:top w:w="28" w:type="dxa"/>
                    <w:left w:w="28" w:type="dxa"/>
                    <w:bottom w:w="28" w:type="dxa"/>
                    <w:right w:w="28" w:type="dxa"/>
                  </w:tcMar>
                  <w:vAlign w:val="center"/>
                </w:tcPr>
                <w:p w14:paraId="279507B9">
                  <w:pPr>
                    <w:widowControl/>
                    <w:jc w:val="center"/>
                    <w:textAlignment w:val="bottom"/>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w:t>
                  </w:r>
                </w:p>
              </w:tc>
              <w:tc>
                <w:tcPr>
                  <w:tcW w:w="224" w:type="pct"/>
                  <w:shd w:val="clear" w:color="auto" w:fill="auto"/>
                  <w:noWrap w:val="0"/>
                  <w:tcMar>
                    <w:top w:w="28" w:type="dxa"/>
                    <w:left w:w="28" w:type="dxa"/>
                    <w:bottom w:w="28" w:type="dxa"/>
                    <w:right w:w="28" w:type="dxa"/>
                  </w:tcMar>
                  <w:vAlign w:val="center"/>
                </w:tcPr>
                <w:p w14:paraId="4580B62D">
                  <w:pPr>
                    <w:widowControl/>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14:textFill>
                        <w14:solidFill>
                          <w14:schemeClr w14:val="tx1"/>
                        </w14:solidFill>
                      </w14:textFill>
                    </w:rPr>
                    <w:t>喷涂</w:t>
                  </w:r>
                  <w:r>
                    <w:rPr>
                      <w:rFonts w:hint="eastAsia"/>
                      <w:color w:val="000000" w:themeColor="text1"/>
                      <w:kern w:val="0"/>
                      <w:sz w:val="18"/>
                      <w:szCs w:val="18"/>
                      <w:highlight w:val="none"/>
                      <w:lang w:val="en-US" w:eastAsia="zh-CN"/>
                      <w14:textFill>
                        <w14:solidFill>
                          <w14:schemeClr w14:val="tx1"/>
                        </w14:solidFill>
                      </w14:textFill>
                    </w:rPr>
                    <w:t>线1#</w:t>
                  </w:r>
                </w:p>
              </w:tc>
              <w:tc>
                <w:tcPr>
                  <w:tcW w:w="269" w:type="pct"/>
                  <w:noWrap w:val="0"/>
                  <w:tcMar>
                    <w:top w:w="28" w:type="dxa"/>
                    <w:left w:w="28" w:type="dxa"/>
                    <w:bottom w:w="28" w:type="dxa"/>
                    <w:right w:w="28" w:type="dxa"/>
                  </w:tcMar>
                  <w:vAlign w:val="center"/>
                </w:tcPr>
                <w:p w14:paraId="3E0536E8">
                  <w:pPr>
                    <w:widowControl/>
                    <w:jc w:val="center"/>
                    <w:textAlignment w:val="bottom"/>
                    <w:rPr>
                      <w:rFonts w:hint="default"/>
                      <w:color w:val="000000" w:themeColor="text1"/>
                      <w:kern w:val="0"/>
                      <w:sz w:val="18"/>
                      <w:szCs w:val="18"/>
                      <w:highlight w:val="none"/>
                      <w:lang w:val="en-US"/>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喷淋塔泵1#</w:t>
                  </w:r>
                </w:p>
              </w:tc>
              <w:tc>
                <w:tcPr>
                  <w:tcW w:w="165" w:type="pct"/>
                  <w:noWrap w:val="0"/>
                  <w:tcMar>
                    <w:top w:w="28" w:type="dxa"/>
                    <w:left w:w="28" w:type="dxa"/>
                    <w:bottom w:w="28" w:type="dxa"/>
                    <w:right w:w="28" w:type="dxa"/>
                  </w:tcMar>
                  <w:vAlign w:val="center"/>
                </w:tcPr>
                <w:p w14:paraId="2FF55BD9">
                  <w:pPr>
                    <w:widowControl/>
                    <w:jc w:val="center"/>
                    <w:textAlignment w:val="bottom"/>
                    <w:rPr>
                      <w:rFonts w:hint="eastAsia" w:eastAsia="宋体"/>
                      <w:color w:val="000000" w:themeColor="text1"/>
                      <w:kern w:val="0"/>
                      <w:sz w:val="18"/>
                      <w:szCs w:val="18"/>
                      <w:highlight w:val="none"/>
                      <w:lang w:eastAsia="zh-CN"/>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1</w:t>
                  </w:r>
                </w:p>
              </w:tc>
              <w:tc>
                <w:tcPr>
                  <w:tcW w:w="269" w:type="pct"/>
                  <w:noWrap w:val="0"/>
                  <w:tcMar>
                    <w:top w:w="28" w:type="dxa"/>
                    <w:left w:w="28" w:type="dxa"/>
                    <w:bottom w:w="28" w:type="dxa"/>
                    <w:right w:w="28" w:type="dxa"/>
                  </w:tcMar>
                  <w:vAlign w:val="center"/>
                </w:tcPr>
                <w:p w14:paraId="1F90E551">
                  <w:pPr>
                    <w:widowControl/>
                    <w:jc w:val="center"/>
                    <w:textAlignment w:val="bottom"/>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w:t>
                  </w:r>
                </w:p>
              </w:tc>
              <w:tc>
                <w:tcPr>
                  <w:tcW w:w="269" w:type="pct"/>
                  <w:noWrap w:val="0"/>
                  <w:tcMar>
                    <w:top w:w="28" w:type="dxa"/>
                    <w:left w:w="28" w:type="dxa"/>
                    <w:bottom w:w="28" w:type="dxa"/>
                    <w:right w:w="28" w:type="dxa"/>
                  </w:tcMar>
                  <w:vAlign w:val="center"/>
                </w:tcPr>
                <w:p w14:paraId="00C0DFEB">
                  <w:pPr>
                    <w:widowControl/>
                    <w:jc w:val="center"/>
                    <w:textAlignment w:val="bottom"/>
                    <w:rPr>
                      <w:rFonts w:hint="default" w:eastAsia="宋体"/>
                      <w:color w:val="000000" w:themeColor="text1"/>
                      <w:kern w:val="0"/>
                      <w:sz w:val="18"/>
                      <w:szCs w:val="18"/>
                      <w:highlight w:val="none"/>
                      <w:lang w:val="en-US" w:eastAsia="zh-CN"/>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85</w:t>
                  </w:r>
                </w:p>
              </w:tc>
              <w:tc>
                <w:tcPr>
                  <w:tcW w:w="325" w:type="pct"/>
                  <w:vMerge w:val="continue"/>
                  <w:noWrap w:val="0"/>
                  <w:tcMar>
                    <w:top w:w="28" w:type="dxa"/>
                    <w:left w:w="28" w:type="dxa"/>
                    <w:bottom w:w="28" w:type="dxa"/>
                    <w:right w:w="28" w:type="dxa"/>
                  </w:tcMar>
                  <w:vAlign w:val="center"/>
                </w:tcPr>
                <w:p w14:paraId="0D389D19">
                  <w:pPr>
                    <w:jc w:val="center"/>
                    <w:rPr>
                      <w:color w:val="000000" w:themeColor="text1"/>
                      <w:sz w:val="18"/>
                      <w:szCs w:val="18"/>
                      <w:highlight w:val="none"/>
                      <w14:textFill>
                        <w14:solidFill>
                          <w14:schemeClr w14:val="tx1"/>
                        </w14:solidFill>
                      </w14:textFill>
                    </w:rPr>
                  </w:pPr>
                </w:p>
              </w:tc>
              <w:tc>
                <w:tcPr>
                  <w:tcW w:w="163" w:type="pct"/>
                  <w:noWrap w:val="0"/>
                  <w:tcMar>
                    <w:top w:w="28" w:type="dxa"/>
                    <w:left w:w="28" w:type="dxa"/>
                    <w:bottom w:w="28" w:type="dxa"/>
                    <w:right w:w="28" w:type="dxa"/>
                  </w:tcMar>
                  <w:vAlign w:val="center"/>
                </w:tcPr>
                <w:p w14:paraId="3429CA04">
                  <w:pPr>
                    <w:widowControl/>
                    <w:jc w:val="center"/>
                    <w:textAlignment w:val="bottom"/>
                    <w:rPr>
                      <w:rFonts w:hint="default" w:eastAsia="宋体"/>
                      <w:color w:val="000000" w:themeColor="text1"/>
                      <w:kern w:val="0"/>
                      <w:sz w:val="18"/>
                      <w:szCs w:val="18"/>
                      <w:highlight w:val="none"/>
                      <w:lang w:val="en-US" w:eastAsia="zh-CN"/>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1</w:t>
                  </w:r>
                </w:p>
              </w:tc>
              <w:tc>
                <w:tcPr>
                  <w:tcW w:w="218" w:type="pct"/>
                  <w:noWrap w:val="0"/>
                  <w:tcMar>
                    <w:top w:w="28" w:type="dxa"/>
                    <w:left w:w="28" w:type="dxa"/>
                    <w:bottom w:w="28" w:type="dxa"/>
                    <w:right w:w="28" w:type="dxa"/>
                  </w:tcMar>
                  <w:vAlign w:val="center"/>
                </w:tcPr>
                <w:p w14:paraId="2B374C2E">
                  <w:pPr>
                    <w:widowControl/>
                    <w:jc w:val="center"/>
                    <w:textAlignment w:val="bottom"/>
                    <w:rPr>
                      <w:rFonts w:hint="eastAsia" w:eastAsia="宋体"/>
                      <w:color w:val="000000" w:themeColor="text1"/>
                      <w:kern w:val="0"/>
                      <w:sz w:val="18"/>
                      <w:szCs w:val="18"/>
                      <w:highlight w:val="none"/>
                      <w:lang w:val="en-US" w:eastAsia="zh-CN"/>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2</w:t>
                  </w:r>
                </w:p>
              </w:tc>
              <w:tc>
                <w:tcPr>
                  <w:tcW w:w="165" w:type="pct"/>
                  <w:noWrap w:val="0"/>
                  <w:tcMar>
                    <w:top w:w="28" w:type="dxa"/>
                    <w:left w:w="28" w:type="dxa"/>
                    <w:bottom w:w="28" w:type="dxa"/>
                    <w:right w:w="28" w:type="dxa"/>
                  </w:tcMar>
                  <w:vAlign w:val="center"/>
                </w:tcPr>
                <w:p w14:paraId="11F2B074">
                  <w:pPr>
                    <w:widowControl/>
                    <w:jc w:val="center"/>
                    <w:textAlignment w:val="bottom"/>
                    <w:rPr>
                      <w:rFonts w:hint="eastAsia" w:eastAsia="宋体"/>
                      <w:color w:val="000000" w:themeColor="text1"/>
                      <w:kern w:val="0"/>
                      <w:sz w:val="18"/>
                      <w:szCs w:val="18"/>
                      <w:highlight w:val="none"/>
                      <w:lang w:val="en-US" w:eastAsia="zh-CN"/>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9</w:t>
                  </w:r>
                </w:p>
              </w:tc>
              <w:tc>
                <w:tcPr>
                  <w:tcW w:w="163" w:type="pct"/>
                  <w:noWrap w:val="0"/>
                  <w:tcMar>
                    <w:top w:w="28" w:type="dxa"/>
                    <w:left w:w="28" w:type="dxa"/>
                    <w:bottom w:w="28" w:type="dxa"/>
                    <w:right w:w="28" w:type="dxa"/>
                  </w:tcMar>
                  <w:vAlign w:val="center"/>
                </w:tcPr>
                <w:p w14:paraId="4F24D1E6">
                  <w:pPr>
                    <w:widowControl/>
                    <w:jc w:val="center"/>
                    <w:textAlignment w:val="center"/>
                    <w:rPr>
                      <w:rFonts w:hint="default" w:eastAsia="宋体"/>
                      <w:color w:val="000000" w:themeColor="text1"/>
                      <w:kern w:val="0"/>
                      <w:sz w:val="18"/>
                      <w:szCs w:val="18"/>
                      <w:highlight w:val="none"/>
                      <w:lang w:val="en-US" w:eastAsia="zh-CN"/>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29</w:t>
                  </w:r>
                </w:p>
              </w:tc>
              <w:tc>
                <w:tcPr>
                  <w:tcW w:w="163" w:type="pct"/>
                  <w:noWrap w:val="0"/>
                  <w:tcMar>
                    <w:top w:w="28" w:type="dxa"/>
                    <w:left w:w="28" w:type="dxa"/>
                    <w:bottom w:w="28" w:type="dxa"/>
                    <w:right w:w="28" w:type="dxa"/>
                  </w:tcMar>
                  <w:vAlign w:val="center"/>
                </w:tcPr>
                <w:p w14:paraId="612FAA5D">
                  <w:pPr>
                    <w:widowControl/>
                    <w:jc w:val="center"/>
                    <w:textAlignment w:val="center"/>
                    <w:rPr>
                      <w:color w:val="000000" w:themeColor="text1"/>
                      <w:kern w:val="0"/>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23</w:t>
                  </w:r>
                </w:p>
              </w:tc>
              <w:tc>
                <w:tcPr>
                  <w:tcW w:w="163" w:type="pct"/>
                  <w:noWrap w:val="0"/>
                  <w:tcMar>
                    <w:top w:w="28" w:type="dxa"/>
                    <w:left w:w="28" w:type="dxa"/>
                    <w:bottom w:w="28" w:type="dxa"/>
                    <w:right w:w="28" w:type="dxa"/>
                  </w:tcMar>
                  <w:vAlign w:val="center"/>
                </w:tcPr>
                <w:p w14:paraId="5C64712F">
                  <w:pPr>
                    <w:widowControl/>
                    <w:jc w:val="center"/>
                    <w:textAlignment w:val="center"/>
                    <w:rPr>
                      <w:rFonts w:hint="default" w:eastAsia="宋体"/>
                      <w:color w:val="000000" w:themeColor="text1"/>
                      <w:kern w:val="0"/>
                      <w:sz w:val="18"/>
                      <w:szCs w:val="18"/>
                      <w:highlight w:val="none"/>
                      <w:lang w:val="en-US" w:eastAsia="zh-CN"/>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29</w:t>
                  </w:r>
                </w:p>
              </w:tc>
              <w:tc>
                <w:tcPr>
                  <w:tcW w:w="165" w:type="pct"/>
                  <w:noWrap w:val="0"/>
                  <w:tcMar>
                    <w:top w:w="28" w:type="dxa"/>
                    <w:left w:w="28" w:type="dxa"/>
                    <w:bottom w:w="28" w:type="dxa"/>
                    <w:right w:w="28" w:type="dxa"/>
                  </w:tcMar>
                  <w:vAlign w:val="center"/>
                </w:tcPr>
                <w:p w14:paraId="35B2C9B0">
                  <w:pPr>
                    <w:widowControl/>
                    <w:jc w:val="center"/>
                    <w:textAlignment w:val="center"/>
                    <w:rPr>
                      <w:rFonts w:hint="default" w:eastAsia="宋体"/>
                      <w:color w:val="000000" w:themeColor="text1"/>
                      <w:kern w:val="0"/>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20</w:t>
                  </w:r>
                </w:p>
              </w:tc>
              <w:tc>
                <w:tcPr>
                  <w:tcW w:w="163" w:type="pct"/>
                  <w:noWrap w:val="0"/>
                  <w:tcMar>
                    <w:top w:w="28" w:type="dxa"/>
                    <w:left w:w="28" w:type="dxa"/>
                    <w:bottom w:w="28" w:type="dxa"/>
                    <w:right w:w="28" w:type="dxa"/>
                  </w:tcMar>
                  <w:vAlign w:val="center"/>
                </w:tcPr>
                <w:p w14:paraId="033721F0">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49.5 </w:t>
                  </w:r>
                </w:p>
              </w:tc>
              <w:tc>
                <w:tcPr>
                  <w:tcW w:w="163" w:type="pct"/>
                  <w:noWrap w:val="0"/>
                  <w:tcMar>
                    <w:top w:w="28" w:type="dxa"/>
                    <w:left w:w="28" w:type="dxa"/>
                    <w:bottom w:w="28" w:type="dxa"/>
                    <w:right w:w="28" w:type="dxa"/>
                  </w:tcMar>
                  <w:vAlign w:val="center"/>
                </w:tcPr>
                <w:p w14:paraId="6233698A">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50.9 </w:t>
                  </w:r>
                </w:p>
              </w:tc>
              <w:tc>
                <w:tcPr>
                  <w:tcW w:w="163" w:type="pct"/>
                  <w:noWrap w:val="0"/>
                  <w:tcMar>
                    <w:top w:w="28" w:type="dxa"/>
                    <w:left w:w="28" w:type="dxa"/>
                    <w:bottom w:w="28" w:type="dxa"/>
                    <w:right w:w="28" w:type="dxa"/>
                  </w:tcMar>
                  <w:vAlign w:val="center"/>
                </w:tcPr>
                <w:p w14:paraId="4F476748">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49.5 </w:t>
                  </w:r>
                </w:p>
              </w:tc>
              <w:tc>
                <w:tcPr>
                  <w:tcW w:w="165" w:type="pct"/>
                  <w:noWrap w:val="0"/>
                  <w:tcMar>
                    <w:top w:w="28" w:type="dxa"/>
                    <w:left w:w="28" w:type="dxa"/>
                    <w:bottom w:w="28" w:type="dxa"/>
                    <w:right w:w="28" w:type="dxa"/>
                  </w:tcMar>
                  <w:vAlign w:val="center"/>
                </w:tcPr>
                <w:p w14:paraId="58780B7E">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51.9 </w:t>
                  </w:r>
                </w:p>
              </w:tc>
              <w:tc>
                <w:tcPr>
                  <w:tcW w:w="325" w:type="pct"/>
                  <w:vMerge w:val="continue"/>
                  <w:noWrap w:val="0"/>
                  <w:tcMar>
                    <w:top w:w="28" w:type="dxa"/>
                    <w:left w:w="28" w:type="dxa"/>
                    <w:bottom w:w="28" w:type="dxa"/>
                    <w:right w:w="28" w:type="dxa"/>
                  </w:tcMar>
                  <w:vAlign w:val="center"/>
                </w:tcPr>
                <w:p w14:paraId="3B7FDA3A">
                  <w:pPr>
                    <w:jc w:val="center"/>
                    <w:rPr>
                      <w:color w:val="000000" w:themeColor="text1"/>
                      <w:sz w:val="18"/>
                      <w:szCs w:val="18"/>
                      <w:highlight w:val="none"/>
                      <w14:textFill>
                        <w14:solidFill>
                          <w14:schemeClr w14:val="tx1"/>
                        </w14:solidFill>
                      </w14:textFill>
                    </w:rPr>
                  </w:pPr>
                </w:p>
              </w:tc>
              <w:tc>
                <w:tcPr>
                  <w:tcW w:w="325" w:type="pct"/>
                  <w:noWrap w:val="0"/>
                  <w:tcMar>
                    <w:top w:w="28" w:type="dxa"/>
                    <w:left w:w="28" w:type="dxa"/>
                    <w:bottom w:w="28" w:type="dxa"/>
                    <w:right w:w="28" w:type="dxa"/>
                  </w:tcMar>
                  <w:vAlign w:val="center"/>
                </w:tcPr>
                <w:p w14:paraId="755FB582">
                  <w:pPr>
                    <w:widowControl/>
                    <w:jc w:val="center"/>
                    <w:textAlignment w:val="bottom"/>
                    <w:rPr>
                      <w:color w:val="000000" w:themeColor="text1"/>
                      <w:kern w:val="0"/>
                      <w:sz w:val="18"/>
                      <w:szCs w:val="18"/>
                      <w:highlight w:val="none"/>
                      <w14:textFill>
                        <w14:solidFill>
                          <w14:schemeClr w14:val="tx1"/>
                        </w14:solidFill>
                      </w14:textFill>
                    </w:rPr>
                  </w:pPr>
                  <w:r>
                    <w:rPr>
                      <w:rFonts w:hint="default" w:ascii="Times New Roman" w:hAnsi="Times New Roman" w:cs="Times New Roman"/>
                      <w:bCs/>
                      <w:color w:val="000000" w:themeColor="text1"/>
                      <w:sz w:val="18"/>
                      <w:szCs w:val="18"/>
                      <w:highlight w:val="none"/>
                      <w14:textFill>
                        <w14:solidFill>
                          <w14:schemeClr w14:val="tx1"/>
                        </w14:solidFill>
                      </w14:textFill>
                    </w:rPr>
                    <w:t>15</w:t>
                  </w:r>
                </w:p>
              </w:tc>
              <w:tc>
                <w:tcPr>
                  <w:tcW w:w="131" w:type="pct"/>
                  <w:noWrap w:val="0"/>
                  <w:tcMar>
                    <w:top w:w="28" w:type="dxa"/>
                    <w:left w:w="28" w:type="dxa"/>
                    <w:bottom w:w="28" w:type="dxa"/>
                    <w:right w:w="28" w:type="dxa"/>
                  </w:tcMar>
                  <w:vAlign w:val="center"/>
                </w:tcPr>
                <w:p w14:paraId="41FDB3E5">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28 </w:t>
                  </w:r>
                </w:p>
              </w:tc>
              <w:tc>
                <w:tcPr>
                  <w:tcW w:w="139" w:type="pct"/>
                  <w:noWrap w:val="0"/>
                  <w:tcMar>
                    <w:top w:w="28" w:type="dxa"/>
                    <w:left w:w="28" w:type="dxa"/>
                    <w:bottom w:w="28" w:type="dxa"/>
                    <w:right w:w="28" w:type="dxa"/>
                  </w:tcMar>
                  <w:vAlign w:val="center"/>
                </w:tcPr>
                <w:p w14:paraId="548D8A1F">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30 </w:t>
                  </w:r>
                </w:p>
              </w:tc>
              <w:tc>
                <w:tcPr>
                  <w:tcW w:w="128" w:type="pct"/>
                  <w:noWrap w:val="0"/>
                  <w:tcMar>
                    <w:top w:w="28" w:type="dxa"/>
                    <w:left w:w="28" w:type="dxa"/>
                    <w:bottom w:w="28" w:type="dxa"/>
                    <w:right w:w="28" w:type="dxa"/>
                  </w:tcMar>
                  <w:vAlign w:val="center"/>
                </w:tcPr>
                <w:p w14:paraId="26B28F85">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28 </w:t>
                  </w:r>
                </w:p>
              </w:tc>
              <w:tc>
                <w:tcPr>
                  <w:tcW w:w="141" w:type="pct"/>
                  <w:noWrap w:val="0"/>
                  <w:tcMar>
                    <w:top w:w="28" w:type="dxa"/>
                    <w:left w:w="28" w:type="dxa"/>
                    <w:bottom w:w="28" w:type="dxa"/>
                    <w:right w:w="28" w:type="dxa"/>
                  </w:tcMar>
                  <w:vAlign w:val="center"/>
                </w:tcPr>
                <w:p w14:paraId="0345AEBA">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31 </w:t>
                  </w:r>
                </w:p>
              </w:tc>
              <w:tc>
                <w:tcPr>
                  <w:tcW w:w="275" w:type="pct"/>
                  <w:noWrap w:val="0"/>
                  <w:tcMar>
                    <w:top w:w="28" w:type="dxa"/>
                    <w:left w:w="28" w:type="dxa"/>
                    <w:bottom w:w="28" w:type="dxa"/>
                    <w:right w:w="28" w:type="dxa"/>
                  </w:tcMar>
                  <w:vAlign w:val="center"/>
                </w:tcPr>
                <w:p w14:paraId="567D95E9">
                  <w:pPr>
                    <w:widowControl/>
                    <w:jc w:val="center"/>
                    <w:textAlignment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w:t>
                  </w:r>
                </w:p>
              </w:tc>
            </w:tr>
            <w:tr w14:paraId="67784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shd w:val="clear" w:color="auto" w:fill="auto"/>
                  <w:noWrap w:val="0"/>
                  <w:tcMar>
                    <w:top w:w="28" w:type="dxa"/>
                    <w:left w:w="28" w:type="dxa"/>
                    <w:bottom w:w="28" w:type="dxa"/>
                    <w:right w:w="28" w:type="dxa"/>
                  </w:tcMar>
                  <w:vAlign w:val="center"/>
                </w:tcPr>
                <w:p w14:paraId="6AA8DD14">
                  <w:pPr>
                    <w:widowControl/>
                    <w:jc w:val="center"/>
                    <w:textAlignment w:val="bottom"/>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color w:val="000000" w:themeColor="text1"/>
                      <w:kern w:val="0"/>
                      <w:sz w:val="18"/>
                      <w:szCs w:val="18"/>
                      <w:highlight w:val="none"/>
                      <w14:textFill>
                        <w14:solidFill>
                          <w14:schemeClr w14:val="tx1"/>
                        </w14:solidFill>
                      </w14:textFill>
                    </w:rPr>
                    <w:t>4</w:t>
                  </w:r>
                </w:p>
              </w:tc>
              <w:tc>
                <w:tcPr>
                  <w:tcW w:w="224" w:type="pct"/>
                  <w:shd w:val="clear" w:color="auto" w:fill="auto"/>
                  <w:noWrap w:val="0"/>
                  <w:tcMar>
                    <w:top w:w="28" w:type="dxa"/>
                    <w:left w:w="28" w:type="dxa"/>
                    <w:bottom w:w="28" w:type="dxa"/>
                    <w:right w:w="28" w:type="dxa"/>
                  </w:tcMar>
                  <w:vAlign w:val="center"/>
                </w:tcPr>
                <w:p w14:paraId="3C1D9F29">
                  <w:pPr>
                    <w:widowControl/>
                    <w:jc w:val="center"/>
                    <w:textAlignment w:val="bottom"/>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color w:val="000000" w:themeColor="text1"/>
                      <w:kern w:val="0"/>
                      <w:sz w:val="18"/>
                      <w:szCs w:val="18"/>
                      <w:highlight w:val="none"/>
                      <w14:textFill>
                        <w14:solidFill>
                          <w14:schemeClr w14:val="tx1"/>
                        </w14:solidFill>
                      </w14:textFill>
                    </w:rPr>
                    <w:t>喷涂</w:t>
                  </w:r>
                  <w:r>
                    <w:rPr>
                      <w:rFonts w:hint="eastAsia"/>
                      <w:color w:val="000000" w:themeColor="text1"/>
                      <w:kern w:val="0"/>
                      <w:sz w:val="18"/>
                      <w:szCs w:val="18"/>
                      <w:highlight w:val="none"/>
                      <w:lang w:val="en-US" w:eastAsia="zh-CN"/>
                      <w14:textFill>
                        <w14:solidFill>
                          <w14:schemeClr w14:val="tx1"/>
                        </w14:solidFill>
                      </w14:textFill>
                    </w:rPr>
                    <w:t>线2#</w:t>
                  </w:r>
                </w:p>
              </w:tc>
              <w:tc>
                <w:tcPr>
                  <w:tcW w:w="269" w:type="pct"/>
                  <w:shd w:val="clear" w:color="auto" w:fill="auto"/>
                  <w:noWrap w:val="0"/>
                  <w:tcMar>
                    <w:top w:w="28" w:type="dxa"/>
                    <w:left w:w="28" w:type="dxa"/>
                    <w:bottom w:w="28" w:type="dxa"/>
                    <w:right w:w="28" w:type="dxa"/>
                  </w:tcMar>
                  <w:vAlign w:val="center"/>
                </w:tcPr>
                <w:p w14:paraId="54D0EC97">
                  <w:pPr>
                    <w:widowControl/>
                    <w:jc w:val="center"/>
                    <w:textAlignment w:val="bottom"/>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喷淋塔泵2#</w:t>
                  </w:r>
                </w:p>
              </w:tc>
              <w:tc>
                <w:tcPr>
                  <w:tcW w:w="165" w:type="pct"/>
                  <w:shd w:val="clear" w:color="auto" w:fill="auto"/>
                  <w:noWrap w:val="0"/>
                  <w:tcMar>
                    <w:top w:w="28" w:type="dxa"/>
                    <w:left w:w="28" w:type="dxa"/>
                    <w:bottom w:w="28" w:type="dxa"/>
                    <w:right w:w="28" w:type="dxa"/>
                  </w:tcMar>
                  <w:vAlign w:val="center"/>
                </w:tcPr>
                <w:p w14:paraId="362E4F70">
                  <w:pPr>
                    <w:widowControl/>
                    <w:jc w:val="center"/>
                    <w:textAlignment w:val="bottom"/>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1</w:t>
                  </w:r>
                </w:p>
              </w:tc>
              <w:tc>
                <w:tcPr>
                  <w:tcW w:w="269" w:type="pct"/>
                  <w:shd w:val="clear" w:color="auto" w:fill="auto"/>
                  <w:noWrap w:val="0"/>
                  <w:tcMar>
                    <w:top w:w="28" w:type="dxa"/>
                    <w:left w:w="28" w:type="dxa"/>
                    <w:bottom w:w="28" w:type="dxa"/>
                    <w:right w:w="28" w:type="dxa"/>
                  </w:tcMar>
                  <w:vAlign w:val="center"/>
                </w:tcPr>
                <w:p w14:paraId="5C7BB09E">
                  <w:pPr>
                    <w:widowControl/>
                    <w:jc w:val="center"/>
                    <w:textAlignment w:val="bottom"/>
                    <w:rPr>
                      <w:rFonts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color w:val="000000" w:themeColor="text1"/>
                      <w:kern w:val="0"/>
                      <w:sz w:val="18"/>
                      <w:szCs w:val="18"/>
                      <w:highlight w:val="none"/>
                      <w14:textFill>
                        <w14:solidFill>
                          <w14:schemeClr w14:val="tx1"/>
                        </w14:solidFill>
                      </w14:textFill>
                    </w:rPr>
                    <w:t>/</w:t>
                  </w:r>
                </w:p>
              </w:tc>
              <w:tc>
                <w:tcPr>
                  <w:tcW w:w="269" w:type="pct"/>
                  <w:shd w:val="clear" w:color="auto" w:fill="auto"/>
                  <w:noWrap w:val="0"/>
                  <w:tcMar>
                    <w:top w:w="28" w:type="dxa"/>
                    <w:left w:w="28" w:type="dxa"/>
                    <w:bottom w:w="28" w:type="dxa"/>
                    <w:right w:w="28" w:type="dxa"/>
                  </w:tcMar>
                  <w:vAlign w:val="center"/>
                </w:tcPr>
                <w:p w14:paraId="624C4403">
                  <w:pPr>
                    <w:widowControl/>
                    <w:jc w:val="center"/>
                    <w:textAlignment w:val="bottom"/>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85</w:t>
                  </w:r>
                </w:p>
              </w:tc>
              <w:tc>
                <w:tcPr>
                  <w:tcW w:w="325" w:type="pct"/>
                  <w:vMerge w:val="continue"/>
                  <w:shd w:val="clear" w:color="auto" w:fill="auto"/>
                  <w:noWrap w:val="0"/>
                  <w:tcMar>
                    <w:top w:w="28" w:type="dxa"/>
                    <w:left w:w="28" w:type="dxa"/>
                    <w:bottom w:w="28" w:type="dxa"/>
                    <w:right w:w="28" w:type="dxa"/>
                  </w:tcMar>
                  <w:vAlign w:val="center"/>
                </w:tcPr>
                <w:p w14:paraId="56C0139C">
                  <w:pPr>
                    <w:widowControl/>
                    <w:jc w:val="center"/>
                    <w:textAlignment w:val="bottom"/>
                    <w:rPr>
                      <w:rFonts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p>
              </w:tc>
              <w:tc>
                <w:tcPr>
                  <w:tcW w:w="163" w:type="pct"/>
                  <w:shd w:val="clear" w:color="auto" w:fill="auto"/>
                  <w:noWrap w:val="0"/>
                  <w:tcMar>
                    <w:top w:w="28" w:type="dxa"/>
                    <w:left w:w="28" w:type="dxa"/>
                    <w:bottom w:w="28" w:type="dxa"/>
                    <w:right w:w="28" w:type="dxa"/>
                  </w:tcMar>
                  <w:vAlign w:val="center"/>
                </w:tcPr>
                <w:p w14:paraId="536A1442">
                  <w:pPr>
                    <w:widowControl/>
                    <w:jc w:val="center"/>
                    <w:textAlignment w:val="bottom"/>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w:t>
                  </w:r>
                </w:p>
              </w:tc>
              <w:tc>
                <w:tcPr>
                  <w:tcW w:w="218" w:type="pct"/>
                  <w:noWrap w:val="0"/>
                  <w:tcMar>
                    <w:top w:w="28" w:type="dxa"/>
                    <w:left w:w="28" w:type="dxa"/>
                    <w:bottom w:w="28" w:type="dxa"/>
                    <w:right w:w="28" w:type="dxa"/>
                  </w:tcMar>
                  <w:vAlign w:val="center"/>
                </w:tcPr>
                <w:p w14:paraId="56A3D5A8">
                  <w:pPr>
                    <w:widowControl/>
                    <w:jc w:val="center"/>
                    <w:textAlignment w:val="bottom"/>
                    <w:rPr>
                      <w:rFonts w:hint="default" w:eastAsia="宋体"/>
                      <w:color w:val="000000" w:themeColor="text1"/>
                      <w:kern w:val="0"/>
                      <w:sz w:val="18"/>
                      <w:szCs w:val="18"/>
                      <w:highlight w:val="none"/>
                      <w:lang w:val="en-US" w:eastAsia="zh-CN"/>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-2</w:t>
                  </w:r>
                </w:p>
              </w:tc>
              <w:tc>
                <w:tcPr>
                  <w:tcW w:w="165" w:type="pct"/>
                  <w:noWrap w:val="0"/>
                  <w:tcMar>
                    <w:top w:w="28" w:type="dxa"/>
                    <w:left w:w="28" w:type="dxa"/>
                    <w:bottom w:w="28" w:type="dxa"/>
                    <w:right w:w="28" w:type="dxa"/>
                  </w:tcMar>
                  <w:vAlign w:val="center"/>
                </w:tcPr>
                <w:p w14:paraId="6BBC08D2">
                  <w:pPr>
                    <w:widowControl/>
                    <w:jc w:val="center"/>
                    <w:textAlignment w:val="bottom"/>
                    <w:rPr>
                      <w:rFonts w:hint="eastAsia" w:eastAsia="宋体"/>
                      <w:color w:val="000000" w:themeColor="text1"/>
                      <w:kern w:val="0"/>
                      <w:sz w:val="18"/>
                      <w:szCs w:val="18"/>
                      <w:highlight w:val="none"/>
                      <w:lang w:val="en-US" w:eastAsia="zh-CN"/>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9</w:t>
                  </w:r>
                </w:p>
              </w:tc>
              <w:tc>
                <w:tcPr>
                  <w:tcW w:w="163" w:type="pct"/>
                  <w:noWrap w:val="0"/>
                  <w:tcMar>
                    <w:top w:w="28" w:type="dxa"/>
                    <w:left w:w="28" w:type="dxa"/>
                    <w:bottom w:w="28" w:type="dxa"/>
                    <w:right w:w="28" w:type="dxa"/>
                  </w:tcMar>
                  <w:vAlign w:val="center"/>
                </w:tcPr>
                <w:p w14:paraId="0DE489A0">
                  <w:pPr>
                    <w:widowControl/>
                    <w:jc w:val="center"/>
                    <w:textAlignment w:val="center"/>
                    <w:rPr>
                      <w:color w:val="000000" w:themeColor="text1"/>
                      <w:kern w:val="0"/>
                      <w:sz w:val="18"/>
                      <w:szCs w:val="18"/>
                      <w:highlight w:val="none"/>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29</w:t>
                  </w:r>
                </w:p>
              </w:tc>
              <w:tc>
                <w:tcPr>
                  <w:tcW w:w="163" w:type="pct"/>
                  <w:noWrap w:val="0"/>
                  <w:tcMar>
                    <w:top w:w="28" w:type="dxa"/>
                    <w:left w:w="28" w:type="dxa"/>
                    <w:bottom w:w="28" w:type="dxa"/>
                    <w:right w:w="28" w:type="dxa"/>
                  </w:tcMar>
                  <w:vAlign w:val="center"/>
                </w:tcPr>
                <w:p w14:paraId="26658E2F">
                  <w:pPr>
                    <w:widowControl/>
                    <w:jc w:val="center"/>
                    <w:textAlignment w:val="center"/>
                    <w:rPr>
                      <w:color w:val="000000" w:themeColor="text1"/>
                      <w:kern w:val="0"/>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21</w:t>
                  </w:r>
                </w:p>
              </w:tc>
              <w:tc>
                <w:tcPr>
                  <w:tcW w:w="163" w:type="pct"/>
                  <w:noWrap w:val="0"/>
                  <w:tcMar>
                    <w:top w:w="28" w:type="dxa"/>
                    <w:left w:w="28" w:type="dxa"/>
                    <w:bottom w:w="28" w:type="dxa"/>
                    <w:right w:w="28" w:type="dxa"/>
                  </w:tcMar>
                  <w:vAlign w:val="center"/>
                </w:tcPr>
                <w:p w14:paraId="6E65705A">
                  <w:pPr>
                    <w:widowControl/>
                    <w:jc w:val="center"/>
                    <w:textAlignment w:val="center"/>
                    <w:rPr>
                      <w:color w:val="000000" w:themeColor="text1"/>
                      <w:kern w:val="0"/>
                      <w:sz w:val="18"/>
                      <w:szCs w:val="18"/>
                      <w:highlight w:val="none"/>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29</w:t>
                  </w:r>
                </w:p>
              </w:tc>
              <w:tc>
                <w:tcPr>
                  <w:tcW w:w="165" w:type="pct"/>
                  <w:noWrap w:val="0"/>
                  <w:tcMar>
                    <w:top w:w="28" w:type="dxa"/>
                    <w:left w:w="28" w:type="dxa"/>
                    <w:bottom w:w="28" w:type="dxa"/>
                    <w:right w:w="28" w:type="dxa"/>
                  </w:tcMar>
                  <w:vAlign w:val="center"/>
                </w:tcPr>
                <w:p w14:paraId="45E28883">
                  <w:pPr>
                    <w:widowControl/>
                    <w:jc w:val="center"/>
                    <w:textAlignment w:val="center"/>
                    <w:rPr>
                      <w:rFonts w:hint="default" w:eastAsia="宋体"/>
                      <w:color w:val="000000" w:themeColor="text1"/>
                      <w:kern w:val="0"/>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22</w:t>
                  </w:r>
                </w:p>
              </w:tc>
              <w:tc>
                <w:tcPr>
                  <w:tcW w:w="163" w:type="pct"/>
                  <w:noWrap w:val="0"/>
                  <w:tcMar>
                    <w:top w:w="28" w:type="dxa"/>
                    <w:left w:w="28" w:type="dxa"/>
                    <w:bottom w:w="28" w:type="dxa"/>
                    <w:right w:w="28" w:type="dxa"/>
                  </w:tcMar>
                  <w:vAlign w:val="center"/>
                </w:tcPr>
                <w:p w14:paraId="240E71E7">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49.5 </w:t>
                  </w:r>
                </w:p>
              </w:tc>
              <w:tc>
                <w:tcPr>
                  <w:tcW w:w="163" w:type="pct"/>
                  <w:noWrap w:val="0"/>
                  <w:tcMar>
                    <w:top w:w="28" w:type="dxa"/>
                    <w:left w:w="28" w:type="dxa"/>
                    <w:bottom w:w="28" w:type="dxa"/>
                    <w:right w:w="28" w:type="dxa"/>
                  </w:tcMar>
                  <w:vAlign w:val="center"/>
                </w:tcPr>
                <w:p w14:paraId="3E0B54D3">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51.5 </w:t>
                  </w:r>
                </w:p>
              </w:tc>
              <w:tc>
                <w:tcPr>
                  <w:tcW w:w="163" w:type="pct"/>
                  <w:noWrap w:val="0"/>
                  <w:tcMar>
                    <w:top w:w="28" w:type="dxa"/>
                    <w:left w:w="28" w:type="dxa"/>
                    <w:bottom w:w="28" w:type="dxa"/>
                    <w:right w:w="28" w:type="dxa"/>
                  </w:tcMar>
                  <w:vAlign w:val="center"/>
                </w:tcPr>
                <w:p w14:paraId="69FBBF59">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49.5 </w:t>
                  </w:r>
                </w:p>
              </w:tc>
              <w:tc>
                <w:tcPr>
                  <w:tcW w:w="165" w:type="pct"/>
                  <w:noWrap w:val="0"/>
                  <w:tcMar>
                    <w:top w:w="28" w:type="dxa"/>
                    <w:left w:w="28" w:type="dxa"/>
                    <w:bottom w:w="28" w:type="dxa"/>
                    <w:right w:w="28" w:type="dxa"/>
                  </w:tcMar>
                  <w:vAlign w:val="center"/>
                </w:tcPr>
                <w:p w14:paraId="37EB0EF5">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51.2 </w:t>
                  </w:r>
                </w:p>
              </w:tc>
              <w:tc>
                <w:tcPr>
                  <w:tcW w:w="325" w:type="pct"/>
                  <w:vMerge w:val="continue"/>
                  <w:noWrap w:val="0"/>
                  <w:tcMar>
                    <w:top w:w="28" w:type="dxa"/>
                    <w:left w:w="28" w:type="dxa"/>
                    <w:bottom w:w="28" w:type="dxa"/>
                    <w:right w:w="28" w:type="dxa"/>
                  </w:tcMar>
                  <w:vAlign w:val="center"/>
                </w:tcPr>
                <w:p w14:paraId="3E1C5109">
                  <w:pPr>
                    <w:jc w:val="center"/>
                    <w:rPr>
                      <w:color w:val="000000" w:themeColor="text1"/>
                      <w:sz w:val="18"/>
                      <w:szCs w:val="18"/>
                      <w:highlight w:val="none"/>
                      <w14:textFill>
                        <w14:solidFill>
                          <w14:schemeClr w14:val="tx1"/>
                        </w14:solidFill>
                      </w14:textFill>
                    </w:rPr>
                  </w:pPr>
                </w:p>
              </w:tc>
              <w:tc>
                <w:tcPr>
                  <w:tcW w:w="325" w:type="pct"/>
                  <w:shd w:val="clear" w:color="auto" w:fill="auto"/>
                  <w:noWrap w:val="0"/>
                  <w:tcMar>
                    <w:top w:w="28" w:type="dxa"/>
                    <w:left w:w="28" w:type="dxa"/>
                    <w:bottom w:w="28" w:type="dxa"/>
                    <w:right w:w="28" w:type="dxa"/>
                  </w:tcMar>
                  <w:vAlign w:val="center"/>
                </w:tcPr>
                <w:p w14:paraId="350C752C">
                  <w:pPr>
                    <w:widowControl/>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18"/>
                      <w:szCs w:val="18"/>
                      <w:highlight w:val="none"/>
                      <w14:textFill>
                        <w14:solidFill>
                          <w14:schemeClr w14:val="tx1"/>
                        </w14:solidFill>
                      </w14:textFill>
                    </w:rPr>
                    <w:t>15</w:t>
                  </w:r>
                </w:p>
              </w:tc>
              <w:tc>
                <w:tcPr>
                  <w:tcW w:w="131" w:type="pct"/>
                  <w:shd w:val="clear" w:color="auto" w:fill="auto"/>
                  <w:noWrap w:val="0"/>
                  <w:tcMar>
                    <w:top w:w="28" w:type="dxa"/>
                    <w:left w:w="28" w:type="dxa"/>
                    <w:bottom w:w="28" w:type="dxa"/>
                    <w:right w:w="28" w:type="dxa"/>
                  </w:tcMar>
                  <w:vAlign w:val="center"/>
                </w:tcPr>
                <w:p w14:paraId="779CA66A">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28 </w:t>
                  </w:r>
                </w:p>
              </w:tc>
              <w:tc>
                <w:tcPr>
                  <w:tcW w:w="139" w:type="pct"/>
                  <w:shd w:val="clear" w:color="auto" w:fill="auto"/>
                  <w:noWrap w:val="0"/>
                  <w:tcMar>
                    <w:top w:w="28" w:type="dxa"/>
                    <w:left w:w="28" w:type="dxa"/>
                    <w:bottom w:w="28" w:type="dxa"/>
                    <w:right w:w="28" w:type="dxa"/>
                  </w:tcMar>
                  <w:vAlign w:val="center"/>
                </w:tcPr>
                <w:p w14:paraId="4D01335F">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31 </w:t>
                  </w:r>
                </w:p>
              </w:tc>
              <w:tc>
                <w:tcPr>
                  <w:tcW w:w="128" w:type="pct"/>
                  <w:shd w:val="clear" w:color="auto" w:fill="auto"/>
                  <w:noWrap w:val="0"/>
                  <w:tcMar>
                    <w:top w:w="28" w:type="dxa"/>
                    <w:left w:w="28" w:type="dxa"/>
                    <w:bottom w:w="28" w:type="dxa"/>
                    <w:right w:w="28" w:type="dxa"/>
                  </w:tcMar>
                  <w:vAlign w:val="center"/>
                </w:tcPr>
                <w:p w14:paraId="173CBC45">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28 </w:t>
                  </w:r>
                </w:p>
              </w:tc>
              <w:tc>
                <w:tcPr>
                  <w:tcW w:w="141" w:type="pct"/>
                  <w:shd w:val="clear" w:color="auto" w:fill="auto"/>
                  <w:noWrap w:val="0"/>
                  <w:tcMar>
                    <w:top w:w="28" w:type="dxa"/>
                    <w:left w:w="28" w:type="dxa"/>
                    <w:bottom w:w="28" w:type="dxa"/>
                    <w:right w:w="28" w:type="dxa"/>
                  </w:tcMar>
                  <w:vAlign w:val="center"/>
                </w:tcPr>
                <w:p w14:paraId="630B284C">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30 </w:t>
                  </w:r>
                </w:p>
              </w:tc>
              <w:tc>
                <w:tcPr>
                  <w:tcW w:w="275" w:type="pct"/>
                  <w:shd w:val="clear" w:color="auto" w:fill="auto"/>
                  <w:noWrap w:val="0"/>
                  <w:tcMar>
                    <w:top w:w="28" w:type="dxa"/>
                    <w:left w:w="28" w:type="dxa"/>
                    <w:bottom w:w="28" w:type="dxa"/>
                    <w:right w:w="28" w:type="dxa"/>
                  </w:tcMar>
                  <w:vAlign w:val="center"/>
                </w:tcPr>
                <w:p w14:paraId="23682B99">
                  <w:pPr>
                    <w:widowControl/>
                    <w:jc w:val="center"/>
                    <w:textAlignment w:val="center"/>
                    <w:rPr>
                      <w:rFonts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14:textFill>
                        <w14:solidFill>
                          <w14:schemeClr w14:val="tx1"/>
                        </w14:solidFill>
                      </w14:textFill>
                    </w:rPr>
                    <w:t>1</w:t>
                  </w:r>
                </w:p>
              </w:tc>
            </w:tr>
            <w:tr w14:paraId="0FFE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shd w:val="clear" w:color="auto" w:fill="auto"/>
                  <w:noWrap w:val="0"/>
                  <w:tcMar>
                    <w:top w:w="28" w:type="dxa"/>
                    <w:left w:w="28" w:type="dxa"/>
                    <w:bottom w:w="28" w:type="dxa"/>
                    <w:right w:w="28" w:type="dxa"/>
                  </w:tcMar>
                  <w:vAlign w:val="center"/>
                </w:tcPr>
                <w:p w14:paraId="799BAD19">
                  <w:pPr>
                    <w:widowControl/>
                    <w:jc w:val="center"/>
                    <w:textAlignment w:val="bottom"/>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5</w:t>
                  </w:r>
                </w:p>
              </w:tc>
              <w:tc>
                <w:tcPr>
                  <w:tcW w:w="224" w:type="pct"/>
                  <w:shd w:val="clear" w:color="auto" w:fill="auto"/>
                  <w:noWrap w:val="0"/>
                  <w:tcMar>
                    <w:top w:w="28" w:type="dxa"/>
                    <w:left w:w="28" w:type="dxa"/>
                    <w:bottom w:w="28" w:type="dxa"/>
                    <w:right w:w="28" w:type="dxa"/>
                  </w:tcMar>
                  <w:vAlign w:val="center"/>
                </w:tcPr>
                <w:p w14:paraId="1D5E456E">
                  <w:pPr>
                    <w:widowControl/>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14:textFill>
                        <w14:solidFill>
                          <w14:schemeClr w14:val="tx1"/>
                        </w14:solidFill>
                      </w14:textFill>
                    </w:rPr>
                    <w:t>喷涂</w:t>
                  </w:r>
                  <w:r>
                    <w:rPr>
                      <w:rFonts w:hint="eastAsia"/>
                      <w:color w:val="000000" w:themeColor="text1"/>
                      <w:kern w:val="0"/>
                      <w:sz w:val="18"/>
                      <w:szCs w:val="18"/>
                      <w:highlight w:val="none"/>
                      <w:lang w:val="en-US" w:eastAsia="zh-CN"/>
                      <w14:textFill>
                        <w14:solidFill>
                          <w14:schemeClr w14:val="tx1"/>
                        </w14:solidFill>
                      </w14:textFill>
                    </w:rPr>
                    <w:t>线1#</w:t>
                  </w:r>
                </w:p>
              </w:tc>
              <w:tc>
                <w:tcPr>
                  <w:tcW w:w="269" w:type="pct"/>
                  <w:shd w:val="clear" w:color="auto" w:fill="auto"/>
                  <w:noWrap w:val="0"/>
                  <w:tcMar>
                    <w:top w:w="28" w:type="dxa"/>
                    <w:left w:w="28" w:type="dxa"/>
                    <w:bottom w:w="28" w:type="dxa"/>
                    <w:right w:w="28" w:type="dxa"/>
                  </w:tcMar>
                  <w:vAlign w:val="center"/>
                </w:tcPr>
                <w:p w14:paraId="5507CE86">
                  <w:pPr>
                    <w:widowControl/>
                    <w:jc w:val="center"/>
                    <w:textAlignment w:val="bottom"/>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喷淋塔泵3#</w:t>
                  </w:r>
                </w:p>
              </w:tc>
              <w:tc>
                <w:tcPr>
                  <w:tcW w:w="165" w:type="pct"/>
                  <w:shd w:val="clear" w:color="auto" w:fill="auto"/>
                  <w:noWrap w:val="0"/>
                  <w:tcMar>
                    <w:top w:w="28" w:type="dxa"/>
                    <w:left w:w="28" w:type="dxa"/>
                    <w:bottom w:w="28" w:type="dxa"/>
                    <w:right w:w="28" w:type="dxa"/>
                  </w:tcMar>
                  <w:vAlign w:val="center"/>
                </w:tcPr>
                <w:p w14:paraId="6487DDE1">
                  <w:pPr>
                    <w:widowControl/>
                    <w:jc w:val="center"/>
                    <w:textAlignment w:val="bottom"/>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1</w:t>
                  </w:r>
                </w:p>
              </w:tc>
              <w:tc>
                <w:tcPr>
                  <w:tcW w:w="269" w:type="pct"/>
                  <w:shd w:val="clear" w:color="auto" w:fill="auto"/>
                  <w:noWrap w:val="0"/>
                  <w:tcMar>
                    <w:top w:w="28" w:type="dxa"/>
                    <w:left w:w="28" w:type="dxa"/>
                    <w:bottom w:w="28" w:type="dxa"/>
                    <w:right w:w="28" w:type="dxa"/>
                  </w:tcMar>
                  <w:vAlign w:val="center"/>
                </w:tcPr>
                <w:p w14:paraId="47C1F01B">
                  <w:pPr>
                    <w:widowControl/>
                    <w:jc w:val="center"/>
                    <w:textAlignment w:val="bottom"/>
                    <w:rPr>
                      <w:rFonts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color w:val="000000" w:themeColor="text1"/>
                      <w:kern w:val="0"/>
                      <w:sz w:val="18"/>
                      <w:szCs w:val="18"/>
                      <w:highlight w:val="none"/>
                      <w14:textFill>
                        <w14:solidFill>
                          <w14:schemeClr w14:val="tx1"/>
                        </w14:solidFill>
                      </w14:textFill>
                    </w:rPr>
                    <w:t>/</w:t>
                  </w:r>
                </w:p>
              </w:tc>
              <w:tc>
                <w:tcPr>
                  <w:tcW w:w="269" w:type="pct"/>
                  <w:shd w:val="clear" w:color="auto" w:fill="auto"/>
                  <w:noWrap w:val="0"/>
                  <w:tcMar>
                    <w:top w:w="28" w:type="dxa"/>
                    <w:left w:w="28" w:type="dxa"/>
                    <w:bottom w:w="28" w:type="dxa"/>
                    <w:right w:w="28" w:type="dxa"/>
                  </w:tcMar>
                  <w:vAlign w:val="center"/>
                </w:tcPr>
                <w:p w14:paraId="26C372B5">
                  <w:pPr>
                    <w:widowControl/>
                    <w:jc w:val="center"/>
                    <w:textAlignment w:val="bottom"/>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85</w:t>
                  </w:r>
                </w:p>
              </w:tc>
              <w:tc>
                <w:tcPr>
                  <w:tcW w:w="325" w:type="pct"/>
                  <w:vMerge w:val="continue"/>
                  <w:shd w:val="clear" w:color="auto" w:fill="auto"/>
                  <w:noWrap w:val="0"/>
                  <w:tcMar>
                    <w:top w:w="28" w:type="dxa"/>
                    <w:left w:w="28" w:type="dxa"/>
                    <w:bottom w:w="28" w:type="dxa"/>
                    <w:right w:w="28" w:type="dxa"/>
                  </w:tcMar>
                  <w:vAlign w:val="center"/>
                </w:tcPr>
                <w:p w14:paraId="39C76574">
                  <w:pPr>
                    <w:jc w:val="center"/>
                    <w:rPr>
                      <w:color w:val="000000" w:themeColor="text1"/>
                      <w:sz w:val="18"/>
                      <w:szCs w:val="18"/>
                      <w:highlight w:val="none"/>
                      <w14:textFill>
                        <w14:solidFill>
                          <w14:schemeClr w14:val="tx1"/>
                        </w14:solidFill>
                      </w14:textFill>
                    </w:rPr>
                  </w:pPr>
                </w:p>
              </w:tc>
              <w:tc>
                <w:tcPr>
                  <w:tcW w:w="163" w:type="pct"/>
                  <w:shd w:val="clear" w:color="auto" w:fill="auto"/>
                  <w:noWrap w:val="0"/>
                  <w:tcMar>
                    <w:top w:w="28" w:type="dxa"/>
                    <w:left w:w="28" w:type="dxa"/>
                    <w:bottom w:w="28" w:type="dxa"/>
                    <w:right w:w="28" w:type="dxa"/>
                  </w:tcMar>
                  <w:vAlign w:val="center"/>
                </w:tcPr>
                <w:p w14:paraId="246B4C37">
                  <w:pPr>
                    <w:widowControl/>
                    <w:jc w:val="center"/>
                    <w:textAlignment w:val="bottom"/>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1</w:t>
                  </w:r>
                </w:p>
              </w:tc>
              <w:tc>
                <w:tcPr>
                  <w:tcW w:w="218" w:type="pct"/>
                  <w:shd w:val="clear" w:color="auto" w:fill="auto"/>
                  <w:noWrap w:val="0"/>
                  <w:tcMar>
                    <w:top w:w="28" w:type="dxa"/>
                    <w:left w:w="28" w:type="dxa"/>
                    <w:bottom w:w="28" w:type="dxa"/>
                    <w:right w:w="28" w:type="dxa"/>
                  </w:tcMar>
                  <w:vAlign w:val="center"/>
                </w:tcPr>
                <w:p w14:paraId="2F5A5946">
                  <w:pPr>
                    <w:widowControl/>
                    <w:jc w:val="center"/>
                    <w:textAlignment w:val="bottom"/>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2</w:t>
                  </w:r>
                </w:p>
              </w:tc>
              <w:tc>
                <w:tcPr>
                  <w:tcW w:w="165" w:type="pct"/>
                  <w:shd w:val="clear" w:color="auto" w:fill="auto"/>
                  <w:noWrap w:val="0"/>
                  <w:tcMar>
                    <w:top w:w="28" w:type="dxa"/>
                    <w:left w:w="28" w:type="dxa"/>
                    <w:bottom w:w="28" w:type="dxa"/>
                    <w:right w:w="28" w:type="dxa"/>
                  </w:tcMar>
                  <w:vAlign w:val="center"/>
                </w:tcPr>
                <w:p w14:paraId="41D3582B">
                  <w:pPr>
                    <w:widowControl/>
                    <w:jc w:val="center"/>
                    <w:textAlignment w:val="bottom"/>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9</w:t>
                  </w:r>
                </w:p>
              </w:tc>
              <w:tc>
                <w:tcPr>
                  <w:tcW w:w="163" w:type="pct"/>
                  <w:shd w:val="clear" w:color="auto" w:fill="auto"/>
                  <w:noWrap w:val="0"/>
                  <w:tcMar>
                    <w:top w:w="28" w:type="dxa"/>
                    <w:left w:w="28" w:type="dxa"/>
                    <w:bottom w:w="28" w:type="dxa"/>
                    <w:right w:w="28" w:type="dxa"/>
                  </w:tcMar>
                  <w:vAlign w:val="center"/>
                </w:tcPr>
                <w:p w14:paraId="252CCF66">
                  <w:pPr>
                    <w:widowControl/>
                    <w:jc w:val="center"/>
                    <w:textAlignment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29</w:t>
                  </w:r>
                </w:p>
              </w:tc>
              <w:tc>
                <w:tcPr>
                  <w:tcW w:w="163" w:type="pct"/>
                  <w:shd w:val="clear" w:color="auto" w:fill="auto"/>
                  <w:noWrap w:val="0"/>
                  <w:tcMar>
                    <w:top w:w="28" w:type="dxa"/>
                    <w:left w:w="28" w:type="dxa"/>
                    <w:bottom w:w="28" w:type="dxa"/>
                    <w:right w:w="28" w:type="dxa"/>
                  </w:tcMar>
                  <w:vAlign w:val="center"/>
                </w:tcPr>
                <w:p w14:paraId="1453E8CA">
                  <w:pPr>
                    <w:widowControl/>
                    <w:jc w:val="center"/>
                    <w:textAlignment w:val="center"/>
                    <w:rPr>
                      <w:rFonts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23</w:t>
                  </w:r>
                </w:p>
              </w:tc>
              <w:tc>
                <w:tcPr>
                  <w:tcW w:w="163" w:type="pct"/>
                  <w:shd w:val="clear" w:color="auto" w:fill="auto"/>
                  <w:noWrap w:val="0"/>
                  <w:tcMar>
                    <w:top w:w="28" w:type="dxa"/>
                    <w:left w:w="28" w:type="dxa"/>
                    <w:bottom w:w="28" w:type="dxa"/>
                    <w:right w:w="28" w:type="dxa"/>
                  </w:tcMar>
                  <w:vAlign w:val="center"/>
                </w:tcPr>
                <w:p w14:paraId="02CB4F1E">
                  <w:pPr>
                    <w:widowControl/>
                    <w:jc w:val="center"/>
                    <w:textAlignment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29</w:t>
                  </w:r>
                </w:p>
              </w:tc>
              <w:tc>
                <w:tcPr>
                  <w:tcW w:w="165" w:type="pct"/>
                  <w:shd w:val="clear" w:color="auto" w:fill="auto"/>
                  <w:noWrap w:val="0"/>
                  <w:tcMar>
                    <w:top w:w="28" w:type="dxa"/>
                    <w:left w:w="28" w:type="dxa"/>
                    <w:bottom w:w="28" w:type="dxa"/>
                    <w:right w:w="28" w:type="dxa"/>
                  </w:tcMar>
                  <w:vAlign w:val="center"/>
                </w:tcPr>
                <w:p w14:paraId="609118BA">
                  <w:pPr>
                    <w:widowControl/>
                    <w:jc w:val="center"/>
                    <w:textAlignment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20</w:t>
                  </w:r>
                </w:p>
              </w:tc>
              <w:tc>
                <w:tcPr>
                  <w:tcW w:w="163" w:type="pct"/>
                  <w:shd w:val="clear" w:color="auto" w:fill="auto"/>
                  <w:noWrap w:val="0"/>
                  <w:tcMar>
                    <w:top w:w="28" w:type="dxa"/>
                    <w:left w:w="28" w:type="dxa"/>
                    <w:bottom w:w="28" w:type="dxa"/>
                    <w:right w:w="28" w:type="dxa"/>
                  </w:tcMar>
                  <w:vAlign w:val="center"/>
                </w:tcPr>
                <w:p w14:paraId="5EA95E12">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49.5 </w:t>
                  </w:r>
                </w:p>
              </w:tc>
              <w:tc>
                <w:tcPr>
                  <w:tcW w:w="163" w:type="pct"/>
                  <w:shd w:val="clear" w:color="auto" w:fill="auto"/>
                  <w:noWrap w:val="0"/>
                  <w:tcMar>
                    <w:top w:w="28" w:type="dxa"/>
                    <w:left w:w="28" w:type="dxa"/>
                    <w:bottom w:w="28" w:type="dxa"/>
                    <w:right w:w="28" w:type="dxa"/>
                  </w:tcMar>
                  <w:vAlign w:val="center"/>
                </w:tcPr>
                <w:p w14:paraId="5E435968">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50.9 </w:t>
                  </w:r>
                </w:p>
              </w:tc>
              <w:tc>
                <w:tcPr>
                  <w:tcW w:w="163" w:type="pct"/>
                  <w:shd w:val="clear" w:color="auto" w:fill="auto"/>
                  <w:noWrap w:val="0"/>
                  <w:tcMar>
                    <w:top w:w="28" w:type="dxa"/>
                    <w:left w:w="28" w:type="dxa"/>
                    <w:bottom w:w="28" w:type="dxa"/>
                    <w:right w:w="28" w:type="dxa"/>
                  </w:tcMar>
                  <w:vAlign w:val="center"/>
                </w:tcPr>
                <w:p w14:paraId="3A3B404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49.5 </w:t>
                  </w:r>
                </w:p>
              </w:tc>
              <w:tc>
                <w:tcPr>
                  <w:tcW w:w="165" w:type="pct"/>
                  <w:shd w:val="clear" w:color="auto" w:fill="auto"/>
                  <w:noWrap w:val="0"/>
                  <w:tcMar>
                    <w:top w:w="28" w:type="dxa"/>
                    <w:left w:w="28" w:type="dxa"/>
                    <w:bottom w:w="28" w:type="dxa"/>
                    <w:right w:w="28" w:type="dxa"/>
                  </w:tcMar>
                  <w:vAlign w:val="center"/>
                </w:tcPr>
                <w:p w14:paraId="169D8AAA">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51.9 </w:t>
                  </w:r>
                </w:p>
              </w:tc>
              <w:tc>
                <w:tcPr>
                  <w:tcW w:w="325" w:type="pct"/>
                  <w:vMerge w:val="continue"/>
                  <w:shd w:val="clear" w:color="auto" w:fill="auto"/>
                  <w:noWrap w:val="0"/>
                  <w:tcMar>
                    <w:top w:w="28" w:type="dxa"/>
                    <w:left w:w="28" w:type="dxa"/>
                    <w:bottom w:w="28" w:type="dxa"/>
                    <w:right w:w="28" w:type="dxa"/>
                  </w:tcMar>
                  <w:vAlign w:val="center"/>
                </w:tcPr>
                <w:p w14:paraId="769A3F1F">
                  <w:pPr>
                    <w:jc w:val="center"/>
                    <w:rPr>
                      <w:color w:val="000000" w:themeColor="text1"/>
                      <w:sz w:val="18"/>
                      <w:szCs w:val="18"/>
                      <w:highlight w:val="none"/>
                      <w14:textFill>
                        <w14:solidFill>
                          <w14:schemeClr w14:val="tx1"/>
                        </w14:solidFill>
                      </w14:textFill>
                    </w:rPr>
                  </w:pPr>
                </w:p>
              </w:tc>
              <w:tc>
                <w:tcPr>
                  <w:tcW w:w="325" w:type="pct"/>
                  <w:shd w:val="clear" w:color="auto" w:fill="auto"/>
                  <w:noWrap w:val="0"/>
                  <w:tcMar>
                    <w:top w:w="28" w:type="dxa"/>
                    <w:left w:w="28" w:type="dxa"/>
                    <w:bottom w:w="28" w:type="dxa"/>
                    <w:right w:w="28" w:type="dxa"/>
                  </w:tcMar>
                  <w:vAlign w:val="center"/>
                </w:tcPr>
                <w:p w14:paraId="26B77762">
                  <w:pPr>
                    <w:widowControl/>
                    <w:jc w:val="center"/>
                    <w:textAlignment w:val="bottom"/>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18"/>
                      <w:szCs w:val="18"/>
                      <w:highlight w:val="none"/>
                      <w14:textFill>
                        <w14:solidFill>
                          <w14:schemeClr w14:val="tx1"/>
                        </w14:solidFill>
                      </w14:textFill>
                    </w:rPr>
                    <w:t>15</w:t>
                  </w:r>
                </w:p>
              </w:tc>
              <w:tc>
                <w:tcPr>
                  <w:tcW w:w="131" w:type="pct"/>
                  <w:shd w:val="clear" w:color="auto" w:fill="auto"/>
                  <w:noWrap w:val="0"/>
                  <w:tcMar>
                    <w:top w:w="28" w:type="dxa"/>
                    <w:left w:w="28" w:type="dxa"/>
                    <w:bottom w:w="28" w:type="dxa"/>
                    <w:right w:w="28" w:type="dxa"/>
                  </w:tcMar>
                  <w:vAlign w:val="center"/>
                </w:tcPr>
                <w:p w14:paraId="7603A00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28 </w:t>
                  </w:r>
                </w:p>
              </w:tc>
              <w:tc>
                <w:tcPr>
                  <w:tcW w:w="139" w:type="pct"/>
                  <w:shd w:val="clear" w:color="auto" w:fill="auto"/>
                  <w:noWrap w:val="0"/>
                  <w:tcMar>
                    <w:top w:w="28" w:type="dxa"/>
                    <w:left w:w="28" w:type="dxa"/>
                    <w:bottom w:w="28" w:type="dxa"/>
                    <w:right w:w="28" w:type="dxa"/>
                  </w:tcMar>
                  <w:vAlign w:val="center"/>
                </w:tcPr>
                <w:p w14:paraId="085DD58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30 </w:t>
                  </w:r>
                </w:p>
              </w:tc>
              <w:tc>
                <w:tcPr>
                  <w:tcW w:w="128" w:type="pct"/>
                  <w:shd w:val="clear" w:color="auto" w:fill="auto"/>
                  <w:noWrap w:val="0"/>
                  <w:tcMar>
                    <w:top w:w="28" w:type="dxa"/>
                    <w:left w:w="28" w:type="dxa"/>
                    <w:bottom w:w="28" w:type="dxa"/>
                    <w:right w:w="28" w:type="dxa"/>
                  </w:tcMar>
                  <w:vAlign w:val="center"/>
                </w:tcPr>
                <w:p w14:paraId="412EA4F1">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28 </w:t>
                  </w:r>
                </w:p>
              </w:tc>
              <w:tc>
                <w:tcPr>
                  <w:tcW w:w="141" w:type="pct"/>
                  <w:shd w:val="clear" w:color="auto" w:fill="auto"/>
                  <w:noWrap w:val="0"/>
                  <w:tcMar>
                    <w:top w:w="28" w:type="dxa"/>
                    <w:left w:w="28" w:type="dxa"/>
                    <w:bottom w:w="28" w:type="dxa"/>
                    <w:right w:w="28" w:type="dxa"/>
                  </w:tcMar>
                  <w:vAlign w:val="center"/>
                </w:tcPr>
                <w:p w14:paraId="0FF0B3FA">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31 </w:t>
                  </w:r>
                </w:p>
              </w:tc>
              <w:tc>
                <w:tcPr>
                  <w:tcW w:w="275" w:type="pct"/>
                  <w:shd w:val="clear" w:color="auto" w:fill="auto"/>
                  <w:noWrap w:val="0"/>
                  <w:tcMar>
                    <w:top w:w="28" w:type="dxa"/>
                    <w:left w:w="28" w:type="dxa"/>
                    <w:bottom w:w="28" w:type="dxa"/>
                    <w:right w:w="28" w:type="dxa"/>
                  </w:tcMar>
                  <w:vAlign w:val="center"/>
                </w:tcPr>
                <w:p w14:paraId="79C07EFA">
                  <w:pPr>
                    <w:widowControl/>
                    <w:jc w:val="center"/>
                    <w:textAlignment w:val="center"/>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color w:val="000000" w:themeColor="text1"/>
                      <w:kern w:val="0"/>
                      <w:sz w:val="18"/>
                      <w:szCs w:val="18"/>
                      <w:highlight w:val="none"/>
                      <w14:textFill>
                        <w14:solidFill>
                          <w14:schemeClr w14:val="tx1"/>
                        </w14:solidFill>
                      </w14:textFill>
                    </w:rPr>
                    <w:t>1</w:t>
                  </w:r>
                </w:p>
              </w:tc>
            </w:tr>
            <w:tr w14:paraId="77CF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shd w:val="clear" w:color="auto" w:fill="auto"/>
                  <w:noWrap w:val="0"/>
                  <w:tcMar>
                    <w:top w:w="28" w:type="dxa"/>
                    <w:left w:w="28" w:type="dxa"/>
                    <w:bottom w:w="28" w:type="dxa"/>
                    <w:right w:w="28" w:type="dxa"/>
                  </w:tcMar>
                  <w:vAlign w:val="center"/>
                </w:tcPr>
                <w:p w14:paraId="3086F424">
                  <w:pPr>
                    <w:widowControl/>
                    <w:jc w:val="center"/>
                    <w:textAlignment w:val="bottom"/>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6</w:t>
                  </w:r>
                </w:p>
              </w:tc>
              <w:tc>
                <w:tcPr>
                  <w:tcW w:w="224" w:type="pct"/>
                  <w:shd w:val="clear" w:color="auto" w:fill="auto"/>
                  <w:noWrap w:val="0"/>
                  <w:tcMar>
                    <w:top w:w="28" w:type="dxa"/>
                    <w:left w:w="28" w:type="dxa"/>
                    <w:bottom w:w="28" w:type="dxa"/>
                    <w:right w:w="28" w:type="dxa"/>
                  </w:tcMar>
                  <w:vAlign w:val="center"/>
                </w:tcPr>
                <w:p w14:paraId="73501740">
                  <w:pPr>
                    <w:widowControl/>
                    <w:jc w:val="center"/>
                    <w:textAlignment w:val="bottom"/>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color w:val="000000" w:themeColor="text1"/>
                      <w:kern w:val="0"/>
                      <w:sz w:val="18"/>
                      <w:szCs w:val="18"/>
                      <w:highlight w:val="none"/>
                      <w14:textFill>
                        <w14:solidFill>
                          <w14:schemeClr w14:val="tx1"/>
                        </w14:solidFill>
                      </w14:textFill>
                    </w:rPr>
                    <w:t>喷涂</w:t>
                  </w:r>
                  <w:r>
                    <w:rPr>
                      <w:rFonts w:hint="eastAsia"/>
                      <w:color w:val="000000" w:themeColor="text1"/>
                      <w:kern w:val="0"/>
                      <w:sz w:val="18"/>
                      <w:szCs w:val="18"/>
                      <w:highlight w:val="none"/>
                      <w:lang w:val="en-US" w:eastAsia="zh-CN"/>
                      <w14:textFill>
                        <w14:solidFill>
                          <w14:schemeClr w14:val="tx1"/>
                        </w14:solidFill>
                      </w14:textFill>
                    </w:rPr>
                    <w:t>线2#</w:t>
                  </w:r>
                </w:p>
              </w:tc>
              <w:tc>
                <w:tcPr>
                  <w:tcW w:w="269" w:type="pct"/>
                  <w:shd w:val="clear" w:color="auto" w:fill="auto"/>
                  <w:noWrap w:val="0"/>
                  <w:tcMar>
                    <w:top w:w="28" w:type="dxa"/>
                    <w:left w:w="28" w:type="dxa"/>
                    <w:bottom w:w="28" w:type="dxa"/>
                    <w:right w:w="28" w:type="dxa"/>
                  </w:tcMar>
                  <w:vAlign w:val="center"/>
                </w:tcPr>
                <w:p w14:paraId="4C1144EC">
                  <w:pPr>
                    <w:widowControl/>
                    <w:jc w:val="center"/>
                    <w:textAlignment w:val="bottom"/>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喷淋塔泵4#</w:t>
                  </w:r>
                </w:p>
              </w:tc>
              <w:tc>
                <w:tcPr>
                  <w:tcW w:w="165" w:type="pct"/>
                  <w:shd w:val="clear" w:color="auto" w:fill="auto"/>
                  <w:noWrap w:val="0"/>
                  <w:tcMar>
                    <w:top w:w="28" w:type="dxa"/>
                    <w:left w:w="28" w:type="dxa"/>
                    <w:bottom w:w="28" w:type="dxa"/>
                    <w:right w:w="28" w:type="dxa"/>
                  </w:tcMar>
                  <w:vAlign w:val="center"/>
                </w:tcPr>
                <w:p w14:paraId="6DD0C8C4">
                  <w:pPr>
                    <w:widowControl/>
                    <w:jc w:val="center"/>
                    <w:textAlignment w:val="bottom"/>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1</w:t>
                  </w:r>
                </w:p>
              </w:tc>
              <w:tc>
                <w:tcPr>
                  <w:tcW w:w="269" w:type="pct"/>
                  <w:shd w:val="clear" w:color="auto" w:fill="auto"/>
                  <w:noWrap w:val="0"/>
                  <w:tcMar>
                    <w:top w:w="28" w:type="dxa"/>
                    <w:left w:w="28" w:type="dxa"/>
                    <w:bottom w:w="28" w:type="dxa"/>
                    <w:right w:w="28" w:type="dxa"/>
                  </w:tcMar>
                  <w:vAlign w:val="center"/>
                </w:tcPr>
                <w:p w14:paraId="0A60B023">
                  <w:pPr>
                    <w:widowControl/>
                    <w:jc w:val="center"/>
                    <w:textAlignment w:val="bottom"/>
                    <w:rPr>
                      <w:rFonts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color w:val="000000" w:themeColor="text1"/>
                      <w:kern w:val="0"/>
                      <w:sz w:val="18"/>
                      <w:szCs w:val="18"/>
                      <w:highlight w:val="none"/>
                      <w14:textFill>
                        <w14:solidFill>
                          <w14:schemeClr w14:val="tx1"/>
                        </w14:solidFill>
                      </w14:textFill>
                    </w:rPr>
                    <w:t>/</w:t>
                  </w:r>
                </w:p>
              </w:tc>
              <w:tc>
                <w:tcPr>
                  <w:tcW w:w="269" w:type="pct"/>
                  <w:shd w:val="clear" w:color="auto" w:fill="auto"/>
                  <w:noWrap w:val="0"/>
                  <w:tcMar>
                    <w:top w:w="28" w:type="dxa"/>
                    <w:left w:w="28" w:type="dxa"/>
                    <w:bottom w:w="28" w:type="dxa"/>
                    <w:right w:w="28" w:type="dxa"/>
                  </w:tcMar>
                  <w:vAlign w:val="center"/>
                </w:tcPr>
                <w:p w14:paraId="66CC352C">
                  <w:pPr>
                    <w:widowControl/>
                    <w:jc w:val="center"/>
                    <w:textAlignment w:val="bottom"/>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85</w:t>
                  </w:r>
                </w:p>
              </w:tc>
              <w:tc>
                <w:tcPr>
                  <w:tcW w:w="325" w:type="pct"/>
                  <w:vMerge w:val="continue"/>
                  <w:noWrap w:val="0"/>
                  <w:tcMar>
                    <w:top w:w="28" w:type="dxa"/>
                    <w:left w:w="28" w:type="dxa"/>
                    <w:bottom w:w="28" w:type="dxa"/>
                    <w:right w:w="28" w:type="dxa"/>
                  </w:tcMar>
                  <w:vAlign w:val="center"/>
                </w:tcPr>
                <w:p w14:paraId="68917ACD">
                  <w:pPr>
                    <w:jc w:val="center"/>
                    <w:rPr>
                      <w:color w:val="000000" w:themeColor="text1"/>
                      <w:sz w:val="18"/>
                      <w:szCs w:val="18"/>
                      <w:highlight w:val="none"/>
                      <w14:textFill>
                        <w14:solidFill>
                          <w14:schemeClr w14:val="tx1"/>
                        </w14:solidFill>
                      </w14:textFill>
                    </w:rPr>
                  </w:pPr>
                </w:p>
              </w:tc>
              <w:tc>
                <w:tcPr>
                  <w:tcW w:w="163" w:type="pct"/>
                  <w:shd w:val="clear" w:color="auto" w:fill="auto"/>
                  <w:noWrap w:val="0"/>
                  <w:tcMar>
                    <w:top w:w="28" w:type="dxa"/>
                    <w:left w:w="28" w:type="dxa"/>
                    <w:bottom w:w="28" w:type="dxa"/>
                    <w:right w:w="28" w:type="dxa"/>
                  </w:tcMar>
                  <w:vAlign w:val="center"/>
                </w:tcPr>
                <w:p w14:paraId="689C57EA">
                  <w:pPr>
                    <w:widowControl/>
                    <w:jc w:val="center"/>
                    <w:textAlignment w:val="bottom"/>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1</w:t>
                  </w:r>
                </w:p>
              </w:tc>
              <w:tc>
                <w:tcPr>
                  <w:tcW w:w="218" w:type="pct"/>
                  <w:shd w:val="clear" w:color="auto" w:fill="auto"/>
                  <w:noWrap w:val="0"/>
                  <w:tcMar>
                    <w:top w:w="28" w:type="dxa"/>
                    <w:left w:w="28" w:type="dxa"/>
                    <w:bottom w:w="28" w:type="dxa"/>
                    <w:right w:w="28" w:type="dxa"/>
                  </w:tcMar>
                  <w:vAlign w:val="center"/>
                </w:tcPr>
                <w:p w14:paraId="4A3AF84B">
                  <w:pPr>
                    <w:widowControl/>
                    <w:jc w:val="center"/>
                    <w:textAlignment w:val="bottom"/>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-2</w:t>
                  </w:r>
                </w:p>
              </w:tc>
              <w:tc>
                <w:tcPr>
                  <w:tcW w:w="165" w:type="pct"/>
                  <w:shd w:val="clear" w:color="auto" w:fill="auto"/>
                  <w:noWrap w:val="0"/>
                  <w:tcMar>
                    <w:top w:w="28" w:type="dxa"/>
                    <w:left w:w="28" w:type="dxa"/>
                    <w:bottom w:w="28" w:type="dxa"/>
                    <w:right w:w="28" w:type="dxa"/>
                  </w:tcMar>
                  <w:vAlign w:val="center"/>
                </w:tcPr>
                <w:p w14:paraId="1FDA1203">
                  <w:pPr>
                    <w:widowControl/>
                    <w:jc w:val="center"/>
                    <w:textAlignment w:val="bottom"/>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9</w:t>
                  </w:r>
                </w:p>
              </w:tc>
              <w:tc>
                <w:tcPr>
                  <w:tcW w:w="163" w:type="pct"/>
                  <w:shd w:val="clear" w:color="auto" w:fill="auto"/>
                  <w:noWrap w:val="0"/>
                  <w:tcMar>
                    <w:top w:w="28" w:type="dxa"/>
                    <w:left w:w="28" w:type="dxa"/>
                    <w:bottom w:w="28" w:type="dxa"/>
                    <w:right w:w="28" w:type="dxa"/>
                  </w:tcMar>
                  <w:vAlign w:val="center"/>
                </w:tcPr>
                <w:p w14:paraId="1B33767A">
                  <w:pPr>
                    <w:widowControl/>
                    <w:jc w:val="center"/>
                    <w:textAlignment w:val="center"/>
                    <w:rPr>
                      <w:rFonts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29</w:t>
                  </w:r>
                </w:p>
              </w:tc>
              <w:tc>
                <w:tcPr>
                  <w:tcW w:w="163" w:type="pct"/>
                  <w:shd w:val="clear" w:color="auto" w:fill="auto"/>
                  <w:noWrap w:val="0"/>
                  <w:tcMar>
                    <w:top w:w="28" w:type="dxa"/>
                    <w:left w:w="28" w:type="dxa"/>
                    <w:bottom w:w="28" w:type="dxa"/>
                    <w:right w:w="28" w:type="dxa"/>
                  </w:tcMar>
                  <w:vAlign w:val="center"/>
                </w:tcPr>
                <w:p w14:paraId="2F224BE1">
                  <w:pPr>
                    <w:widowControl/>
                    <w:jc w:val="center"/>
                    <w:textAlignment w:val="center"/>
                    <w:rPr>
                      <w:rFonts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21</w:t>
                  </w:r>
                </w:p>
              </w:tc>
              <w:tc>
                <w:tcPr>
                  <w:tcW w:w="163" w:type="pct"/>
                  <w:shd w:val="clear" w:color="auto" w:fill="auto"/>
                  <w:noWrap w:val="0"/>
                  <w:tcMar>
                    <w:top w:w="28" w:type="dxa"/>
                    <w:left w:w="28" w:type="dxa"/>
                    <w:bottom w:w="28" w:type="dxa"/>
                    <w:right w:w="28" w:type="dxa"/>
                  </w:tcMar>
                  <w:vAlign w:val="center"/>
                </w:tcPr>
                <w:p w14:paraId="5B871960">
                  <w:pPr>
                    <w:widowControl/>
                    <w:jc w:val="center"/>
                    <w:textAlignment w:val="center"/>
                    <w:rPr>
                      <w:rFonts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29</w:t>
                  </w:r>
                </w:p>
              </w:tc>
              <w:tc>
                <w:tcPr>
                  <w:tcW w:w="165" w:type="pct"/>
                  <w:shd w:val="clear" w:color="auto" w:fill="auto"/>
                  <w:noWrap w:val="0"/>
                  <w:tcMar>
                    <w:top w:w="28" w:type="dxa"/>
                    <w:left w:w="28" w:type="dxa"/>
                    <w:bottom w:w="28" w:type="dxa"/>
                    <w:right w:w="28" w:type="dxa"/>
                  </w:tcMar>
                  <w:vAlign w:val="center"/>
                </w:tcPr>
                <w:p w14:paraId="78492AFF">
                  <w:pPr>
                    <w:widowControl/>
                    <w:jc w:val="center"/>
                    <w:textAlignment w:val="center"/>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22</w:t>
                  </w:r>
                </w:p>
              </w:tc>
              <w:tc>
                <w:tcPr>
                  <w:tcW w:w="163" w:type="pct"/>
                  <w:shd w:val="clear" w:color="auto" w:fill="auto"/>
                  <w:noWrap w:val="0"/>
                  <w:tcMar>
                    <w:top w:w="28" w:type="dxa"/>
                    <w:left w:w="28" w:type="dxa"/>
                    <w:bottom w:w="28" w:type="dxa"/>
                    <w:right w:w="28" w:type="dxa"/>
                  </w:tcMar>
                  <w:vAlign w:val="center"/>
                </w:tcPr>
                <w:p w14:paraId="6176403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49.5 </w:t>
                  </w:r>
                </w:p>
              </w:tc>
              <w:tc>
                <w:tcPr>
                  <w:tcW w:w="163" w:type="pct"/>
                  <w:shd w:val="clear" w:color="auto" w:fill="auto"/>
                  <w:noWrap w:val="0"/>
                  <w:tcMar>
                    <w:top w:w="28" w:type="dxa"/>
                    <w:left w:w="28" w:type="dxa"/>
                    <w:bottom w:w="28" w:type="dxa"/>
                    <w:right w:w="28" w:type="dxa"/>
                  </w:tcMar>
                  <w:vAlign w:val="center"/>
                </w:tcPr>
                <w:p w14:paraId="069EAA5F">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51.5 </w:t>
                  </w:r>
                </w:p>
              </w:tc>
              <w:tc>
                <w:tcPr>
                  <w:tcW w:w="163" w:type="pct"/>
                  <w:shd w:val="clear" w:color="auto" w:fill="auto"/>
                  <w:noWrap w:val="0"/>
                  <w:tcMar>
                    <w:top w:w="28" w:type="dxa"/>
                    <w:left w:w="28" w:type="dxa"/>
                    <w:bottom w:w="28" w:type="dxa"/>
                    <w:right w:w="28" w:type="dxa"/>
                  </w:tcMar>
                  <w:vAlign w:val="center"/>
                </w:tcPr>
                <w:p w14:paraId="06E7CEF2">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49.5 </w:t>
                  </w:r>
                </w:p>
              </w:tc>
              <w:tc>
                <w:tcPr>
                  <w:tcW w:w="165" w:type="pct"/>
                  <w:shd w:val="clear" w:color="auto" w:fill="auto"/>
                  <w:noWrap w:val="0"/>
                  <w:tcMar>
                    <w:top w:w="28" w:type="dxa"/>
                    <w:left w:w="28" w:type="dxa"/>
                    <w:bottom w:w="28" w:type="dxa"/>
                    <w:right w:w="28" w:type="dxa"/>
                  </w:tcMar>
                  <w:vAlign w:val="center"/>
                </w:tcPr>
                <w:p w14:paraId="5933CE1C">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51.2 </w:t>
                  </w:r>
                </w:p>
              </w:tc>
              <w:tc>
                <w:tcPr>
                  <w:tcW w:w="325" w:type="pct"/>
                  <w:vMerge w:val="continue"/>
                  <w:noWrap w:val="0"/>
                  <w:tcMar>
                    <w:top w:w="28" w:type="dxa"/>
                    <w:left w:w="28" w:type="dxa"/>
                    <w:bottom w:w="28" w:type="dxa"/>
                    <w:right w:w="28" w:type="dxa"/>
                  </w:tcMar>
                  <w:vAlign w:val="center"/>
                </w:tcPr>
                <w:p w14:paraId="6BB714EB">
                  <w:pPr>
                    <w:jc w:val="center"/>
                    <w:rPr>
                      <w:color w:val="000000" w:themeColor="text1"/>
                      <w:sz w:val="18"/>
                      <w:szCs w:val="18"/>
                      <w:highlight w:val="none"/>
                      <w14:textFill>
                        <w14:solidFill>
                          <w14:schemeClr w14:val="tx1"/>
                        </w14:solidFill>
                      </w14:textFill>
                    </w:rPr>
                  </w:pPr>
                </w:p>
              </w:tc>
              <w:tc>
                <w:tcPr>
                  <w:tcW w:w="325" w:type="pct"/>
                  <w:shd w:val="clear" w:color="auto" w:fill="auto"/>
                  <w:noWrap w:val="0"/>
                  <w:tcMar>
                    <w:top w:w="28" w:type="dxa"/>
                    <w:left w:w="28" w:type="dxa"/>
                    <w:bottom w:w="28" w:type="dxa"/>
                    <w:right w:w="28" w:type="dxa"/>
                  </w:tcMar>
                  <w:vAlign w:val="center"/>
                </w:tcPr>
                <w:p w14:paraId="4C5CF8C5">
                  <w:pPr>
                    <w:widowControl/>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bCs/>
                      <w:color w:val="000000" w:themeColor="text1"/>
                      <w:sz w:val="18"/>
                      <w:szCs w:val="18"/>
                      <w:highlight w:val="none"/>
                      <w14:textFill>
                        <w14:solidFill>
                          <w14:schemeClr w14:val="tx1"/>
                        </w14:solidFill>
                      </w14:textFill>
                    </w:rPr>
                    <w:t>15</w:t>
                  </w:r>
                </w:p>
              </w:tc>
              <w:tc>
                <w:tcPr>
                  <w:tcW w:w="131" w:type="pct"/>
                  <w:shd w:val="clear" w:color="auto" w:fill="auto"/>
                  <w:noWrap w:val="0"/>
                  <w:tcMar>
                    <w:top w:w="28" w:type="dxa"/>
                    <w:left w:w="28" w:type="dxa"/>
                    <w:bottom w:w="28" w:type="dxa"/>
                    <w:right w:w="28" w:type="dxa"/>
                  </w:tcMar>
                  <w:vAlign w:val="center"/>
                </w:tcPr>
                <w:p w14:paraId="0E692DE2">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28 </w:t>
                  </w:r>
                </w:p>
              </w:tc>
              <w:tc>
                <w:tcPr>
                  <w:tcW w:w="139" w:type="pct"/>
                  <w:shd w:val="clear" w:color="auto" w:fill="auto"/>
                  <w:noWrap w:val="0"/>
                  <w:tcMar>
                    <w:top w:w="28" w:type="dxa"/>
                    <w:left w:w="28" w:type="dxa"/>
                    <w:bottom w:w="28" w:type="dxa"/>
                    <w:right w:w="28" w:type="dxa"/>
                  </w:tcMar>
                  <w:vAlign w:val="center"/>
                </w:tcPr>
                <w:p w14:paraId="7208AB9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31 </w:t>
                  </w:r>
                </w:p>
              </w:tc>
              <w:tc>
                <w:tcPr>
                  <w:tcW w:w="128" w:type="pct"/>
                  <w:shd w:val="clear" w:color="auto" w:fill="auto"/>
                  <w:noWrap w:val="0"/>
                  <w:tcMar>
                    <w:top w:w="28" w:type="dxa"/>
                    <w:left w:w="28" w:type="dxa"/>
                    <w:bottom w:w="28" w:type="dxa"/>
                    <w:right w:w="28" w:type="dxa"/>
                  </w:tcMar>
                  <w:vAlign w:val="center"/>
                </w:tcPr>
                <w:p w14:paraId="68496E47">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28 </w:t>
                  </w:r>
                </w:p>
              </w:tc>
              <w:tc>
                <w:tcPr>
                  <w:tcW w:w="141" w:type="pct"/>
                  <w:shd w:val="clear" w:color="auto" w:fill="auto"/>
                  <w:noWrap w:val="0"/>
                  <w:tcMar>
                    <w:top w:w="28" w:type="dxa"/>
                    <w:left w:w="28" w:type="dxa"/>
                    <w:bottom w:w="28" w:type="dxa"/>
                    <w:right w:w="28" w:type="dxa"/>
                  </w:tcMar>
                  <w:vAlign w:val="center"/>
                </w:tcPr>
                <w:p w14:paraId="4B3B33C4">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30 </w:t>
                  </w:r>
                </w:p>
              </w:tc>
              <w:tc>
                <w:tcPr>
                  <w:tcW w:w="275" w:type="pct"/>
                  <w:shd w:val="clear" w:color="auto" w:fill="auto"/>
                  <w:noWrap w:val="0"/>
                  <w:tcMar>
                    <w:top w:w="28" w:type="dxa"/>
                    <w:left w:w="28" w:type="dxa"/>
                    <w:bottom w:w="28" w:type="dxa"/>
                    <w:right w:w="28" w:type="dxa"/>
                  </w:tcMar>
                  <w:vAlign w:val="center"/>
                </w:tcPr>
                <w:p w14:paraId="4C1395E4">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14:textFill>
                        <w14:solidFill>
                          <w14:schemeClr w14:val="tx1"/>
                        </w14:solidFill>
                      </w14:textFill>
                    </w:rPr>
                    <w:t>1</w:t>
                  </w:r>
                </w:p>
              </w:tc>
            </w:tr>
            <w:tr w14:paraId="0408D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shd w:val="clear" w:color="auto" w:fill="auto"/>
                  <w:noWrap w:val="0"/>
                  <w:tcMar>
                    <w:top w:w="28" w:type="dxa"/>
                    <w:left w:w="28" w:type="dxa"/>
                    <w:bottom w:w="28" w:type="dxa"/>
                    <w:right w:w="28" w:type="dxa"/>
                  </w:tcMar>
                  <w:vAlign w:val="center"/>
                </w:tcPr>
                <w:p w14:paraId="16994218">
                  <w:pPr>
                    <w:widowControl/>
                    <w:jc w:val="center"/>
                    <w:textAlignment w:val="bottom"/>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7</w:t>
                  </w:r>
                </w:p>
              </w:tc>
              <w:tc>
                <w:tcPr>
                  <w:tcW w:w="224" w:type="pct"/>
                  <w:shd w:val="clear" w:color="auto" w:fill="auto"/>
                  <w:noWrap w:val="0"/>
                  <w:tcMar>
                    <w:top w:w="28" w:type="dxa"/>
                    <w:left w:w="28" w:type="dxa"/>
                    <w:bottom w:w="28" w:type="dxa"/>
                    <w:right w:w="28" w:type="dxa"/>
                  </w:tcMar>
                  <w:vAlign w:val="center"/>
                </w:tcPr>
                <w:p w14:paraId="257502BA">
                  <w:pPr>
                    <w:widowControl/>
                    <w:jc w:val="center"/>
                    <w:textAlignment w:val="bottom"/>
                    <w:rPr>
                      <w:rFonts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color w:val="000000" w:themeColor="text1"/>
                      <w:kern w:val="0"/>
                      <w:sz w:val="18"/>
                      <w:szCs w:val="18"/>
                      <w:highlight w:val="none"/>
                      <w14:textFill>
                        <w14:solidFill>
                          <w14:schemeClr w14:val="tx1"/>
                        </w14:solidFill>
                      </w14:textFill>
                    </w:rPr>
                    <w:t>喷涂</w:t>
                  </w:r>
                  <w:r>
                    <w:rPr>
                      <w:rFonts w:hint="eastAsia"/>
                      <w:color w:val="000000" w:themeColor="text1"/>
                      <w:kern w:val="0"/>
                      <w:sz w:val="18"/>
                      <w:szCs w:val="18"/>
                      <w:highlight w:val="none"/>
                      <w:lang w:val="en-US" w:eastAsia="zh-CN"/>
                      <w14:textFill>
                        <w14:solidFill>
                          <w14:schemeClr w14:val="tx1"/>
                        </w14:solidFill>
                      </w14:textFill>
                    </w:rPr>
                    <w:t>线1#</w:t>
                  </w:r>
                </w:p>
              </w:tc>
              <w:tc>
                <w:tcPr>
                  <w:tcW w:w="269" w:type="pct"/>
                  <w:shd w:val="clear" w:color="auto" w:fill="auto"/>
                  <w:noWrap w:val="0"/>
                  <w:tcMar>
                    <w:top w:w="28" w:type="dxa"/>
                    <w:left w:w="28" w:type="dxa"/>
                    <w:bottom w:w="28" w:type="dxa"/>
                    <w:right w:w="28" w:type="dxa"/>
                  </w:tcMar>
                  <w:vAlign w:val="center"/>
                </w:tcPr>
                <w:p w14:paraId="2C3ED460">
                  <w:pPr>
                    <w:widowControl/>
                    <w:jc w:val="center"/>
                    <w:textAlignment w:val="bottom"/>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风机1#</w:t>
                  </w:r>
                </w:p>
              </w:tc>
              <w:tc>
                <w:tcPr>
                  <w:tcW w:w="165" w:type="pct"/>
                  <w:shd w:val="clear" w:color="auto" w:fill="auto"/>
                  <w:noWrap w:val="0"/>
                  <w:tcMar>
                    <w:top w:w="28" w:type="dxa"/>
                    <w:left w:w="28" w:type="dxa"/>
                    <w:bottom w:w="28" w:type="dxa"/>
                    <w:right w:w="28" w:type="dxa"/>
                  </w:tcMar>
                  <w:vAlign w:val="center"/>
                </w:tcPr>
                <w:p w14:paraId="44F554AB">
                  <w:pPr>
                    <w:widowControl/>
                    <w:jc w:val="center"/>
                    <w:textAlignment w:val="bottom"/>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1</w:t>
                  </w:r>
                </w:p>
              </w:tc>
              <w:tc>
                <w:tcPr>
                  <w:tcW w:w="269" w:type="pct"/>
                  <w:shd w:val="clear" w:color="auto" w:fill="auto"/>
                  <w:noWrap w:val="0"/>
                  <w:tcMar>
                    <w:top w:w="28" w:type="dxa"/>
                    <w:left w:w="28" w:type="dxa"/>
                    <w:bottom w:w="28" w:type="dxa"/>
                    <w:right w:w="28" w:type="dxa"/>
                  </w:tcMar>
                  <w:vAlign w:val="center"/>
                </w:tcPr>
                <w:p w14:paraId="26BD45D1">
                  <w:pPr>
                    <w:widowControl/>
                    <w:jc w:val="center"/>
                    <w:textAlignment w:val="bottom"/>
                    <w:rPr>
                      <w:rFonts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color w:val="000000" w:themeColor="text1"/>
                      <w:kern w:val="0"/>
                      <w:sz w:val="18"/>
                      <w:szCs w:val="18"/>
                      <w:highlight w:val="none"/>
                      <w14:textFill>
                        <w14:solidFill>
                          <w14:schemeClr w14:val="tx1"/>
                        </w14:solidFill>
                      </w14:textFill>
                    </w:rPr>
                    <w:t>/</w:t>
                  </w:r>
                </w:p>
              </w:tc>
              <w:tc>
                <w:tcPr>
                  <w:tcW w:w="269" w:type="pct"/>
                  <w:shd w:val="clear" w:color="auto" w:fill="auto"/>
                  <w:noWrap w:val="0"/>
                  <w:tcMar>
                    <w:top w:w="28" w:type="dxa"/>
                    <w:left w:w="28" w:type="dxa"/>
                    <w:bottom w:w="28" w:type="dxa"/>
                    <w:right w:w="28" w:type="dxa"/>
                  </w:tcMar>
                  <w:vAlign w:val="center"/>
                </w:tcPr>
                <w:p w14:paraId="7C9A18FC">
                  <w:pPr>
                    <w:widowControl/>
                    <w:jc w:val="center"/>
                    <w:textAlignment w:val="bottom"/>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85</w:t>
                  </w:r>
                </w:p>
              </w:tc>
              <w:tc>
                <w:tcPr>
                  <w:tcW w:w="325" w:type="pct"/>
                  <w:vMerge w:val="continue"/>
                  <w:shd w:val="clear" w:color="auto" w:fill="auto"/>
                  <w:noWrap w:val="0"/>
                  <w:tcMar>
                    <w:top w:w="28" w:type="dxa"/>
                    <w:left w:w="28" w:type="dxa"/>
                    <w:bottom w:w="28" w:type="dxa"/>
                    <w:right w:w="28" w:type="dxa"/>
                  </w:tcMar>
                  <w:vAlign w:val="center"/>
                </w:tcPr>
                <w:p w14:paraId="4F5C2872">
                  <w:pPr>
                    <w:jc w:val="center"/>
                    <w:rPr>
                      <w:rFonts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163" w:type="pct"/>
                  <w:shd w:val="clear" w:color="auto" w:fill="auto"/>
                  <w:noWrap w:val="0"/>
                  <w:tcMar>
                    <w:top w:w="28" w:type="dxa"/>
                    <w:left w:w="28" w:type="dxa"/>
                    <w:bottom w:w="28" w:type="dxa"/>
                    <w:right w:w="28" w:type="dxa"/>
                  </w:tcMar>
                  <w:vAlign w:val="center"/>
                </w:tcPr>
                <w:p w14:paraId="4628FFF4">
                  <w:pPr>
                    <w:widowControl/>
                    <w:jc w:val="center"/>
                    <w:textAlignment w:val="bottom"/>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15</w:t>
                  </w:r>
                </w:p>
              </w:tc>
              <w:tc>
                <w:tcPr>
                  <w:tcW w:w="218" w:type="pct"/>
                  <w:shd w:val="clear" w:color="auto" w:fill="auto"/>
                  <w:noWrap w:val="0"/>
                  <w:tcMar>
                    <w:top w:w="28" w:type="dxa"/>
                    <w:left w:w="28" w:type="dxa"/>
                    <w:bottom w:w="28" w:type="dxa"/>
                    <w:right w:w="28" w:type="dxa"/>
                  </w:tcMar>
                  <w:vAlign w:val="center"/>
                </w:tcPr>
                <w:p w14:paraId="06215541">
                  <w:pPr>
                    <w:widowControl/>
                    <w:jc w:val="center"/>
                    <w:textAlignment w:val="bottom"/>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p>
              </w:tc>
              <w:tc>
                <w:tcPr>
                  <w:tcW w:w="165" w:type="pct"/>
                  <w:shd w:val="clear" w:color="auto" w:fill="auto"/>
                  <w:noWrap w:val="0"/>
                  <w:tcMar>
                    <w:top w:w="28" w:type="dxa"/>
                    <w:left w:w="28" w:type="dxa"/>
                    <w:bottom w:w="28" w:type="dxa"/>
                    <w:right w:w="28" w:type="dxa"/>
                  </w:tcMar>
                  <w:vAlign w:val="center"/>
                </w:tcPr>
                <w:p w14:paraId="18264CBA">
                  <w:pPr>
                    <w:widowControl/>
                    <w:jc w:val="center"/>
                    <w:textAlignment w:val="bottom"/>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9</w:t>
                  </w:r>
                </w:p>
              </w:tc>
              <w:tc>
                <w:tcPr>
                  <w:tcW w:w="163" w:type="pct"/>
                  <w:shd w:val="clear" w:color="auto" w:fill="auto"/>
                  <w:noWrap w:val="0"/>
                  <w:tcMar>
                    <w:top w:w="28" w:type="dxa"/>
                    <w:left w:w="28" w:type="dxa"/>
                    <w:bottom w:w="28" w:type="dxa"/>
                    <w:right w:w="28" w:type="dxa"/>
                  </w:tcMar>
                  <w:vAlign w:val="center"/>
                </w:tcPr>
                <w:p w14:paraId="5EEAE243">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29</w:t>
                  </w:r>
                </w:p>
              </w:tc>
              <w:tc>
                <w:tcPr>
                  <w:tcW w:w="163" w:type="pct"/>
                  <w:shd w:val="clear" w:color="auto" w:fill="auto"/>
                  <w:noWrap w:val="0"/>
                  <w:tcMar>
                    <w:top w:w="28" w:type="dxa"/>
                    <w:left w:w="28" w:type="dxa"/>
                    <w:bottom w:w="28" w:type="dxa"/>
                    <w:right w:w="28" w:type="dxa"/>
                  </w:tcMar>
                  <w:vAlign w:val="center"/>
                </w:tcPr>
                <w:p w14:paraId="4ED1D8C6">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23</w:t>
                  </w:r>
                </w:p>
              </w:tc>
              <w:tc>
                <w:tcPr>
                  <w:tcW w:w="163" w:type="pct"/>
                  <w:shd w:val="clear" w:color="auto" w:fill="auto"/>
                  <w:noWrap w:val="0"/>
                  <w:tcMar>
                    <w:top w:w="28" w:type="dxa"/>
                    <w:left w:w="28" w:type="dxa"/>
                    <w:bottom w:w="28" w:type="dxa"/>
                    <w:right w:w="28" w:type="dxa"/>
                  </w:tcMar>
                  <w:vAlign w:val="center"/>
                </w:tcPr>
                <w:p w14:paraId="1C3CBA1D">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29</w:t>
                  </w:r>
                </w:p>
              </w:tc>
              <w:tc>
                <w:tcPr>
                  <w:tcW w:w="165" w:type="pct"/>
                  <w:shd w:val="clear" w:color="auto" w:fill="auto"/>
                  <w:noWrap w:val="0"/>
                  <w:tcMar>
                    <w:top w:w="28" w:type="dxa"/>
                    <w:left w:w="28" w:type="dxa"/>
                    <w:bottom w:w="28" w:type="dxa"/>
                    <w:right w:w="28" w:type="dxa"/>
                  </w:tcMar>
                  <w:vAlign w:val="center"/>
                </w:tcPr>
                <w:p w14:paraId="6299D8F5">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20</w:t>
                  </w:r>
                </w:p>
              </w:tc>
              <w:tc>
                <w:tcPr>
                  <w:tcW w:w="407" w:type="dxa"/>
                  <w:shd w:val="clear" w:color="auto" w:fill="auto"/>
                  <w:noWrap w:val="0"/>
                  <w:tcMar>
                    <w:top w:w="28" w:type="dxa"/>
                    <w:left w:w="28" w:type="dxa"/>
                    <w:bottom w:w="28" w:type="dxa"/>
                    <w:right w:w="28" w:type="dxa"/>
                  </w:tcMar>
                  <w:vAlign w:val="center"/>
                </w:tcPr>
                <w:p w14:paraId="765AAC36">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49.5 </w:t>
                  </w:r>
                </w:p>
              </w:tc>
              <w:tc>
                <w:tcPr>
                  <w:tcW w:w="407" w:type="dxa"/>
                  <w:shd w:val="clear" w:color="auto" w:fill="auto"/>
                  <w:noWrap w:val="0"/>
                  <w:tcMar>
                    <w:top w:w="28" w:type="dxa"/>
                    <w:left w:w="28" w:type="dxa"/>
                    <w:bottom w:w="28" w:type="dxa"/>
                    <w:right w:w="28" w:type="dxa"/>
                  </w:tcMar>
                  <w:vAlign w:val="center"/>
                </w:tcPr>
                <w:p w14:paraId="2770A6D4">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50.9 </w:t>
                  </w:r>
                </w:p>
              </w:tc>
              <w:tc>
                <w:tcPr>
                  <w:tcW w:w="407" w:type="dxa"/>
                  <w:shd w:val="clear" w:color="auto" w:fill="auto"/>
                  <w:noWrap w:val="0"/>
                  <w:tcMar>
                    <w:top w:w="28" w:type="dxa"/>
                    <w:left w:w="28" w:type="dxa"/>
                    <w:bottom w:w="28" w:type="dxa"/>
                    <w:right w:w="28" w:type="dxa"/>
                  </w:tcMar>
                  <w:vAlign w:val="center"/>
                </w:tcPr>
                <w:p w14:paraId="4C2EC38C">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49.5 </w:t>
                  </w:r>
                </w:p>
              </w:tc>
              <w:tc>
                <w:tcPr>
                  <w:tcW w:w="414" w:type="dxa"/>
                  <w:shd w:val="clear" w:color="auto" w:fill="auto"/>
                  <w:noWrap w:val="0"/>
                  <w:tcMar>
                    <w:top w:w="28" w:type="dxa"/>
                    <w:left w:w="28" w:type="dxa"/>
                    <w:bottom w:w="28" w:type="dxa"/>
                    <w:right w:w="28" w:type="dxa"/>
                  </w:tcMar>
                  <w:vAlign w:val="center"/>
                </w:tcPr>
                <w:p w14:paraId="651DADD3">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51.9 </w:t>
                  </w:r>
                </w:p>
              </w:tc>
              <w:tc>
                <w:tcPr>
                  <w:tcW w:w="325" w:type="pct"/>
                  <w:shd w:val="clear" w:color="auto" w:fill="auto"/>
                  <w:noWrap w:val="0"/>
                  <w:tcMar>
                    <w:top w:w="28" w:type="dxa"/>
                    <w:left w:w="28" w:type="dxa"/>
                    <w:bottom w:w="28" w:type="dxa"/>
                    <w:right w:w="28" w:type="dxa"/>
                  </w:tcMar>
                  <w:vAlign w:val="center"/>
                </w:tcPr>
                <w:p w14:paraId="781B4702">
                  <w:pPr>
                    <w:jc w:val="center"/>
                    <w:rPr>
                      <w:rFonts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p>
              </w:tc>
              <w:tc>
                <w:tcPr>
                  <w:tcW w:w="325" w:type="pct"/>
                  <w:shd w:val="clear" w:color="auto" w:fill="auto"/>
                  <w:noWrap w:val="0"/>
                  <w:tcMar>
                    <w:top w:w="28" w:type="dxa"/>
                    <w:left w:w="28" w:type="dxa"/>
                    <w:bottom w:w="28" w:type="dxa"/>
                    <w:right w:w="28" w:type="dxa"/>
                  </w:tcMar>
                  <w:vAlign w:val="center"/>
                </w:tcPr>
                <w:p w14:paraId="76088255">
                  <w:pPr>
                    <w:widowControl/>
                    <w:jc w:val="center"/>
                    <w:textAlignment w:val="bottom"/>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15</w:t>
                  </w:r>
                </w:p>
              </w:tc>
              <w:tc>
                <w:tcPr>
                  <w:tcW w:w="329" w:type="dxa"/>
                  <w:shd w:val="clear" w:color="auto" w:fill="auto"/>
                  <w:noWrap w:val="0"/>
                  <w:tcMar>
                    <w:top w:w="28" w:type="dxa"/>
                    <w:left w:w="28" w:type="dxa"/>
                    <w:bottom w:w="28" w:type="dxa"/>
                    <w:right w:w="28" w:type="dxa"/>
                  </w:tcMar>
                  <w:vAlign w:val="center"/>
                </w:tcPr>
                <w:p w14:paraId="31620E3A">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28 </w:t>
                  </w:r>
                </w:p>
              </w:tc>
              <w:tc>
                <w:tcPr>
                  <w:tcW w:w="347" w:type="dxa"/>
                  <w:shd w:val="clear" w:color="auto" w:fill="auto"/>
                  <w:noWrap w:val="0"/>
                  <w:tcMar>
                    <w:top w:w="28" w:type="dxa"/>
                    <w:left w:w="28" w:type="dxa"/>
                    <w:bottom w:w="28" w:type="dxa"/>
                    <w:right w:w="28" w:type="dxa"/>
                  </w:tcMar>
                  <w:vAlign w:val="center"/>
                </w:tcPr>
                <w:p w14:paraId="72CEFEB8">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30 </w:t>
                  </w:r>
                </w:p>
              </w:tc>
              <w:tc>
                <w:tcPr>
                  <w:tcW w:w="320" w:type="dxa"/>
                  <w:shd w:val="clear" w:color="auto" w:fill="auto"/>
                  <w:noWrap w:val="0"/>
                  <w:tcMar>
                    <w:top w:w="28" w:type="dxa"/>
                    <w:left w:w="28" w:type="dxa"/>
                    <w:bottom w:w="28" w:type="dxa"/>
                    <w:right w:w="28" w:type="dxa"/>
                  </w:tcMar>
                  <w:vAlign w:val="center"/>
                </w:tcPr>
                <w:p w14:paraId="0A15FB88">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28 </w:t>
                  </w:r>
                </w:p>
              </w:tc>
              <w:tc>
                <w:tcPr>
                  <w:tcW w:w="354" w:type="dxa"/>
                  <w:shd w:val="clear" w:color="auto" w:fill="auto"/>
                  <w:noWrap w:val="0"/>
                  <w:tcMar>
                    <w:top w:w="28" w:type="dxa"/>
                    <w:left w:w="28" w:type="dxa"/>
                    <w:bottom w:w="28" w:type="dxa"/>
                    <w:right w:w="28" w:type="dxa"/>
                  </w:tcMar>
                  <w:vAlign w:val="center"/>
                </w:tcPr>
                <w:p w14:paraId="5DE1C188">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31 </w:t>
                  </w:r>
                </w:p>
              </w:tc>
              <w:tc>
                <w:tcPr>
                  <w:tcW w:w="275" w:type="pct"/>
                  <w:shd w:val="clear" w:color="auto" w:fill="auto"/>
                  <w:noWrap w:val="0"/>
                  <w:tcMar>
                    <w:top w:w="28" w:type="dxa"/>
                    <w:left w:w="28" w:type="dxa"/>
                    <w:bottom w:w="28" w:type="dxa"/>
                    <w:right w:w="28" w:type="dxa"/>
                  </w:tcMar>
                  <w:vAlign w:val="center"/>
                </w:tcPr>
                <w:p w14:paraId="62E682B2">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r>
            <w:tr w14:paraId="33FA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 w:type="pct"/>
                  <w:shd w:val="clear" w:color="auto" w:fill="auto"/>
                  <w:noWrap w:val="0"/>
                  <w:tcMar>
                    <w:top w:w="28" w:type="dxa"/>
                    <w:left w:w="28" w:type="dxa"/>
                    <w:bottom w:w="28" w:type="dxa"/>
                    <w:right w:w="28" w:type="dxa"/>
                  </w:tcMar>
                  <w:vAlign w:val="center"/>
                </w:tcPr>
                <w:p w14:paraId="7AA3C077">
                  <w:pPr>
                    <w:widowControl/>
                    <w:jc w:val="center"/>
                    <w:textAlignment w:val="bottom"/>
                    <w:rPr>
                      <w:rFonts w:hint="default"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s="Times New Roman"/>
                      <w:color w:val="000000" w:themeColor="text1"/>
                      <w:kern w:val="0"/>
                      <w:sz w:val="18"/>
                      <w:szCs w:val="18"/>
                      <w:highlight w:val="none"/>
                      <w:lang w:val="en-US" w:eastAsia="zh-CN" w:bidi="ar-SA"/>
                      <w14:textFill>
                        <w14:solidFill>
                          <w14:schemeClr w14:val="tx1"/>
                        </w14:solidFill>
                      </w14:textFill>
                    </w:rPr>
                    <w:t>8</w:t>
                  </w:r>
                </w:p>
              </w:tc>
              <w:tc>
                <w:tcPr>
                  <w:tcW w:w="224" w:type="pct"/>
                  <w:shd w:val="clear" w:color="auto" w:fill="auto"/>
                  <w:noWrap w:val="0"/>
                  <w:tcMar>
                    <w:top w:w="28" w:type="dxa"/>
                    <w:left w:w="28" w:type="dxa"/>
                    <w:bottom w:w="28" w:type="dxa"/>
                    <w:right w:w="28" w:type="dxa"/>
                  </w:tcMar>
                  <w:vAlign w:val="center"/>
                </w:tcPr>
                <w:p w14:paraId="4C9D9AAB">
                  <w:pPr>
                    <w:widowControl/>
                    <w:jc w:val="center"/>
                    <w:textAlignment w:val="bottom"/>
                    <w:rPr>
                      <w:rFonts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color w:val="000000" w:themeColor="text1"/>
                      <w:kern w:val="0"/>
                      <w:sz w:val="18"/>
                      <w:szCs w:val="18"/>
                      <w:highlight w:val="none"/>
                      <w14:textFill>
                        <w14:solidFill>
                          <w14:schemeClr w14:val="tx1"/>
                        </w14:solidFill>
                      </w14:textFill>
                    </w:rPr>
                    <w:t>喷涂</w:t>
                  </w:r>
                  <w:r>
                    <w:rPr>
                      <w:rFonts w:hint="eastAsia"/>
                      <w:color w:val="000000" w:themeColor="text1"/>
                      <w:kern w:val="0"/>
                      <w:sz w:val="18"/>
                      <w:szCs w:val="18"/>
                      <w:highlight w:val="none"/>
                      <w:lang w:val="en-US" w:eastAsia="zh-CN"/>
                      <w14:textFill>
                        <w14:solidFill>
                          <w14:schemeClr w14:val="tx1"/>
                        </w14:solidFill>
                      </w14:textFill>
                    </w:rPr>
                    <w:t>线2#</w:t>
                  </w:r>
                </w:p>
              </w:tc>
              <w:tc>
                <w:tcPr>
                  <w:tcW w:w="269" w:type="pct"/>
                  <w:shd w:val="clear" w:color="auto" w:fill="auto"/>
                  <w:noWrap w:val="0"/>
                  <w:tcMar>
                    <w:top w:w="28" w:type="dxa"/>
                    <w:left w:w="28" w:type="dxa"/>
                    <w:bottom w:w="28" w:type="dxa"/>
                    <w:right w:w="28" w:type="dxa"/>
                  </w:tcMar>
                  <w:vAlign w:val="center"/>
                </w:tcPr>
                <w:p w14:paraId="1FF62F96">
                  <w:pPr>
                    <w:widowControl/>
                    <w:jc w:val="center"/>
                    <w:textAlignment w:val="bottom"/>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风机2#</w:t>
                  </w:r>
                </w:p>
              </w:tc>
              <w:tc>
                <w:tcPr>
                  <w:tcW w:w="165" w:type="pct"/>
                  <w:shd w:val="clear" w:color="auto" w:fill="auto"/>
                  <w:noWrap w:val="0"/>
                  <w:tcMar>
                    <w:top w:w="28" w:type="dxa"/>
                    <w:left w:w="28" w:type="dxa"/>
                    <w:bottom w:w="28" w:type="dxa"/>
                    <w:right w:w="28" w:type="dxa"/>
                  </w:tcMar>
                  <w:vAlign w:val="center"/>
                </w:tcPr>
                <w:p w14:paraId="68EAEA13">
                  <w:pPr>
                    <w:widowControl/>
                    <w:jc w:val="center"/>
                    <w:textAlignment w:val="bottom"/>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1</w:t>
                  </w:r>
                </w:p>
              </w:tc>
              <w:tc>
                <w:tcPr>
                  <w:tcW w:w="269" w:type="pct"/>
                  <w:shd w:val="clear" w:color="auto" w:fill="auto"/>
                  <w:noWrap w:val="0"/>
                  <w:tcMar>
                    <w:top w:w="28" w:type="dxa"/>
                    <w:left w:w="28" w:type="dxa"/>
                    <w:bottom w:w="28" w:type="dxa"/>
                    <w:right w:w="28" w:type="dxa"/>
                  </w:tcMar>
                  <w:vAlign w:val="center"/>
                </w:tcPr>
                <w:p w14:paraId="4E13381E">
                  <w:pPr>
                    <w:widowControl/>
                    <w:jc w:val="center"/>
                    <w:textAlignment w:val="bottom"/>
                    <w:rPr>
                      <w:rFonts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color w:val="000000" w:themeColor="text1"/>
                      <w:kern w:val="0"/>
                      <w:sz w:val="18"/>
                      <w:szCs w:val="18"/>
                      <w:highlight w:val="none"/>
                      <w14:textFill>
                        <w14:solidFill>
                          <w14:schemeClr w14:val="tx1"/>
                        </w14:solidFill>
                      </w14:textFill>
                    </w:rPr>
                    <w:t>/</w:t>
                  </w:r>
                </w:p>
              </w:tc>
              <w:tc>
                <w:tcPr>
                  <w:tcW w:w="269" w:type="pct"/>
                  <w:shd w:val="clear" w:color="auto" w:fill="auto"/>
                  <w:noWrap w:val="0"/>
                  <w:tcMar>
                    <w:top w:w="28" w:type="dxa"/>
                    <w:left w:w="28" w:type="dxa"/>
                    <w:bottom w:w="28" w:type="dxa"/>
                    <w:right w:w="28" w:type="dxa"/>
                  </w:tcMar>
                  <w:vAlign w:val="center"/>
                </w:tcPr>
                <w:p w14:paraId="599B654B">
                  <w:pPr>
                    <w:widowControl/>
                    <w:jc w:val="center"/>
                    <w:textAlignment w:val="bottom"/>
                    <w:rPr>
                      <w:rFonts w:hint="eastAsia" w:ascii="Times New Roman" w:hAnsi="Times New Roman" w:eastAsia="宋体" w:cs="Times New Roman"/>
                      <w:color w:val="000000" w:themeColor="text1"/>
                      <w:kern w:val="0"/>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85</w:t>
                  </w:r>
                </w:p>
              </w:tc>
              <w:tc>
                <w:tcPr>
                  <w:tcW w:w="325" w:type="pct"/>
                  <w:vMerge w:val="continue"/>
                  <w:noWrap w:val="0"/>
                  <w:tcMar>
                    <w:top w:w="28" w:type="dxa"/>
                    <w:left w:w="28" w:type="dxa"/>
                    <w:bottom w:w="28" w:type="dxa"/>
                    <w:right w:w="28" w:type="dxa"/>
                  </w:tcMar>
                  <w:vAlign w:val="center"/>
                </w:tcPr>
                <w:p w14:paraId="75879456">
                  <w:pPr>
                    <w:jc w:val="center"/>
                    <w:rPr>
                      <w:color w:val="000000" w:themeColor="text1"/>
                      <w:sz w:val="18"/>
                      <w:szCs w:val="18"/>
                      <w:highlight w:val="none"/>
                      <w14:textFill>
                        <w14:solidFill>
                          <w14:schemeClr w14:val="tx1"/>
                        </w14:solidFill>
                      </w14:textFill>
                    </w:rPr>
                  </w:pPr>
                </w:p>
              </w:tc>
              <w:tc>
                <w:tcPr>
                  <w:tcW w:w="163" w:type="pct"/>
                  <w:shd w:val="clear" w:color="auto" w:fill="auto"/>
                  <w:noWrap w:val="0"/>
                  <w:tcMar>
                    <w:top w:w="28" w:type="dxa"/>
                    <w:left w:w="28" w:type="dxa"/>
                    <w:bottom w:w="28" w:type="dxa"/>
                    <w:right w:w="28" w:type="dxa"/>
                  </w:tcMar>
                  <w:vAlign w:val="center"/>
                </w:tcPr>
                <w:p w14:paraId="6DECFAD8">
                  <w:pPr>
                    <w:widowControl/>
                    <w:jc w:val="center"/>
                    <w:textAlignment w:val="bottom"/>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15</w:t>
                  </w:r>
                </w:p>
              </w:tc>
              <w:tc>
                <w:tcPr>
                  <w:tcW w:w="218" w:type="pct"/>
                  <w:shd w:val="clear" w:color="auto" w:fill="auto"/>
                  <w:noWrap w:val="0"/>
                  <w:tcMar>
                    <w:top w:w="28" w:type="dxa"/>
                    <w:left w:w="28" w:type="dxa"/>
                    <w:bottom w:w="28" w:type="dxa"/>
                    <w:right w:w="28" w:type="dxa"/>
                  </w:tcMar>
                  <w:vAlign w:val="center"/>
                </w:tcPr>
                <w:p w14:paraId="6ADFA8BC">
                  <w:pPr>
                    <w:widowControl/>
                    <w:jc w:val="center"/>
                    <w:textAlignment w:val="bottom"/>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w:t>
                  </w:r>
                </w:p>
              </w:tc>
              <w:tc>
                <w:tcPr>
                  <w:tcW w:w="165" w:type="pct"/>
                  <w:shd w:val="clear" w:color="auto" w:fill="auto"/>
                  <w:noWrap w:val="0"/>
                  <w:tcMar>
                    <w:top w:w="28" w:type="dxa"/>
                    <w:left w:w="28" w:type="dxa"/>
                    <w:bottom w:w="28" w:type="dxa"/>
                    <w:right w:w="28" w:type="dxa"/>
                  </w:tcMar>
                  <w:vAlign w:val="center"/>
                </w:tcPr>
                <w:p w14:paraId="1F492E74">
                  <w:pPr>
                    <w:widowControl/>
                    <w:jc w:val="center"/>
                    <w:textAlignment w:val="bottom"/>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c>
                <w:tcPr>
                  <w:tcW w:w="163" w:type="pct"/>
                  <w:shd w:val="clear" w:color="auto" w:fill="auto"/>
                  <w:noWrap w:val="0"/>
                  <w:tcMar>
                    <w:top w:w="28" w:type="dxa"/>
                    <w:left w:w="28" w:type="dxa"/>
                    <w:bottom w:w="28" w:type="dxa"/>
                    <w:right w:w="28" w:type="dxa"/>
                  </w:tcMar>
                  <w:vAlign w:val="center"/>
                </w:tcPr>
                <w:p w14:paraId="40D3763A">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29</w:t>
                  </w:r>
                </w:p>
              </w:tc>
              <w:tc>
                <w:tcPr>
                  <w:tcW w:w="163" w:type="pct"/>
                  <w:shd w:val="clear" w:color="auto" w:fill="auto"/>
                  <w:noWrap w:val="0"/>
                  <w:tcMar>
                    <w:top w:w="28" w:type="dxa"/>
                    <w:left w:w="28" w:type="dxa"/>
                    <w:bottom w:w="28" w:type="dxa"/>
                    <w:right w:w="28" w:type="dxa"/>
                  </w:tcMar>
                  <w:vAlign w:val="center"/>
                </w:tcPr>
                <w:p w14:paraId="2948A40B">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21</w:t>
                  </w:r>
                </w:p>
              </w:tc>
              <w:tc>
                <w:tcPr>
                  <w:tcW w:w="163" w:type="pct"/>
                  <w:shd w:val="clear" w:color="auto" w:fill="auto"/>
                  <w:noWrap w:val="0"/>
                  <w:tcMar>
                    <w:top w:w="28" w:type="dxa"/>
                    <w:left w:w="28" w:type="dxa"/>
                    <w:bottom w:w="28" w:type="dxa"/>
                    <w:right w:w="28" w:type="dxa"/>
                  </w:tcMar>
                  <w:vAlign w:val="center"/>
                </w:tcPr>
                <w:p w14:paraId="173A3DA9">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kern w:val="0"/>
                      <w:sz w:val="18"/>
                      <w:szCs w:val="18"/>
                      <w:highlight w:val="none"/>
                      <w:lang w:val="en-US" w:eastAsia="zh-CN"/>
                      <w14:textFill>
                        <w14:solidFill>
                          <w14:schemeClr w14:val="tx1"/>
                        </w14:solidFill>
                      </w14:textFill>
                    </w:rPr>
                    <w:t>29</w:t>
                  </w:r>
                </w:p>
              </w:tc>
              <w:tc>
                <w:tcPr>
                  <w:tcW w:w="165" w:type="pct"/>
                  <w:shd w:val="clear" w:color="auto" w:fill="auto"/>
                  <w:noWrap w:val="0"/>
                  <w:tcMar>
                    <w:top w:w="28" w:type="dxa"/>
                    <w:left w:w="28" w:type="dxa"/>
                    <w:bottom w:w="28" w:type="dxa"/>
                    <w:right w:w="28" w:type="dxa"/>
                  </w:tcMar>
                  <w:vAlign w:val="center"/>
                </w:tcPr>
                <w:p w14:paraId="117396C4">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22</w:t>
                  </w:r>
                </w:p>
              </w:tc>
              <w:tc>
                <w:tcPr>
                  <w:tcW w:w="407" w:type="dxa"/>
                  <w:shd w:val="clear" w:color="auto" w:fill="auto"/>
                  <w:noWrap w:val="0"/>
                  <w:tcMar>
                    <w:top w:w="28" w:type="dxa"/>
                    <w:left w:w="28" w:type="dxa"/>
                    <w:bottom w:w="28" w:type="dxa"/>
                    <w:right w:w="28" w:type="dxa"/>
                  </w:tcMar>
                  <w:vAlign w:val="center"/>
                </w:tcPr>
                <w:p w14:paraId="479853B2">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49.5 </w:t>
                  </w:r>
                </w:p>
              </w:tc>
              <w:tc>
                <w:tcPr>
                  <w:tcW w:w="407" w:type="dxa"/>
                  <w:shd w:val="clear" w:color="auto" w:fill="auto"/>
                  <w:noWrap w:val="0"/>
                  <w:tcMar>
                    <w:top w:w="28" w:type="dxa"/>
                    <w:left w:w="28" w:type="dxa"/>
                    <w:bottom w:w="28" w:type="dxa"/>
                    <w:right w:w="28" w:type="dxa"/>
                  </w:tcMar>
                  <w:vAlign w:val="center"/>
                </w:tcPr>
                <w:p w14:paraId="7073B3D9">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51.5 </w:t>
                  </w:r>
                </w:p>
              </w:tc>
              <w:tc>
                <w:tcPr>
                  <w:tcW w:w="407" w:type="dxa"/>
                  <w:shd w:val="clear" w:color="auto" w:fill="auto"/>
                  <w:noWrap w:val="0"/>
                  <w:tcMar>
                    <w:top w:w="28" w:type="dxa"/>
                    <w:left w:w="28" w:type="dxa"/>
                    <w:bottom w:w="28" w:type="dxa"/>
                    <w:right w:w="28" w:type="dxa"/>
                  </w:tcMar>
                  <w:vAlign w:val="center"/>
                </w:tcPr>
                <w:p w14:paraId="0480498A">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49.5 </w:t>
                  </w:r>
                </w:p>
              </w:tc>
              <w:tc>
                <w:tcPr>
                  <w:tcW w:w="414" w:type="dxa"/>
                  <w:shd w:val="clear" w:color="auto" w:fill="auto"/>
                  <w:noWrap w:val="0"/>
                  <w:tcMar>
                    <w:top w:w="28" w:type="dxa"/>
                    <w:left w:w="28" w:type="dxa"/>
                    <w:bottom w:w="28" w:type="dxa"/>
                    <w:right w:w="28" w:type="dxa"/>
                  </w:tcMar>
                  <w:vAlign w:val="center"/>
                </w:tcPr>
                <w:p w14:paraId="063F8FB3">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51.2 </w:t>
                  </w:r>
                </w:p>
              </w:tc>
              <w:tc>
                <w:tcPr>
                  <w:tcW w:w="325" w:type="pct"/>
                  <w:noWrap w:val="0"/>
                  <w:tcMar>
                    <w:top w:w="28" w:type="dxa"/>
                    <w:left w:w="28" w:type="dxa"/>
                    <w:bottom w:w="28" w:type="dxa"/>
                    <w:right w:w="28" w:type="dxa"/>
                  </w:tcMar>
                  <w:vAlign w:val="center"/>
                </w:tcPr>
                <w:p w14:paraId="366F8795">
                  <w:pPr>
                    <w:jc w:val="center"/>
                    <w:rPr>
                      <w:color w:val="000000" w:themeColor="text1"/>
                      <w:sz w:val="18"/>
                      <w:szCs w:val="18"/>
                      <w:highlight w:val="none"/>
                      <w14:textFill>
                        <w14:solidFill>
                          <w14:schemeClr w14:val="tx1"/>
                        </w14:solidFill>
                      </w14:textFill>
                    </w:rPr>
                  </w:pPr>
                </w:p>
              </w:tc>
              <w:tc>
                <w:tcPr>
                  <w:tcW w:w="325" w:type="pct"/>
                  <w:shd w:val="clear" w:color="auto" w:fill="auto"/>
                  <w:noWrap w:val="0"/>
                  <w:tcMar>
                    <w:top w:w="28" w:type="dxa"/>
                    <w:left w:w="28" w:type="dxa"/>
                    <w:bottom w:w="28" w:type="dxa"/>
                    <w:right w:w="28" w:type="dxa"/>
                  </w:tcMar>
                  <w:vAlign w:val="center"/>
                </w:tcPr>
                <w:p w14:paraId="37C10B15">
                  <w:pPr>
                    <w:widowControl/>
                    <w:jc w:val="center"/>
                    <w:textAlignment w:val="bottom"/>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15</w:t>
                  </w:r>
                </w:p>
              </w:tc>
              <w:tc>
                <w:tcPr>
                  <w:tcW w:w="329" w:type="dxa"/>
                  <w:shd w:val="clear" w:color="auto" w:fill="auto"/>
                  <w:noWrap w:val="0"/>
                  <w:tcMar>
                    <w:top w:w="28" w:type="dxa"/>
                    <w:left w:w="28" w:type="dxa"/>
                    <w:bottom w:w="28" w:type="dxa"/>
                    <w:right w:w="28" w:type="dxa"/>
                  </w:tcMar>
                  <w:vAlign w:val="center"/>
                </w:tcPr>
                <w:p w14:paraId="7BB608D5">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28 </w:t>
                  </w:r>
                </w:p>
              </w:tc>
              <w:tc>
                <w:tcPr>
                  <w:tcW w:w="347" w:type="dxa"/>
                  <w:shd w:val="clear" w:color="auto" w:fill="auto"/>
                  <w:noWrap w:val="0"/>
                  <w:tcMar>
                    <w:top w:w="28" w:type="dxa"/>
                    <w:left w:w="28" w:type="dxa"/>
                    <w:bottom w:w="28" w:type="dxa"/>
                    <w:right w:w="28" w:type="dxa"/>
                  </w:tcMar>
                  <w:vAlign w:val="center"/>
                </w:tcPr>
                <w:p w14:paraId="4A5BE3DD">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31 </w:t>
                  </w:r>
                </w:p>
              </w:tc>
              <w:tc>
                <w:tcPr>
                  <w:tcW w:w="320" w:type="dxa"/>
                  <w:shd w:val="clear" w:color="auto" w:fill="auto"/>
                  <w:noWrap w:val="0"/>
                  <w:tcMar>
                    <w:top w:w="28" w:type="dxa"/>
                    <w:left w:w="28" w:type="dxa"/>
                    <w:bottom w:w="28" w:type="dxa"/>
                    <w:right w:w="28" w:type="dxa"/>
                  </w:tcMar>
                  <w:vAlign w:val="center"/>
                </w:tcPr>
                <w:p w14:paraId="1D9BCD8B">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28 </w:t>
                  </w:r>
                </w:p>
              </w:tc>
              <w:tc>
                <w:tcPr>
                  <w:tcW w:w="354" w:type="dxa"/>
                  <w:shd w:val="clear" w:color="auto" w:fill="auto"/>
                  <w:noWrap w:val="0"/>
                  <w:tcMar>
                    <w:top w:w="28" w:type="dxa"/>
                    <w:left w:w="28" w:type="dxa"/>
                    <w:bottom w:w="28" w:type="dxa"/>
                    <w:right w:w="28" w:type="dxa"/>
                  </w:tcMar>
                  <w:vAlign w:val="center"/>
                </w:tcPr>
                <w:p w14:paraId="0597C8FD">
                  <w:pPr>
                    <w:widowControl/>
                    <w:jc w:val="center"/>
                    <w:textAlignment w:val="center"/>
                    <w:rPr>
                      <w:rFonts w:hint="eastAsia"/>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 xml:space="preserve">30 </w:t>
                  </w:r>
                </w:p>
              </w:tc>
              <w:tc>
                <w:tcPr>
                  <w:tcW w:w="275" w:type="pct"/>
                  <w:shd w:val="clear" w:color="auto" w:fill="auto"/>
                  <w:noWrap w:val="0"/>
                  <w:tcMar>
                    <w:top w:w="28" w:type="dxa"/>
                    <w:left w:w="28" w:type="dxa"/>
                    <w:bottom w:w="28" w:type="dxa"/>
                    <w:right w:w="28" w:type="dxa"/>
                  </w:tcMar>
                  <w:vAlign w:val="center"/>
                </w:tcPr>
                <w:p w14:paraId="716E3CCC">
                  <w:pPr>
                    <w:widowControl/>
                    <w:jc w:val="center"/>
                    <w:textAlignment w:val="center"/>
                    <w:rPr>
                      <w:rFonts w:hint="eastAsia"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w:t>
                  </w:r>
                </w:p>
              </w:tc>
            </w:tr>
            <w:tr w14:paraId="1D84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5"/>
                  <w:noWrap w:val="0"/>
                  <w:tcMar>
                    <w:top w:w="28" w:type="dxa"/>
                    <w:left w:w="28" w:type="dxa"/>
                    <w:bottom w:w="28" w:type="dxa"/>
                    <w:right w:w="28" w:type="dxa"/>
                  </w:tcMar>
                  <w:vAlign w:val="center"/>
                </w:tcPr>
                <w:p w14:paraId="18BA2F1C">
                  <w:pPr>
                    <w:widowControl/>
                    <w:jc w:val="left"/>
                    <w:textAlignment w:val="center"/>
                    <w:rPr>
                      <w:color w:val="000000" w:themeColor="text1"/>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注：空间位置以项目厂区中心点为原点（0，0，0）。</w:t>
                  </w:r>
                </w:p>
              </w:tc>
            </w:tr>
          </w:tbl>
          <w:p w14:paraId="0A9E4B26">
            <w:pPr>
              <w:pStyle w:val="56"/>
              <w:keepNext w:val="0"/>
              <w:keepLines w:val="0"/>
              <w:suppressLineNumbers w:val="0"/>
              <w:adjustRightInd w:val="0"/>
              <w:snapToGrid w:val="0"/>
              <w:spacing w:before="0" w:beforeAutospacing="0" w:after="0" w:afterAutospacing="0" w:line="460" w:lineRule="exact"/>
              <w:ind w:left="0" w:right="0"/>
              <w:jc w:val="center"/>
              <w:rPr>
                <w:rStyle w:val="26"/>
                <w:rFonts w:hint="default" w:ascii="Times New Roman" w:hAnsi="Times New Roman"/>
                <w:b/>
                <w:bCs/>
                <w:color w:val="000000" w:themeColor="text1"/>
                <w:szCs w:val="20"/>
                <w:highlight w:val="none"/>
                <w14:textFill>
                  <w14:solidFill>
                    <w14:schemeClr w14:val="tx1"/>
                  </w14:solidFill>
                </w14:textFill>
              </w:rPr>
            </w:pPr>
            <w:r>
              <w:rPr>
                <w:rFonts w:hint="default" w:ascii="Times New Roman" w:hAnsi="Times New Roman"/>
                <w:b/>
                <w:bCs/>
                <w:color w:val="000000" w:themeColor="text1"/>
                <w:szCs w:val="24"/>
                <w:highlight w:val="none"/>
                <w14:textFill>
                  <w14:solidFill>
                    <w14:schemeClr w14:val="tx1"/>
                  </w14:solidFill>
                </w14:textFill>
              </w:rPr>
              <w:t>表4</w:t>
            </w:r>
            <w:r>
              <w:rPr>
                <w:rFonts w:hint="eastAsia" w:ascii="Times New Roman" w:hAnsi="Times New Roman"/>
                <w:b/>
                <w:bCs/>
                <w:color w:val="000000" w:themeColor="text1"/>
                <w:szCs w:val="24"/>
                <w:highlight w:val="none"/>
                <w:lang w:val="en-US" w:eastAsia="zh-CN"/>
                <w14:textFill>
                  <w14:solidFill>
                    <w14:schemeClr w14:val="tx1"/>
                  </w14:solidFill>
                </w14:textFill>
              </w:rPr>
              <w:t>-11</w:t>
            </w:r>
            <w:r>
              <w:rPr>
                <w:rFonts w:hint="default" w:ascii="Times New Roman" w:hAnsi="Times New Roman"/>
                <w:b/>
                <w:bCs/>
                <w:color w:val="000000" w:themeColor="text1"/>
                <w:szCs w:val="24"/>
                <w:highlight w:val="none"/>
                <w14:textFill>
                  <w14:solidFill>
                    <w14:schemeClr w14:val="tx1"/>
                  </w14:solidFill>
                </w14:textFill>
              </w:rPr>
              <w:t xml:space="preserve"> 工业企业噪声源强调查清单（室外声源）</w:t>
            </w:r>
          </w:p>
          <w:tbl>
            <w:tblPr>
              <w:tblStyle w:val="21"/>
              <w:tblW w:w="48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574"/>
              <w:gridCol w:w="999"/>
              <w:gridCol w:w="1035"/>
              <w:gridCol w:w="518"/>
              <w:gridCol w:w="518"/>
              <w:gridCol w:w="421"/>
              <w:gridCol w:w="822"/>
              <w:gridCol w:w="1008"/>
              <w:gridCol w:w="1576"/>
              <w:gridCol w:w="1163"/>
              <w:gridCol w:w="1042"/>
              <w:gridCol w:w="538"/>
              <w:gridCol w:w="514"/>
              <w:gridCol w:w="470"/>
              <w:gridCol w:w="520"/>
            </w:tblGrid>
            <w:tr w14:paraId="5B6CF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02" w:type="pct"/>
                  <w:vMerge w:val="restart"/>
                  <w:noWrap/>
                  <w:tcMar>
                    <w:top w:w="28" w:type="dxa"/>
                    <w:left w:w="28" w:type="dxa"/>
                    <w:bottom w:w="28" w:type="dxa"/>
                    <w:right w:w="28" w:type="dxa"/>
                  </w:tcMar>
                  <w:vAlign w:val="center"/>
                </w:tcPr>
                <w:p w14:paraId="1B91CCFA">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设备位置</w:t>
                  </w:r>
                </w:p>
              </w:tc>
              <w:tc>
                <w:tcPr>
                  <w:tcW w:w="230" w:type="pct"/>
                  <w:vMerge w:val="restart"/>
                  <w:noWrap/>
                  <w:tcMar>
                    <w:top w:w="28" w:type="dxa"/>
                    <w:left w:w="28" w:type="dxa"/>
                    <w:bottom w:w="28" w:type="dxa"/>
                    <w:right w:w="28" w:type="dxa"/>
                  </w:tcMar>
                  <w:vAlign w:val="center"/>
                </w:tcPr>
                <w:p w14:paraId="2B8653BC">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序号</w:t>
                  </w:r>
                </w:p>
              </w:tc>
              <w:tc>
                <w:tcPr>
                  <w:tcW w:w="400" w:type="pct"/>
                  <w:vMerge w:val="restart"/>
                  <w:noWrap/>
                  <w:tcMar>
                    <w:top w:w="28" w:type="dxa"/>
                    <w:left w:w="28" w:type="dxa"/>
                    <w:bottom w:w="28" w:type="dxa"/>
                    <w:right w:w="28" w:type="dxa"/>
                  </w:tcMar>
                  <w:vAlign w:val="center"/>
                </w:tcPr>
                <w:p w14:paraId="019C0373">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设备名称</w:t>
                  </w:r>
                </w:p>
              </w:tc>
              <w:tc>
                <w:tcPr>
                  <w:tcW w:w="414" w:type="pct"/>
                  <w:vMerge w:val="restart"/>
                  <w:noWrap/>
                  <w:tcMar>
                    <w:top w:w="28" w:type="dxa"/>
                    <w:left w:w="28" w:type="dxa"/>
                    <w:bottom w:w="28" w:type="dxa"/>
                    <w:right w:w="28" w:type="dxa"/>
                  </w:tcMar>
                  <w:vAlign w:val="center"/>
                </w:tcPr>
                <w:p w14:paraId="6CF52ABF">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设备型号</w:t>
                  </w:r>
                </w:p>
              </w:tc>
              <w:tc>
                <w:tcPr>
                  <w:tcW w:w="584" w:type="pct"/>
                  <w:gridSpan w:val="3"/>
                  <w:noWrap/>
                  <w:tcMar>
                    <w:top w:w="28" w:type="dxa"/>
                    <w:left w:w="28" w:type="dxa"/>
                    <w:bottom w:w="28" w:type="dxa"/>
                    <w:right w:w="28" w:type="dxa"/>
                  </w:tcMar>
                  <w:vAlign w:val="center"/>
                </w:tcPr>
                <w:p w14:paraId="6211B0C1">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空间相对位置，m</w:t>
                  </w:r>
                </w:p>
              </w:tc>
              <w:tc>
                <w:tcPr>
                  <w:tcW w:w="733" w:type="pct"/>
                  <w:gridSpan w:val="2"/>
                  <w:noWrap/>
                  <w:tcMar>
                    <w:top w:w="28" w:type="dxa"/>
                    <w:left w:w="28" w:type="dxa"/>
                    <w:bottom w:w="28" w:type="dxa"/>
                    <w:right w:w="28" w:type="dxa"/>
                  </w:tcMar>
                  <w:vAlign w:val="center"/>
                </w:tcPr>
                <w:p w14:paraId="22AA15C0">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声源源强噪声值</w:t>
                  </w:r>
                </w:p>
              </w:tc>
              <w:tc>
                <w:tcPr>
                  <w:tcW w:w="631" w:type="pct"/>
                  <w:vMerge w:val="restart"/>
                  <w:noWrap/>
                  <w:tcMar>
                    <w:top w:w="28" w:type="dxa"/>
                    <w:left w:w="28" w:type="dxa"/>
                    <w:bottom w:w="28" w:type="dxa"/>
                    <w:right w:w="28" w:type="dxa"/>
                  </w:tcMar>
                  <w:vAlign w:val="center"/>
                </w:tcPr>
                <w:p w14:paraId="63F013AC">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降噪措施</w:t>
                  </w:r>
                </w:p>
              </w:tc>
              <w:tc>
                <w:tcPr>
                  <w:tcW w:w="466" w:type="pct"/>
                  <w:vMerge w:val="restart"/>
                  <w:noWrap/>
                  <w:tcMar>
                    <w:top w:w="28" w:type="dxa"/>
                    <w:left w:w="28" w:type="dxa"/>
                    <w:bottom w:w="28" w:type="dxa"/>
                    <w:right w:w="28" w:type="dxa"/>
                  </w:tcMar>
                  <w:vAlign w:val="center"/>
                </w:tcPr>
                <w:p w14:paraId="0CC6F80D">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降噪量，dB（A）</w:t>
                  </w:r>
                </w:p>
              </w:tc>
              <w:tc>
                <w:tcPr>
                  <w:tcW w:w="417" w:type="pct"/>
                  <w:vMerge w:val="restart"/>
                  <w:noWrap/>
                  <w:tcMar>
                    <w:top w:w="28" w:type="dxa"/>
                    <w:left w:w="28" w:type="dxa"/>
                    <w:bottom w:w="28" w:type="dxa"/>
                    <w:right w:w="28" w:type="dxa"/>
                  </w:tcMar>
                  <w:vAlign w:val="center"/>
                </w:tcPr>
                <w:p w14:paraId="0E967E5A">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运行时段</w:t>
                  </w:r>
                </w:p>
              </w:tc>
              <w:tc>
                <w:tcPr>
                  <w:tcW w:w="818" w:type="pct"/>
                  <w:gridSpan w:val="4"/>
                  <w:noWrap/>
                  <w:tcMar>
                    <w:top w:w="28" w:type="dxa"/>
                    <w:left w:w="28" w:type="dxa"/>
                    <w:bottom w:w="28" w:type="dxa"/>
                    <w:right w:w="28" w:type="dxa"/>
                  </w:tcMar>
                  <w:vAlign w:val="center"/>
                </w:tcPr>
                <w:p w14:paraId="379791E5">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距离厂界距离m</w:t>
                  </w:r>
                </w:p>
              </w:tc>
            </w:tr>
            <w:tr w14:paraId="02BC6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302" w:type="pct"/>
                  <w:vMerge w:val="continue"/>
                  <w:noWrap/>
                  <w:tcMar>
                    <w:top w:w="28" w:type="dxa"/>
                    <w:left w:w="28" w:type="dxa"/>
                    <w:bottom w:w="28" w:type="dxa"/>
                    <w:right w:w="28" w:type="dxa"/>
                  </w:tcMar>
                  <w:vAlign w:val="center"/>
                </w:tcPr>
                <w:p w14:paraId="4DBD2574">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p>
              </w:tc>
              <w:tc>
                <w:tcPr>
                  <w:tcW w:w="230" w:type="pct"/>
                  <w:vMerge w:val="continue"/>
                  <w:noWrap/>
                  <w:tcMar>
                    <w:top w:w="28" w:type="dxa"/>
                    <w:left w:w="28" w:type="dxa"/>
                    <w:bottom w:w="28" w:type="dxa"/>
                    <w:right w:w="28" w:type="dxa"/>
                  </w:tcMar>
                  <w:vAlign w:val="center"/>
                </w:tcPr>
                <w:p w14:paraId="3FDFBD88">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p>
              </w:tc>
              <w:tc>
                <w:tcPr>
                  <w:tcW w:w="400" w:type="pct"/>
                  <w:vMerge w:val="continue"/>
                  <w:noWrap/>
                  <w:tcMar>
                    <w:top w:w="28" w:type="dxa"/>
                    <w:left w:w="28" w:type="dxa"/>
                    <w:bottom w:w="28" w:type="dxa"/>
                    <w:right w:w="28" w:type="dxa"/>
                  </w:tcMar>
                  <w:vAlign w:val="center"/>
                </w:tcPr>
                <w:p w14:paraId="05D2F6BA">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p>
              </w:tc>
              <w:tc>
                <w:tcPr>
                  <w:tcW w:w="414" w:type="pct"/>
                  <w:vMerge w:val="continue"/>
                  <w:noWrap/>
                  <w:tcMar>
                    <w:top w:w="28" w:type="dxa"/>
                    <w:left w:w="28" w:type="dxa"/>
                    <w:bottom w:w="28" w:type="dxa"/>
                    <w:right w:w="28" w:type="dxa"/>
                  </w:tcMar>
                  <w:vAlign w:val="center"/>
                </w:tcPr>
                <w:p w14:paraId="3963F71B">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p>
              </w:tc>
              <w:tc>
                <w:tcPr>
                  <w:tcW w:w="207" w:type="pct"/>
                  <w:noWrap/>
                  <w:tcMar>
                    <w:top w:w="28" w:type="dxa"/>
                    <w:left w:w="28" w:type="dxa"/>
                    <w:bottom w:w="28" w:type="dxa"/>
                    <w:right w:w="28" w:type="dxa"/>
                  </w:tcMar>
                  <w:vAlign w:val="center"/>
                </w:tcPr>
                <w:p w14:paraId="54AE4D48">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X</w:t>
                  </w:r>
                </w:p>
              </w:tc>
              <w:tc>
                <w:tcPr>
                  <w:tcW w:w="207" w:type="pct"/>
                  <w:noWrap/>
                  <w:tcMar>
                    <w:top w:w="28" w:type="dxa"/>
                    <w:left w:w="28" w:type="dxa"/>
                    <w:bottom w:w="28" w:type="dxa"/>
                    <w:right w:w="28" w:type="dxa"/>
                  </w:tcMar>
                  <w:vAlign w:val="center"/>
                </w:tcPr>
                <w:p w14:paraId="647B2E29">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Y</w:t>
                  </w:r>
                </w:p>
              </w:tc>
              <w:tc>
                <w:tcPr>
                  <w:tcW w:w="168" w:type="pct"/>
                  <w:noWrap/>
                  <w:tcMar>
                    <w:top w:w="28" w:type="dxa"/>
                    <w:left w:w="28" w:type="dxa"/>
                    <w:bottom w:w="28" w:type="dxa"/>
                    <w:right w:w="28" w:type="dxa"/>
                  </w:tcMar>
                  <w:vAlign w:val="center"/>
                </w:tcPr>
                <w:p w14:paraId="5CFEBA66">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Z</w:t>
                  </w:r>
                </w:p>
              </w:tc>
              <w:tc>
                <w:tcPr>
                  <w:tcW w:w="329" w:type="pct"/>
                  <w:noWrap/>
                  <w:tcMar>
                    <w:top w:w="28" w:type="dxa"/>
                    <w:left w:w="28" w:type="dxa"/>
                    <w:bottom w:w="28" w:type="dxa"/>
                    <w:right w:w="28" w:type="dxa"/>
                  </w:tcMar>
                  <w:vAlign w:val="center"/>
                </w:tcPr>
                <w:p w14:paraId="1A3D98A5">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dB（A）</w:t>
                  </w:r>
                </w:p>
              </w:tc>
              <w:tc>
                <w:tcPr>
                  <w:tcW w:w="404" w:type="pct"/>
                  <w:noWrap/>
                  <w:tcMar>
                    <w:top w:w="28" w:type="dxa"/>
                    <w:left w:w="28" w:type="dxa"/>
                    <w:bottom w:w="28" w:type="dxa"/>
                    <w:right w:w="28" w:type="dxa"/>
                  </w:tcMar>
                  <w:vAlign w:val="center"/>
                </w:tcPr>
                <w:p w14:paraId="4746BE24">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与声源距离</w:t>
                  </w:r>
                </w:p>
              </w:tc>
              <w:tc>
                <w:tcPr>
                  <w:tcW w:w="631" w:type="pct"/>
                  <w:vMerge w:val="continue"/>
                  <w:noWrap/>
                  <w:tcMar>
                    <w:top w:w="28" w:type="dxa"/>
                    <w:left w:w="28" w:type="dxa"/>
                    <w:bottom w:w="28" w:type="dxa"/>
                    <w:right w:w="28" w:type="dxa"/>
                  </w:tcMar>
                  <w:vAlign w:val="center"/>
                </w:tcPr>
                <w:p w14:paraId="4AD63EEB">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p>
              </w:tc>
              <w:tc>
                <w:tcPr>
                  <w:tcW w:w="466" w:type="pct"/>
                  <w:vMerge w:val="continue"/>
                  <w:noWrap/>
                  <w:tcMar>
                    <w:top w:w="28" w:type="dxa"/>
                    <w:left w:w="28" w:type="dxa"/>
                    <w:bottom w:w="28" w:type="dxa"/>
                    <w:right w:w="28" w:type="dxa"/>
                  </w:tcMar>
                  <w:vAlign w:val="center"/>
                </w:tcPr>
                <w:p w14:paraId="40734320">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p>
              </w:tc>
              <w:tc>
                <w:tcPr>
                  <w:tcW w:w="417" w:type="pct"/>
                  <w:vMerge w:val="continue"/>
                  <w:noWrap/>
                  <w:tcMar>
                    <w:top w:w="28" w:type="dxa"/>
                    <w:left w:w="28" w:type="dxa"/>
                    <w:bottom w:w="28" w:type="dxa"/>
                    <w:right w:w="28" w:type="dxa"/>
                  </w:tcMar>
                  <w:vAlign w:val="center"/>
                </w:tcPr>
                <w:p w14:paraId="1CCE1E43">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p>
              </w:tc>
              <w:tc>
                <w:tcPr>
                  <w:tcW w:w="215" w:type="pct"/>
                  <w:noWrap/>
                  <w:tcMar>
                    <w:top w:w="28" w:type="dxa"/>
                    <w:left w:w="28" w:type="dxa"/>
                    <w:bottom w:w="28" w:type="dxa"/>
                    <w:right w:w="28" w:type="dxa"/>
                  </w:tcMar>
                  <w:vAlign w:val="center"/>
                </w:tcPr>
                <w:p w14:paraId="070A71A2">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东</w:t>
                  </w:r>
                </w:p>
              </w:tc>
              <w:tc>
                <w:tcPr>
                  <w:tcW w:w="206" w:type="pct"/>
                  <w:noWrap/>
                  <w:tcMar>
                    <w:top w:w="28" w:type="dxa"/>
                    <w:left w:w="28" w:type="dxa"/>
                    <w:bottom w:w="28" w:type="dxa"/>
                    <w:right w:w="28" w:type="dxa"/>
                  </w:tcMar>
                  <w:vAlign w:val="center"/>
                </w:tcPr>
                <w:p w14:paraId="52A724FD">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南</w:t>
                  </w:r>
                </w:p>
              </w:tc>
              <w:tc>
                <w:tcPr>
                  <w:tcW w:w="188" w:type="pct"/>
                  <w:noWrap/>
                  <w:tcMar>
                    <w:top w:w="28" w:type="dxa"/>
                    <w:left w:w="28" w:type="dxa"/>
                    <w:bottom w:w="28" w:type="dxa"/>
                    <w:right w:w="28" w:type="dxa"/>
                  </w:tcMar>
                  <w:vAlign w:val="center"/>
                </w:tcPr>
                <w:p w14:paraId="2BB4E13A">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西</w:t>
                  </w:r>
                </w:p>
              </w:tc>
              <w:tc>
                <w:tcPr>
                  <w:tcW w:w="208" w:type="pct"/>
                  <w:noWrap/>
                  <w:tcMar>
                    <w:top w:w="28" w:type="dxa"/>
                    <w:left w:w="28" w:type="dxa"/>
                    <w:bottom w:w="28" w:type="dxa"/>
                    <w:right w:w="28" w:type="dxa"/>
                  </w:tcMar>
                  <w:vAlign w:val="center"/>
                </w:tcPr>
                <w:p w14:paraId="74CD74F5">
                  <w:pPr>
                    <w:pStyle w:val="55"/>
                    <w:keepNext w:val="0"/>
                    <w:keepLines w:val="0"/>
                    <w:suppressLineNumbers w:val="0"/>
                    <w:spacing w:before="0" w:beforeAutospacing="0" w:after="0" w:afterAutospacing="0"/>
                    <w:ind w:left="0" w:right="0"/>
                    <w:rPr>
                      <w:rFonts w:hint="default" w:ascii="Times New Roman" w:hAnsi="Times New Roman" w:cs="Times New Roman"/>
                      <w:b/>
                      <w:bCs w:val="0"/>
                      <w:color w:val="000000" w:themeColor="text1"/>
                      <w:sz w:val="18"/>
                      <w:szCs w:val="18"/>
                      <w:highlight w:val="none"/>
                      <w14:textFill>
                        <w14:solidFill>
                          <w14:schemeClr w14:val="tx1"/>
                        </w14:solidFill>
                      </w14:textFill>
                    </w:rPr>
                  </w:pPr>
                  <w:r>
                    <w:rPr>
                      <w:rFonts w:hint="default" w:ascii="Times New Roman" w:hAnsi="Times New Roman" w:cs="Times New Roman"/>
                      <w:b/>
                      <w:bCs w:val="0"/>
                      <w:color w:val="000000" w:themeColor="text1"/>
                      <w:sz w:val="18"/>
                      <w:szCs w:val="18"/>
                      <w:highlight w:val="none"/>
                      <w14:textFill>
                        <w14:solidFill>
                          <w14:schemeClr w14:val="tx1"/>
                        </w14:solidFill>
                      </w14:textFill>
                    </w:rPr>
                    <w:t>北</w:t>
                  </w:r>
                </w:p>
              </w:tc>
            </w:tr>
            <w:tr w14:paraId="355F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 w:hRule="atLeast"/>
                <w:jc w:val="center"/>
              </w:trPr>
              <w:tc>
                <w:tcPr>
                  <w:tcW w:w="302" w:type="pct"/>
                  <w:noWrap/>
                  <w:tcMar>
                    <w:top w:w="28" w:type="dxa"/>
                    <w:left w:w="28" w:type="dxa"/>
                    <w:bottom w:w="28" w:type="dxa"/>
                    <w:right w:w="28" w:type="dxa"/>
                  </w:tcMar>
                  <w:vAlign w:val="center"/>
                </w:tcPr>
                <w:p w14:paraId="6D2BA846">
                  <w:pPr>
                    <w:pStyle w:val="55"/>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18"/>
                      <w:szCs w:val="18"/>
                      <w:highlight w:val="none"/>
                      <w14:textFill>
                        <w14:solidFill>
                          <w14:schemeClr w14:val="tx1"/>
                        </w14:solidFill>
                      </w14:textFill>
                    </w:rPr>
                  </w:pPr>
                  <w:r>
                    <w:rPr>
                      <w:rFonts w:hint="default" w:ascii="Times New Roman" w:hAnsi="Times New Roman" w:cs="Times New Roman"/>
                      <w:bCs/>
                      <w:color w:val="000000" w:themeColor="text1"/>
                      <w:sz w:val="18"/>
                      <w:szCs w:val="18"/>
                      <w:highlight w:val="none"/>
                      <w14:textFill>
                        <w14:solidFill>
                          <w14:schemeClr w14:val="tx1"/>
                        </w14:solidFill>
                      </w14:textFill>
                    </w:rPr>
                    <w:t>废气处理设施</w:t>
                  </w:r>
                </w:p>
              </w:tc>
              <w:tc>
                <w:tcPr>
                  <w:tcW w:w="230" w:type="pct"/>
                  <w:noWrap/>
                  <w:tcMar>
                    <w:top w:w="28" w:type="dxa"/>
                    <w:left w:w="28" w:type="dxa"/>
                    <w:bottom w:w="28" w:type="dxa"/>
                    <w:right w:w="28" w:type="dxa"/>
                  </w:tcMar>
                  <w:vAlign w:val="center"/>
                </w:tcPr>
                <w:p w14:paraId="6574558F">
                  <w:pPr>
                    <w:pStyle w:val="55"/>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18"/>
                      <w:szCs w:val="18"/>
                      <w:highlight w:val="none"/>
                      <w14:textFill>
                        <w14:solidFill>
                          <w14:schemeClr w14:val="tx1"/>
                        </w14:solidFill>
                      </w14:textFill>
                    </w:rPr>
                  </w:pPr>
                  <w:r>
                    <w:rPr>
                      <w:rFonts w:hint="default" w:ascii="Times New Roman" w:hAnsi="Times New Roman" w:cs="Times New Roman"/>
                      <w:bCs/>
                      <w:color w:val="000000" w:themeColor="text1"/>
                      <w:sz w:val="18"/>
                      <w:szCs w:val="18"/>
                      <w:highlight w:val="none"/>
                      <w14:textFill>
                        <w14:solidFill>
                          <w14:schemeClr w14:val="tx1"/>
                        </w14:solidFill>
                      </w14:textFill>
                    </w:rPr>
                    <w:t>1</w:t>
                  </w:r>
                </w:p>
              </w:tc>
              <w:tc>
                <w:tcPr>
                  <w:tcW w:w="400" w:type="pct"/>
                  <w:noWrap/>
                  <w:tcMar>
                    <w:top w:w="28" w:type="dxa"/>
                    <w:left w:w="28" w:type="dxa"/>
                    <w:bottom w:w="28" w:type="dxa"/>
                    <w:right w:w="28" w:type="dxa"/>
                  </w:tcMar>
                  <w:vAlign w:val="center"/>
                </w:tcPr>
                <w:p w14:paraId="29720595">
                  <w:pPr>
                    <w:pStyle w:val="55"/>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bCs/>
                      <w:color w:val="000000" w:themeColor="text1"/>
                      <w:sz w:val="18"/>
                      <w:szCs w:val="18"/>
                      <w:highlight w:val="none"/>
                      <w:lang w:val="en-US" w:eastAsia="zh-CN"/>
                      <w14:textFill>
                        <w14:solidFill>
                          <w14:schemeClr w14:val="tx1"/>
                        </w14:solidFill>
                      </w14:textFill>
                    </w:rPr>
                    <w:t>风机3#</w:t>
                  </w:r>
                </w:p>
              </w:tc>
              <w:tc>
                <w:tcPr>
                  <w:tcW w:w="414" w:type="pct"/>
                  <w:noWrap/>
                  <w:tcMar>
                    <w:top w:w="28" w:type="dxa"/>
                    <w:left w:w="28" w:type="dxa"/>
                    <w:bottom w:w="28" w:type="dxa"/>
                    <w:right w:w="28" w:type="dxa"/>
                  </w:tcMar>
                  <w:vAlign w:val="center"/>
                </w:tcPr>
                <w:p w14:paraId="2CFBB534">
                  <w:pPr>
                    <w:pStyle w:val="55"/>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18"/>
                      <w:szCs w:val="18"/>
                      <w:highlight w:val="none"/>
                      <w14:textFill>
                        <w14:solidFill>
                          <w14:schemeClr w14:val="tx1"/>
                        </w14:solidFill>
                      </w14:textFill>
                    </w:rPr>
                  </w:pPr>
                  <w:r>
                    <w:rPr>
                      <w:rFonts w:hint="default" w:ascii="Times New Roman" w:hAnsi="Times New Roman" w:cs="Times New Roman"/>
                      <w:bCs/>
                      <w:color w:val="000000" w:themeColor="text1"/>
                      <w:sz w:val="18"/>
                      <w:szCs w:val="18"/>
                      <w:highlight w:val="none"/>
                      <w14:textFill>
                        <w14:solidFill>
                          <w14:schemeClr w14:val="tx1"/>
                        </w14:solidFill>
                      </w14:textFill>
                    </w:rPr>
                    <w:t>/</w:t>
                  </w:r>
                </w:p>
              </w:tc>
              <w:tc>
                <w:tcPr>
                  <w:tcW w:w="207" w:type="pct"/>
                  <w:noWrap/>
                  <w:tcMar>
                    <w:top w:w="28" w:type="dxa"/>
                    <w:left w:w="28" w:type="dxa"/>
                    <w:bottom w:w="28" w:type="dxa"/>
                    <w:right w:w="28" w:type="dxa"/>
                  </w:tcMar>
                  <w:vAlign w:val="center"/>
                </w:tcPr>
                <w:p w14:paraId="07E914C5">
                  <w:pPr>
                    <w:pStyle w:val="55"/>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bCs/>
                      <w:color w:val="000000" w:themeColor="text1"/>
                      <w:sz w:val="18"/>
                      <w:szCs w:val="18"/>
                      <w:highlight w:val="none"/>
                      <w:lang w:val="en-US" w:eastAsia="zh-CN"/>
                      <w14:textFill>
                        <w14:solidFill>
                          <w14:schemeClr w14:val="tx1"/>
                        </w14:solidFill>
                      </w14:textFill>
                    </w:rPr>
                    <w:t>15</w:t>
                  </w:r>
                </w:p>
              </w:tc>
              <w:tc>
                <w:tcPr>
                  <w:tcW w:w="207" w:type="pct"/>
                  <w:noWrap/>
                  <w:tcMar>
                    <w:top w:w="28" w:type="dxa"/>
                    <w:left w:w="28" w:type="dxa"/>
                    <w:bottom w:w="28" w:type="dxa"/>
                    <w:right w:w="28" w:type="dxa"/>
                  </w:tcMar>
                  <w:vAlign w:val="center"/>
                </w:tcPr>
                <w:p w14:paraId="416C95CD">
                  <w:pPr>
                    <w:pStyle w:val="55"/>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bCs/>
                      <w:color w:val="000000" w:themeColor="text1"/>
                      <w:sz w:val="18"/>
                      <w:szCs w:val="18"/>
                      <w:highlight w:val="none"/>
                      <w:lang w:val="en-US" w:eastAsia="zh-CN"/>
                      <w14:textFill>
                        <w14:solidFill>
                          <w14:schemeClr w14:val="tx1"/>
                        </w14:solidFill>
                      </w14:textFill>
                    </w:rPr>
                    <w:t>21</w:t>
                  </w:r>
                </w:p>
              </w:tc>
              <w:tc>
                <w:tcPr>
                  <w:tcW w:w="168" w:type="pct"/>
                  <w:noWrap/>
                  <w:tcMar>
                    <w:top w:w="28" w:type="dxa"/>
                    <w:left w:w="28" w:type="dxa"/>
                    <w:bottom w:w="28" w:type="dxa"/>
                    <w:right w:w="28" w:type="dxa"/>
                  </w:tcMar>
                  <w:vAlign w:val="center"/>
                </w:tcPr>
                <w:p w14:paraId="3AA06F5C">
                  <w:pPr>
                    <w:pStyle w:val="55"/>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18"/>
                      <w:szCs w:val="18"/>
                      <w:highlight w:val="none"/>
                      <w:lang w:val="en-US"/>
                      <w14:textFill>
                        <w14:solidFill>
                          <w14:schemeClr w14:val="tx1"/>
                        </w14:solidFill>
                      </w14:textFill>
                    </w:rPr>
                  </w:pPr>
                  <w:r>
                    <w:rPr>
                      <w:rFonts w:hint="eastAsia" w:ascii="Times New Roman" w:hAnsi="Times New Roman" w:cs="Times New Roman"/>
                      <w:bCs/>
                      <w:color w:val="000000" w:themeColor="text1"/>
                      <w:sz w:val="18"/>
                      <w:szCs w:val="18"/>
                      <w:highlight w:val="none"/>
                      <w:lang w:val="en-US" w:eastAsia="zh-CN"/>
                      <w14:textFill>
                        <w14:solidFill>
                          <w14:schemeClr w14:val="tx1"/>
                        </w14:solidFill>
                      </w14:textFill>
                    </w:rPr>
                    <w:t>13</w:t>
                  </w:r>
                </w:p>
              </w:tc>
              <w:tc>
                <w:tcPr>
                  <w:tcW w:w="329" w:type="pct"/>
                  <w:noWrap/>
                  <w:tcMar>
                    <w:top w:w="28" w:type="dxa"/>
                    <w:left w:w="28" w:type="dxa"/>
                    <w:bottom w:w="28" w:type="dxa"/>
                    <w:right w:w="28" w:type="dxa"/>
                  </w:tcMar>
                  <w:vAlign w:val="center"/>
                </w:tcPr>
                <w:p w14:paraId="2B0F7CBA">
                  <w:pPr>
                    <w:pStyle w:val="55"/>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bCs/>
                      <w:color w:val="000000" w:themeColor="text1"/>
                      <w:sz w:val="18"/>
                      <w:szCs w:val="18"/>
                      <w:highlight w:val="none"/>
                      <w:lang w:val="en-US" w:eastAsia="zh-CN"/>
                      <w14:textFill>
                        <w14:solidFill>
                          <w14:schemeClr w14:val="tx1"/>
                        </w14:solidFill>
                      </w14:textFill>
                    </w:rPr>
                    <w:t>85</w:t>
                  </w:r>
                </w:p>
              </w:tc>
              <w:tc>
                <w:tcPr>
                  <w:tcW w:w="404" w:type="pct"/>
                  <w:noWrap/>
                  <w:tcMar>
                    <w:top w:w="28" w:type="dxa"/>
                    <w:left w:w="28" w:type="dxa"/>
                    <w:bottom w:w="28" w:type="dxa"/>
                    <w:right w:w="28" w:type="dxa"/>
                  </w:tcMar>
                  <w:vAlign w:val="center"/>
                </w:tcPr>
                <w:p w14:paraId="079F913F">
                  <w:pPr>
                    <w:pStyle w:val="55"/>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18"/>
                      <w:szCs w:val="18"/>
                      <w:highlight w:val="none"/>
                      <w14:textFill>
                        <w14:solidFill>
                          <w14:schemeClr w14:val="tx1"/>
                        </w14:solidFill>
                      </w14:textFill>
                    </w:rPr>
                  </w:pPr>
                  <w:r>
                    <w:rPr>
                      <w:rFonts w:hint="default" w:ascii="Times New Roman" w:hAnsi="Times New Roman" w:cs="Times New Roman"/>
                      <w:bCs/>
                      <w:color w:val="000000" w:themeColor="text1"/>
                      <w:sz w:val="18"/>
                      <w:szCs w:val="18"/>
                      <w:highlight w:val="none"/>
                      <w14:textFill>
                        <w14:solidFill>
                          <w14:schemeClr w14:val="tx1"/>
                        </w14:solidFill>
                      </w14:textFill>
                    </w:rPr>
                    <w:t>1</w:t>
                  </w:r>
                </w:p>
              </w:tc>
              <w:tc>
                <w:tcPr>
                  <w:tcW w:w="631" w:type="pct"/>
                  <w:vMerge w:val="restart"/>
                  <w:noWrap/>
                  <w:tcMar>
                    <w:top w:w="28" w:type="dxa"/>
                    <w:left w:w="28" w:type="dxa"/>
                    <w:bottom w:w="28" w:type="dxa"/>
                    <w:right w:w="28" w:type="dxa"/>
                  </w:tcMar>
                  <w:vAlign w:val="center"/>
                </w:tcPr>
                <w:p w14:paraId="590A5C0B">
                  <w:pPr>
                    <w:pStyle w:val="55"/>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18"/>
                      <w:szCs w:val="18"/>
                      <w:highlight w:val="none"/>
                      <w14:textFill>
                        <w14:solidFill>
                          <w14:schemeClr w14:val="tx1"/>
                        </w14:solidFill>
                      </w14:textFill>
                    </w:rPr>
                  </w:pPr>
                  <w:r>
                    <w:rPr>
                      <w:rFonts w:hint="default" w:ascii="Times New Roman" w:hAnsi="Times New Roman" w:cs="Times New Roman"/>
                      <w:bCs/>
                      <w:color w:val="000000" w:themeColor="text1"/>
                      <w:sz w:val="18"/>
                      <w:szCs w:val="18"/>
                      <w:highlight w:val="none"/>
                      <w14:textFill>
                        <w14:solidFill>
                          <w14:schemeClr w14:val="tx1"/>
                        </w14:solidFill>
                      </w14:textFill>
                    </w:rPr>
                    <w:t>安装消声器、隔音罩</w:t>
                  </w:r>
                </w:p>
              </w:tc>
              <w:tc>
                <w:tcPr>
                  <w:tcW w:w="466" w:type="pct"/>
                  <w:vMerge w:val="restart"/>
                  <w:noWrap/>
                  <w:tcMar>
                    <w:top w:w="28" w:type="dxa"/>
                    <w:left w:w="28" w:type="dxa"/>
                    <w:bottom w:w="28" w:type="dxa"/>
                    <w:right w:w="28" w:type="dxa"/>
                  </w:tcMar>
                  <w:vAlign w:val="center"/>
                </w:tcPr>
                <w:p w14:paraId="37541A28">
                  <w:pPr>
                    <w:pStyle w:val="55"/>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18"/>
                      <w:szCs w:val="18"/>
                      <w:highlight w:val="none"/>
                      <w14:textFill>
                        <w14:solidFill>
                          <w14:schemeClr w14:val="tx1"/>
                        </w14:solidFill>
                      </w14:textFill>
                    </w:rPr>
                  </w:pPr>
                  <w:r>
                    <w:rPr>
                      <w:rFonts w:hint="default" w:ascii="Times New Roman" w:hAnsi="Times New Roman" w:cs="Times New Roman"/>
                      <w:bCs/>
                      <w:color w:val="000000" w:themeColor="text1"/>
                      <w:sz w:val="18"/>
                      <w:szCs w:val="18"/>
                      <w:highlight w:val="none"/>
                      <w14:textFill>
                        <w14:solidFill>
                          <w14:schemeClr w14:val="tx1"/>
                        </w14:solidFill>
                      </w14:textFill>
                    </w:rPr>
                    <w:t>15</w:t>
                  </w:r>
                </w:p>
              </w:tc>
              <w:tc>
                <w:tcPr>
                  <w:tcW w:w="417" w:type="pct"/>
                  <w:noWrap/>
                  <w:tcMar>
                    <w:top w:w="28" w:type="dxa"/>
                    <w:left w:w="28" w:type="dxa"/>
                    <w:bottom w:w="28" w:type="dxa"/>
                    <w:right w:w="28" w:type="dxa"/>
                  </w:tcMar>
                  <w:vAlign w:val="center"/>
                </w:tcPr>
                <w:p w14:paraId="5C4BAB75">
                  <w:pPr>
                    <w:rPr>
                      <w:rFonts w:hint="default" w:ascii="Times New Roman" w:hAnsi="Times New Roman" w:cs="Times New Roman"/>
                      <w:bCs/>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8:00</w:t>
                  </w:r>
                  <w:r>
                    <w:rPr>
                      <w:rFonts w:hint="eastAsia" w:ascii="Times New Roman" w:hAnsi="Times New Roman" w:cs="Times New Roman"/>
                      <w:color w:val="000000" w:themeColor="text1"/>
                      <w:sz w:val="20"/>
                      <w:szCs w:val="20"/>
                      <w:lang w:val="en-US" w:eastAsia="zh-CN"/>
                      <w14:textFill>
                        <w14:solidFill>
                          <w14:schemeClr w14:val="tx1"/>
                        </w14:solidFill>
                      </w14:textFill>
                    </w:rPr>
                    <w:t>-</w:t>
                  </w:r>
                  <w:r>
                    <w:rPr>
                      <w:rFonts w:hint="eastAsia" w:cs="Times New Roman"/>
                      <w:color w:val="000000" w:themeColor="text1"/>
                      <w:sz w:val="20"/>
                      <w:szCs w:val="20"/>
                      <w:lang w:val="en-US" w:eastAsia="zh-CN"/>
                      <w14:textFill>
                        <w14:solidFill>
                          <w14:schemeClr w14:val="tx1"/>
                        </w14:solidFill>
                      </w14:textFill>
                    </w:rPr>
                    <w:t>18:00</w:t>
                  </w:r>
                </w:p>
              </w:tc>
              <w:tc>
                <w:tcPr>
                  <w:tcW w:w="215" w:type="pct"/>
                  <w:noWrap/>
                  <w:tcMar>
                    <w:top w:w="28" w:type="dxa"/>
                    <w:left w:w="28" w:type="dxa"/>
                    <w:bottom w:w="28" w:type="dxa"/>
                    <w:right w:w="28" w:type="dxa"/>
                  </w:tcMar>
                  <w:vAlign w:val="center"/>
                </w:tcPr>
                <w:p w14:paraId="691DD84A">
                  <w:pPr>
                    <w:keepNext w:val="0"/>
                    <w:keepLines w:val="0"/>
                    <w:widowControl/>
                    <w:suppressLineNumbers w:val="0"/>
                    <w:spacing w:before="0" w:beforeAutospacing="0" w:after="0" w:afterAutospacing="0"/>
                    <w:ind w:left="0" w:right="0"/>
                    <w:jc w:val="center"/>
                    <w:textAlignment w:val="bottom"/>
                    <w:rPr>
                      <w:rFonts w:hint="default" w:eastAsia="宋体"/>
                      <w:bCs/>
                      <w:color w:val="000000" w:themeColor="text1"/>
                      <w:sz w:val="18"/>
                      <w:szCs w:val="18"/>
                      <w:highlight w:val="none"/>
                      <w:lang w:val="en-US" w:eastAsia="zh-CN"/>
                      <w14:textFill>
                        <w14:solidFill>
                          <w14:schemeClr w14:val="tx1"/>
                        </w14:solidFill>
                      </w14:textFill>
                    </w:rPr>
                  </w:pPr>
                  <w:r>
                    <w:rPr>
                      <w:rFonts w:hint="eastAsia"/>
                      <w:bCs/>
                      <w:color w:val="000000" w:themeColor="text1"/>
                      <w:sz w:val="18"/>
                      <w:szCs w:val="18"/>
                      <w:highlight w:val="none"/>
                      <w:lang w:val="en-US" w:eastAsia="zh-CN"/>
                      <w14:textFill>
                        <w14:solidFill>
                          <w14:schemeClr w14:val="tx1"/>
                        </w14:solidFill>
                      </w14:textFill>
                    </w:rPr>
                    <w:t>29</w:t>
                  </w:r>
                </w:p>
              </w:tc>
              <w:tc>
                <w:tcPr>
                  <w:tcW w:w="206" w:type="pct"/>
                  <w:noWrap/>
                  <w:tcMar>
                    <w:top w:w="28" w:type="dxa"/>
                    <w:left w:w="28" w:type="dxa"/>
                    <w:bottom w:w="28" w:type="dxa"/>
                    <w:right w:w="28" w:type="dxa"/>
                  </w:tcMar>
                  <w:vAlign w:val="center"/>
                </w:tcPr>
                <w:p w14:paraId="6A5D0979">
                  <w:pPr>
                    <w:keepNext w:val="0"/>
                    <w:keepLines w:val="0"/>
                    <w:widowControl/>
                    <w:suppressLineNumbers w:val="0"/>
                    <w:spacing w:before="0" w:beforeAutospacing="0" w:after="0" w:afterAutospacing="0"/>
                    <w:ind w:left="0" w:right="0"/>
                    <w:jc w:val="center"/>
                    <w:textAlignment w:val="bottom"/>
                    <w:rPr>
                      <w:rFonts w:hint="default" w:eastAsia="宋体"/>
                      <w:bCs/>
                      <w:color w:val="000000" w:themeColor="text1"/>
                      <w:sz w:val="18"/>
                      <w:szCs w:val="18"/>
                      <w:highlight w:val="none"/>
                      <w:lang w:val="en-US" w:eastAsia="zh-CN"/>
                      <w14:textFill>
                        <w14:solidFill>
                          <w14:schemeClr w14:val="tx1"/>
                        </w14:solidFill>
                      </w14:textFill>
                    </w:rPr>
                  </w:pPr>
                  <w:r>
                    <w:rPr>
                      <w:rFonts w:hint="eastAsia"/>
                      <w:bCs/>
                      <w:color w:val="000000" w:themeColor="text1"/>
                      <w:sz w:val="18"/>
                      <w:szCs w:val="18"/>
                      <w:highlight w:val="none"/>
                      <w:lang w:val="en-US" w:eastAsia="zh-CN"/>
                      <w14:textFill>
                        <w14:solidFill>
                          <w14:schemeClr w14:val="tx1"/>
                        </w14:solidFill>
                      </w14:textFill>
                    </w:rPr>
                    <w:t>43</w:t>
                  </w:r>
                </w:p>
              </w:tc>
              <w:tc>
                <w:tcPr>
                  <w:tcW w:w="188" w:type="pct"/>
                  <w:noWrap/>
                  <w:tcMar>
                    <w:top w:w="28" w:type="dxa"/>
                    <w:left w:w="28" w:type="dxa"/>
                    <w:bottom w:w="28" w:type="dxa"/>
                    <w:right w:w="28" w:type="dxa"/>
                  </w:tcMar>
                  <w:vAlign w:val="center"/>
                </w:tcPr>
                <w:p w14:paraId="67E63890">
                  <w:pPr>
                    <w:keepNext w:val="0"/>
                    <w:keepLines w:val="0"/>
                    <w:widowControl/>
                    <w:suppressLineNumbers w:val="0"/>
                    <w:spacing w:before="0" w:beforeAutospacing="0" w:after="0" w:afterAutospacing="0"/>
                    <w:ind w:left="0" w:right="0"/>
                    <w:jc w:val="center"/>
                    <w:textAlignment w:val="bottom"/>
                    <w:rPr>
                      <w:rFonts w:hint="default" w:eastAsia="宋体"/>
                      <w:bCs/>
                      <w:color w:val="000000" w:themeColor="text1"/>
                      <w:sz w:val="18"/>
                      <w:szCs w:val="18"/>
                      <w:highlight w:val="none"/>
                      <w:lang w:val="en-US" w:eastAsia="zh-CN"/>
                      <w14:textFill>
                        <w14:solidFill>
                          <w14:schemeClr w14:val="tx1"/>
                        </w14:solidFill>
                      </w14:textFill>
                    </w:rPr>
                  </w:pPr>
                  <w:r>
                    <w:rPr>
                      <w:rFonts w:hint="eastAsia"/>
                      <w:bCs/>
                      <w:color w:val="000000" w:themeColor="text1"/>
                      <w:sz w:val="18"/>
                      <w:szCs w:val="18"/>
                      <w:highlight w:val="none"/>
                      <w:lang w:val="en-US" w:eastAsia="zh-CN"/>
                      <w14:textFill>
                        <w14:solidFill>
                          <w14:schemeClr w14:val="tx1"/>
                        </w14:solidFill>
                      </w14:textFill>
                    </w:rPr>
                    <w:t>29</w:t>
                  </w:r>
                </w:p>
              </w:tc>
              <w:tc>
                <w:tcPr>
                  <w:tcW w:w="208" w:type="pct"/>
                  <w:noWrap/>
                  <w:tcMar>
                    <w:top w:w="28" w:type="dxa"/>
                    <w:left w:w="28" w:type="dxa"/>
                    <w:bottom w:w="28" w:type="dxa"/>
                    <w:right w:w="28" w:type="dxa"/>
                  </w:tcMar>
                  <w:vAlign w:val="center"/>
                </w:tcPr>
                <w:p w14:paraId="2DD60EA2">
                  <w:pPr>
                    <w:keepNext w:val="0"/>
                    <w:keepLines w:val="0"/>
                    <w:widowControl/>
                    <w:suppressLineNumbers w:val="0"/>
                    <w:spacing w:before="0" w:beforeAutospacing="0" w:after="0" w:afterAutospacing="0"/>
                    <w:ind w:left="0" w:right="0"/>
                    <w:jc w:val="center"/>
                    <w:textAlignment w:val="bottom"/>
                    <w:rPr>
                      <w:rFonts w:hint="default" w:eastAsia="宋体"/>
                      <w:bCs/>
                      <w:color w:val="000000" w:themeColor="text1"/>
                      <w:sz w:val="18"/>
                      <w:szCs w:val="18"/>
                      <w:highlight w:val="none"/>
                      <w:lang w:val="en-US" w:eastAsia="zh-CN"/>
                      <w14:textFill>
                        <w14:solidFill>
                          <w14:schemeClr w14:val="tx1"/>
                        </w14:solidFill>
                      </w14:textFill>
                    </w:rPr>
                  </w:pPr>
                  <w:r>
                    <w:rPr>
                      <w:rFonts w:hint="eastAsia"/>
                      <w:bCs/>
                      <w:color w:val="000000" w:themeColor="text1"/>
                      <w:sz w:val="18"/>
                      <w:szCs w:val="18"/>
                      <w:highlight w:val="none"/>
                      <w:lang w:val="en-US" w:eastAsia="zh-CN"/>
                      <w14:textFill>
                        <w14:solidFill>
                          <w14:schemeClr w14:val="tx1"/>
                        </w14:solidFill>
                      </w14:textFill>
                    </w:rPr>
                    <w:t>9</w:t>
                  </w:r>
                </w:p>
              </w:tc>
            </w:tr>
            <w:tr w14:paraId="28A2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 w:hRule="atLeast"/>
                <w:jc w:val="center"/>
              </w:trPr>
              <w:tc>
                <w:tcPr>
                  <w:tcW w:w="302" w:type="pct"/>
                  <w:noWrap/>
                  <w:tcMar>
                    <w:top w:w="28" w:type="dxa"/>
                    <w:left w:w="28" w:type="dxa"/>
                    <w:bottom w:w="28" w:type="dxa"/>
                    <w:right w:w="28" w:type="dxa"/>
                  </w:tcMar>
                  <w:vAlign w:val="center"/>
                </w:tcPr>
                <w:p w14:paraId="532081C1">
                  <w:pPr>
                    <w:pStyle w:val="55"/>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bCs/>
                      <w:color w:val="000000" w:themeColor="text1"/>
                      <w:sz w:val="18"/>
                      <w:szCs w:val="18"/>
                      <w:highlight w:val="none"/>
                      <w:lang w:val="en-US" w:eastAsia="zh-CN"/>
                      <w14:textFill>
                        <w14:solidFill>
                          <w14:schemeClr w14:val="tx1"/>
                        </w14:solidFill>
                      </w14:textFill>
                    </w:rPr>
                    <w:t>一体化生产废水处理站</w:t>
                  </w:r>
                </w:p>
              </w:tc>
              <w:tc>
                <w:tcPr>
                  <w:tcW w:w="230" w:type="pct"/>
                  <w:noWrap/>
                  <w:tcMar>
                    <w:top w:w="28" w:type="dxa"/>
                    <w:left w:w="28" w:type="dxa"/>
                    <w:bottom w:w="28" w:type="dxa"/>
                    <w:right w:w="28" w:type="dxa"/>
                  </w:tcMar>
                  <w:vAlign w:val="center"/>
                </w:tcPr>
                <w:p w14:paraId="376C0F9B">
                  <w:pPr>
                    <w:pStyle w:val="55"/>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bCs/>
                      <w:color w:val="000000" w:themeColor="text1"/>
                      <w:sz w:val="18"/>
                      <w:szCs w:val="18"/>
                      <w:highlight w:val="none"/>
                      <w:lang w:val="en-US" w:eastAsia="zh-CN"/>
                      <w14:textFill>
                        <w14:solidFill>
                          <w14:schemeClr w14:val="tx1"/>
                        </w14:solidFill>
                      </w14:textFill>
                    </w:rPr>
                    <w:t>2</w:t>
                  </w:r>
                </w:p>
              </w:tc>
              <w:tc>
                <w:tcPr>
                  <w:tcW w:w="400" w:type="pct"/>
                  <w:noWrap/>
                  <w:tcMar>
                    <w:top w:w="28" w:type="dxa"/>
                    <w:left w:w="28" w:type="dxa"/>
                    <w:bottom w:w="28" w:type="dxa"/>
                    <w:right w:w="28" w:type="dxa"/>
                  </w:tcMar>
                  <w:vAlign w:val="center"/>
                </w:tcPr>
                <w:p w14:paraId="602CB483">
                  <w:pPr>
                    <w:pStyle w:val="55"/>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bCs/>
                      <w:color w:val="000000" w:themeColor="text1"/>
                      <w:sz w:val="18"/>
                      <w:szCs w:val="18"/>
                      <w:highlight w:val="none"/>
                      <w:lang w:val="en-US" w:eastAsia="zh-CN"/>
                      <w14:textFill>
                        <w14:solidFill>
                          <w14:schemeClr w14:val="tx1"/>
                        </w14:solidFill>
                      </w14:textFill>
                    </w:rPr>
                    <w:t>水泵</w:t>
                  </w:r>
                </w:p>
              </w:tc>
              <w:tc>
                <w:tcPr>
                  <w:tcW w:w="414" w:type="pct"/>
                  <w:noWrap/>
                  <w:tcMar>
                    <w:top w:w="28" w:type="dxa"/>
                    <w:left w:w="28" w:type="dxa"/>
                    <w:bottom w:w="28" w:type="dxa"/>
                    <w:right w:w="28" w:type="dxa"/>
                  </w:tcMar>
                  <w:vAlign w:val="center"/>
                </w:tcPr>
                <w:p w14:paraId="20AD7841">
                  <w:pPr>
                    <w:pStyle w:val="55"/>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bCs/>
                      <w:color w:val="000000" w:themeColor="text1"/>
                      <w:sz w:val="18"/>
                      <w:szCs w:val="18"/>
                      <w:highlight w:val="none"/>
                      <w:lang w:val="en-US" w:eastAsia="zh-CN"/>
                      <w14:textFill>
                        <w14:solidFill>
                          <w14:schemeClr w14:val="tx1"/>
                        </w14:solidFill>
                      </w14:textFill>
                    </w:rPr>
                    <w:t>/</w:t>
                  </w:r>
                </w:p>
              </w:tc>
              <w:tc>
                <w:tcPr>
                  <w:tcW w:w="207" w:type="pct"/>
                  <w:noWrap/>
                  <w:tcMar>
                    <w:top w:w="28" w:type="dxa"/>
                    <w:left w:w="28" w:type="dxa"/>
                    <w:bottom w:w="28" w:type="dxa"/>
                    <w:right w:w="28" w:type="dxa"/>
                  </w:tcMar>
                  <w:vAlign w:val="center"/>
                </w:tcPr>
                <w:p w14:paraId="3E4C5531">
                  <w:pPr>
                    <w:pStyle w:val="55"/>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bCs/>
                      <w:color w:val="000000" w:themeColor="text1"/>
                      <w:sz w:val="18"/>
                      <w:szCs w:val="18"/>
                      <w:highlight w:val="none"/>
                      <w:lang w:val="en-US" w:eastAsia="zh-CN"/>
                      <w14:textFill>
                        <w14:solidFill>
                          <w14:schemeClr w14:val="tx1"/>
                        </w14:solidFill>
                      </w14:textFill>
                    </w:rPr>
                    <w:t>-2</w:t>
                  </w:r>
                </w:p>
              </w:tc>
              <w:tc>
                <w:tcPr>
                  <w:tcW w:w="207" w:type="pct"/>
                  <w:noWrap/>
                  <w:tcMar>
                    <w:top w:w="28" w:type="dxa"/>
                    <w:left w:w="28" w:type="dxa"/>
                    <w:bottom w:w="28" w:type="dxa"/>
                    <w:right w:w="28" w:type="dxa"/>
                  </w:tcMar>
                  <w:vAlign w:val="center"/>
                </w:tcPr>
                <w:p w14:paraId="56542003">
                  <w:pPr>
                    <w:pStyle w:val="55"/>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bCs/>
                      <w:color w:val="000000" w:themeColor="text1"/>
                      <w:sz w:val="18"/>
                      <w:szCs w:val="18"/>
                      <w:highlight w:val="none"/>
                      <w:lang w:val="en-US" w:eastAsia="zh-CN"/>
                      <w14:textFill>
                        <w14:solidFill>
                          <w14:schemeClr w14:val="tx1"/>
                        </w14:solidFill>
                      </w14:textFill>
                    </w:rPr>
                    <w:t>15</w:t>
                  </w:r>
                </w:p>
              </w:tc>
              <w:tc>
                <w:tcPr>
                  <w:tcW w:w="168" w:type="pct"/>
                  <w:noWrap/>
                  <w:tcMar>
                    <w:top w:w="28" w:type="dxa"/>
                    <w:left w:w="28" w:type="dxa"/>
                    <w:bottom w:w="28" w:type="dxa"/>
                    <w:right w:w="28" w:type="dxa"/>
                  </w:tcMar>
                  <w:vAlign w:val="center"/>
                </w:tcPr>
                <w:p w14:paraId="7F83252C">
                  <w:pPr>
                    <w:pStyle w:val="55"/>
                    <w:keepNext w:val="0"/>
                    <w:keepLines w:val="0"/>
                    <w:suppressLineNumbers w:val="0"/>
                    <w:spacing w:before="0" w:beforeAutospacing="0" w:after="0" w:afterAutospacing="0"/>
                    <w:ind w:left="0" w:right="0"/>
                    <w:rPr>
                      <w:rFonts w:hint="default"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bCs/>
                      <w:color w:val="000000" w:themeColor="text1"/>
                      <w:sz w:val="18"/>
                      <w:szCs w:val="18"/>
                      <w:highlight w:val="none"/>
                      <w:lang w:val="en-US" w:eastAsia="zh-CN"/>
                      <w14:textFill>
                        <w14:solidFill>
                          <w14:schemeClr w14:val="tx1"/>
                        </w14:solidFill>
                      </w14:textFill>
                    </w:rPr>
                    <w:t>13</w:t>
                  </w:r>
                </w:p>
              </w:tc>
              <w:tc>
                <w:tcPr>
                  <w:tcW w:w="329" w:type="pct"/>
                  <w:noWrap/>
                  <w:tcMar>
                    <w:top w:w="28" w:type="dxa"/>
                    <w:left w:w="28" w:type="dxa"/>
                    <w:bottom w:w="28" w:type="dxa"/>
                    <w:right w:w="28" w:type="dxa"/>
                  </w:tcMar>
                  <w:vAlign w:val="center"/>
                </w:tcPr>
                <w:p w14:paraId="71E51ED1">
                  <w:pPr>
                    <w:pStyle w:val="55"/>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bCs/>
                      <w:color w:val="000000" w:themeColor="text1"/>
                      <w:sz w:val="18"/>
                      <w:szCs w:val="18"/>
                      <w:highlight w:val="none"/>
                      <w:lang w:val="en-US" w:eastAsia="zh-CN"/>
                      <w14:textFill>
                        <w14:solidFill>
                          <w14:schemeClr w14:val="tx1"/>
                        </w14:solidFill>
                      </w14:textFill>
                    </w:rPr>
                    <w:t>80</w:t>
                  </w:r>
                </w:p>
              </w:tc>
              <w:tc>
                <w:tcPr>
                  <w:tcW w:w="404" w:type="pct"/>
                  <w:noWrap/>
                  <w:tcMar>
                    <w:top w:w="28" w:type="dxa"/>
                    <w:left w:w="28" w:type="dxa"/>
                    <w:bottom w:w="28" w:type="dxa"/>
                    <w:right w:w="28" w:type="dxa"/>
                  </w:tcMar>
                  <w:vAlign w:val="center"/>
                </w:tcPr>
                <w:p w14:paraId="3BFCB5BA">
                  <w:pPr>
                    <w:pStyle w:val="55"/>
                    <w:keepNext w:val="0"/>
                    <w:keepLines w:val="0"/>
                    <w:suppressLineNumbers w:val="0"/>
                    <w:spacing w:before="0" w:beforeAutospacing="0" w:after="0" w:afterAutospacing="0"/>
                    <w:ind w:left="0" w:right="0"/>
                    <w:rPr>
                      <w:rFonts w:hint="eastAsia" w:ascii="Times New Roman" w:hAnsi="Times New Roman" w:eastAsia="宋体" w:cs="Times New Roman"/>
                      <w:bCs/>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bCs/>
                      <w:color w:val="000000" w:themeColor="text1"/>
                      <w:sz w:val="18"/>
                      <w:szCs w:val="18"/>
                      <w:highlight w:val="none"/>
                      <w:lang w:val="en-US" w:eastAsia="zh-CN"/>
                      <w14:textFill>
                        <w14:solidFill>
                          <w14:schemeClr w14:val="tx1"/>
                        </w14:solidFill>
                      </w14:textFill>
                    </w:rPr>
                    <w:t>1</w:t>
                  </w:r>
                </w:p>
              </w:tc>
              <w:tc>
                <w:tcPr>
                  <w:tcW w:w="631" w:type="pct"/>
                  <w:vMerge w:val="continue"/>
                  <w:noWrap/>
                  <w:tcMar>
                    <w:top w:w="28" w:type="dxa"/>
                    <w:left w:w="28" w:type="dxa"/>
                    <w:bottom w:w="28" w:type="dxa"/>
                    <w:right w:w="28" w:type="dxa"/>
                  </w:tcMar>
                  <w:vAlign w:val="center"/>
                </w:tcPr>
                <w:p w14:paraId="40A0CD0B">
                  <w:pPr>
                    <w:pStyle w:val="55"/>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18"/>
                      <w:szCs w:val="18"/>
                      <w:highlight w:val="none"/>
                      <w14:textFill>
                        <w14:solidFill>
                          <w14:schemeClr w14:val="tx1"/>
                        </w14:solidFill>
                      </w14:textFill>
                    </w:rPr>
                  </w:pPr>
                </w:p>
              </w:tc>
              <w:tc>
                <w:tcPr>
                  <w:tcW w:w="466" w:type="pct"/>
                  <w:vMerge w:val="continue"/>
                  <w:noWrap/>
                  <w:tcMar>
                    <w:top w:w="28" w:type="dxa"/>
                    <w:left w:w="28" w:type="dxa"/>
                    <w:bottom w:w="28" w:type="dxa"/>
                    <w:right w:w="28" w:type="dxa"/>
                  </w:tcMar>
                  <w:vAlign w:val="center"/>
                </w:tcPr>
                <w:p w14:paraId="1E7512F4">
                  <w:pPr>
                    <w:pStyle w:val="55"/>
                    <w:keepNext w:val="0"/>
                    <w:keepLines w:val="0"/>
                    <w:suppressLineNumbers w:val="0"/>
                    <w:spacing w:before="0" w:beforeAutospacing="0" w:after="0" w:afterAutospacing="0"/>
                    <w:ind w:left="0" w:right="0"/>
                    <w:rPr>
                      <w:rFonts w:hint="default" w:ascii="Times New Roman" w:hAnsi="Times New Roman" w:cs="Times New Roman"/>
                      <w:bCs/>
                      <w:color w:val="000000" w:themeColor="text1"/>
                      <w:sz w:val="18"/>
                      <w:szCs w:val="18"/>
                      <w:highlight w:val="none"/>
                      <w14:textFill>
                        <w14:solidFill>
                          <w14:schemeClr w14:val="tx1"/>
                        </w14:solidFill>
                      </w14:textFill>
                    </w:rPr>
                  </w:pPr>
                </w:p>
              </w:tc>
              <w:tc>
                <w:tcPr>
                  <w:tcW w:w="417" w:type="pct"/>
                  <w:noWrap/>
                  <w:tcMar>
                    <w:top w:w="28" w:type="dxa"/>
                    <w:left w:w="28" w:type="dxa"/>
                    <w:bottom w:w="28" w:type="dxa"/>
                    <w:right w:w="28" w:type="dxa"/>
                  </w:tcMar>
                  <w:vAlign w:val="center"/>
                </w:tcPr>
                <w:p w14:paraId="529475F7">
                  <w:pPr>
                    <w:rPr>
                      <w:rFonts w:hint="default" w:ascii="Times New Roman" w:hAnsi="Times New Roman" w:cs="Times New Roman"/>
                      <w:bCs/>
                      <w:color w:val="000000" w:themeColor="text1"/>
                      <w:sz w:val="18"/>
                      <w:szCs w:val="18"/>
                      <w:highlight w:val="none"/>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8:00</w:t>
                  </w:r>
                  <w:r>
                    <w:rPr>
                      <w:rFonts w:hint="eastAsia" w:ascii="Times New Roman" w:hAnsi="Times New Roman" w:cs="Times New Roman"/>
                      <w:color w:val="000000" w:themeColor="text1"/>
                      <w:sz w:val="20"/>
                      <w:szCs w:val="20"/>
                      <w:lang w:val="en-US" w:eastAsia="zh-CN"/>
                      <w14:textFill>
                        <w14:solidFill>
                          <w14:schemeClr w14:val="tx1"/>
                        </w14:solidFill>
                      </w14:textFill>
                    </w:rPr>
                    <w:t>-</w:t>
                  </w:r>
                  <w:r>
                    <w:rPr>
                      <w:rFonts w:hint="eastAsia" w:cs="Times New Roman"/>
                      <w:color w:val="000000" w:themeColor="text1"/>
                      <w:sz w:val="20"/>
                      <w:szCs w:val="20"/>
                      <w:lang w:val="en-US" w:eastAsia="zh-CN"/>
                      <w14:textFill>
                        <w14:solidFill>
                          <w14:schemeClr w14:val="tx1"/>
                        </w14:solidFill>
                      </w14:textFill>
                    </w:rPr>
                    <w:t>18:00</w:t>
                  </w:r>
                </w:p>
              </w:tc>
              <w:tc>
                <w:tcPr>
                  <w:tcW w:w="215" w:type="pct"/>
                  <w:noWrap/>
                  <w:tcMar>
                    <w:top w:w="28" w:type="dxa"/>
                    <w:left w:w="28" w:type="dxa"/>
                    <w:bottom w:w="28" w:type="dxa"/>
                    <w:right w:w="28" w:type="dxa"/>
                  </w:tcMar>
                  <w:vAlign w:val="center"/>
                </w:tcPr>
                <w:p w14:paraId="64D50CD5">
                  <w:pPr>
                    <w:keepNext w:val="0"/>
                    <w:keepLines w:val="0"/>
                    <w:widowControl/>
                    <w:suppressLineNumbers w:val="0"/>
                    <w:spacing w:before="0" w:beforeAutospacing="0" w:after="0" w:afterAutospacing="0"/>
                    <w:ind w:left="0" w:right="0"/>
                    <w:jc w:val="center"/>
                    <w:textAlignment w:val="bottom"/>
                    <w:rPr>
                      <w:rFonts w:hint="default"/>
                      <w:bCs/>
                      <w:color w:val="000000" w:themeColor="text1"/>
                      <w:sz w:val="18"/>
                      <w:szCs w:val="18"/>
                      <w:highlight w:val="none"/>
                      <w:lang w:val="en-US" w:eastAsia="zh-CN"/>
                      <w14:textFill>
                        <w14:solidFill>
                          <w14:schemeClr w14:val="tx1"/>
                        </w14:solidFill>
                      </w14:textFill>
                    </w:rPr>
                  </w:pPr>
                  <w:r>
                    <w:rPr>
                      <w:rFonts w:hint="eastAsia"/>
                      <w:bCs/>
                      <w:color w:val="000000" w:themeColor="text1"/>
                      <w:sz w:val="18"/>
                      <w:szCs w:val="18"/>
                      <w:highlight w:val="none"/>
                      <w:lang w:val="en-US" w:eastAsia="zh-CN"/>
                      <w14:textFill>
                        <w14:solidFill>
                          <w14:schemeClr w14:val="tx1"/>
                        </w14:solidFill>
                      </w14:textFill>
                    </w:rPr>
                    <w:t>31</w:t>
                  </w:r>
                </w:p>
              </w:tc>
              <w:tc>
                <w:tcPr>
                  <w:tcW w:w="206" w:type="pct"/>
                  <w:noWrap/>
                  <w:tcMar>
                    <w:top w:w="28" w:type="dxa"/>
                    <w:left w:w="28" w:type="dxa"/>
                    <w:bottom w:w="28" w:type="dxa"/>
                    <w:right w:w="28" w:type="dxa"/>
                  </w:tcMar>
                  <w:vAlign w:val="center"/>
                </w:tcPr>
                <w:p w14:paraId="0A495AB4">
                  <w:pPr>
                    <w:keepNext w:val="0"/>
                    <w:keepLines w:val="0"/>
                    <w:widowControl/>
                    <w:suppressLineNumbers w:val="0"/>
                    <w:spacing w:before="0" w:beforeAutospacing="0" w:after="0" w:afterAutospacing="0"/>
                    <w:ind w:left="0" w:right="0"/>
                    <w:jc w:val="center"/>
                    <w:textAlignment w:val="bottom"/>
                    <w:rPr>
                      <w:rFonts w:hint="default"/>
                      <w:bCs/>
                      <w:color w:val="000000" w:themeColor="text1"/>
                      <w:sz w:val="18"/>
                      <w:szCs w:val="18"/>
                      <w:highlight w:val="none"/>
                      <w:lang w:val="en-US" w:eastAsia="zh-CN"/>
                      <w14:textFill>
                        <w14:solidFill>
                          <w14:schemeClr w14:val="tx1"/>
                        </w14:solidFill>
                      </w14:textFill>
                    </w:rPr>
                  </w:pPr>
                  <w:r>
                    <w:rPr>
                      <w:rFonts w:hint="eastAsia"/>
                      <w:bCs/>
                      <w:color w:val="000000" w:themeColor="text1"/>
                      <w:sz w:val="18"/>
                      <w:szCs w:val="18"/>
                      <w:highlight w:val="none"/>
                      <w:lang w:val="en-US" w:eastAsia="zh-CN"/>
                      <w14:textFill>
                        <w14:solidFill>
                          <w14:schemeClr w14:val="tx1"/>
                        </w14:solidFill>
                      </w14:textFill>
                    </w:rPr>
                    <w:t>36</w:t>
                  </w:r>
                </w:p>
              </w:tc>
              <w:tc>
                <w:tcPr>
                  <w:tcW w:w="188" w:type="pct"/>
                  <w:noWrap/>
                  <w:tcMar>
                    <w:top w:w="28" w:type="dxa"/>
                    <w:left w:w="28" w:type="dxa"/>
                    <w:bottom w:w="28" w:type="dxa"/>
                    <w:right w:w="28" w:type="dxa"/>
                  </w:tcMar>
                  <w:vAlign w:val="center"/>
                </w:tcPr>
                <w:p w14:paraId="6700DEB0">
                  <w:pPr>
                    <w:keepNext w:val="0"/>
                    <w:keepLines w:val="0"/>
                    <w:widowControl/>
                    <w:suppressLineNumbers w:val="0"/>
                    <w:spacing w:before="0" w:beforeAutospacing="0" w:after="0" w:afterAutospacing="0"/>
                    <w:ind w:left="0" w:right="0"/>
                    <w:jc w:val="center"/>
                    <w:textAlignment w:val="bottom"/>
                    <w:rPr>
                      <w:rFonts w:hint="default"/>
                      <w:bCs/>
                      <w:color w:val="000000" w:themeColor="text1"/>
                      <w:sz w:val="18"/>
                      <w:szCs w:val="18"/>
                      <w:highlight w:val="none"/>
                      <w:lang w:val="en-US" w:eastAsia="zh-CN"/>
                      <w14:textFill>
                        <w14:solidFill>
                          <w14:schemeClr w14:val="tx1"/>
                        </w14:solidFill>
                      </w14:textFill>
                    </w:rPr>
                  </w:pPr>
                  <w:r>
                    <w:rPr>
                      <w:rFonts w:hint="eastAsia"/>
                      <w:bCs/>
                      <w:color w:val="000000" w:themeColor="text1"/>
                      <w:sz w:val="18"/>
                      <w:szCs w:val="18"/>
                      <w:highlight w:val="none"/>
                      <w:lang w:val="en-US" w:eastAsia="zh-CN"/>
                      <w14:textFill>
                        <w14:solidFill>
                          <w14:schemeClr w14:val="tx1"/>
                        </w14:solidFill>
                      </w14:textFill>
                    </w:rPr>
                    <w:t>27</w:t>
                  </w:r>
                </w:p>
              </w:tc>
              <w:tc>
                <w:tcPr>
                  <w:tcW w:w="208" w:type="pct"/>
                  <w:noWrap/>
                  <w:tcMar>
                    <w:top w:w="28" w:type="dxa"/>
                    <w:left w:w="28" w:type="dxa"/>
                    <w:bottom w:w="28" w:type="dxa"/>
                    <w:right w:w="28" w:type="dxa"/>
                  </w:tcMar>
                  <w:vAlign w:val="center"/>
                </w:tcPr>
                <w:p w14:paraId="1FDA3587">
                  <w:pPr>
                    <w:keepNext w:val="0"/>
                    <w:keepLines w:val="0"/>
                    <w:widowControl/>
                    <w:suppressLineNumbers w:val="0"/>
                    <w:spacing w:before="0" w:beforeAutospacing="0" w:after="0" w:afterAutospacing="0"/>
                    <w:ind w:left="0" w:right="0"/>
                    <w:jc w:val="center"/>
                    <w:textAlignment w:val="bottom"/>
                    <w:rPr>
                      <w:rFonts w:hint="default"/>
                      <w:bCs/>
                      <w:color w:val="000000" w:themeColor="text1"/>
                      <w:sz w:val="18"/>
                      <w:szCs w:val="18"/>
                      <w:highlight w:val="none"/>
                      <w:lang w:val="en-US" w:eastAsia="zh-CN"/>
                      <w14:textFill>
                        <w14:solidFill>
                          <w14:schemeClr w14:val="tx1"/>
                        </w14:solidFill>
                      </w14:textFill>
                    </w:rPr>
                  </w:pPr>
                  <w:r>
                    <w:rPr>
                      <w:rFonts w:hint="eastAsia"/>
                      <w:bCs/>
                      <w:color w:val="000000" w:themeColor="text1"/>
                      <w:sz w:val="18"/>
                      <w:szCs w:val="18"/>
                      <w:highlight w:val="none"/>
                      <w:lang w:val="en-US" w:eastAsia="zh-CN"/>
                      <w14:textFill>
                        <w14:solidFill>
                          <w14:schemeClr w14:val="tx1"/>
                        </w14:solidFill>
                      </w14:textFill>
                    </w:rPr>
                    <w:t>7</w:t>
                  </w:r>
                </w:p>
              </w:tc>
            </w:tr>
            <w:tr w14:paraId="71B1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16"/>
                  <w:noWrap/>
                  <w:tcMar>
                    <w:top w:w="28" w:type="dxa"/>
                    <w:left w:w="28" w:type="dxa"/>
                    <w:bottom w:w="28" w:type="dxa"/>
                    <w:right w:w="28" w:type="dxa"/>
                  </w:tcMar>
                  <w:vAlign w:val="center"/>
                </w:tcPr>
                <w:p w14:paraId="54556CA7">
                  <w:pPr>
                    <w:pStyle w:val="55"/>
                    <w:keepNext w:val="0"/>
                    <w:keepLines w:val="0"/>
                    <w:suppressLineNumbers w:val="0"/>
                    <w:spacing w:before="0" w:beforeAutospacing="0" w:after="0" w:afterAutospacing="0"/>
                    <w:ind w:left="0" w:right="0"/>
                    <w:jc w:val="left"/>
                    <w:rPr>
                      <w:rFonts w:hint="default" w:ascii="Times New Roman" w:hAnsi="Times New Roman" w:cs="Times New Roman"/>
                      <w:bCs/>
                      <w:color w:val="000000" w:themeColor="text1"/>
                      <w:sz w:val="18"/>
                      <w:szCs w:val="18"/>
                      <w:highlight w:val="none"/>
                      <w14:textFill>
                        <w14:solidFill>
                          <w14:schemeClr w14:val="tx1"/>
                        </w14:solidFill>
                      </w14:textFill>
                    </w:rPr>
                  </w:pPr>
                  <w:r>
                    <w:rPr>
                      <w:rFonts w:hint="default" w:ascii="Times New Roman" w:hAnsi="Times New Roman" w:cs="Times New Roman"/>
                      <w:bCs/>
                      <w:color w:val="000000" w:themeColor="text1"/>
                      <w:sz w:val="18"/>
                      <w:szCs w:val="18"/>
                      <w:highlight w:val="none"/>
                      <w14:textFill>
                        <w14:solidFill>
                          <w14:schemeClr w14:val="tx1"/>
                        </w14:solidFill>
                      </w14:textFill>
                    </w:rPr>
                    <w:t>注：</w:t>
                  </w:r>
                  <w:r>
                    <w:rPr>
                      <w:rFonts w:hint="eastAsia" w:ascii="Times New Roman" w:hAnsi="Times New Roman" w:cs="Times New Roman"/>
                      <w:bCs/>
                      <w:color w:val="000000" w:themeColor="text1"/>
                      <w:sz w:val="18"/>
                      <w:szCs w:val="18"/>
                      <w:highlight w:val="none"/>
                      <w14:textFill>
                        <w14:solidFill>
                          <w14:schemeClr w14:val="tx1"/>
                        </w14:solidFill>
                      </w14:textFill>
                    </w:rPr>
                    <w:t>以项目中心为原点，东西走向为X轴，南北走向为Y轴。</w:t>
                  </w:r>
                </w:p>
              </w:tc>
            </w:tr>
          </w:tbl>
          <w:p w14:paraId="36E162CC">
            <w:pPr>
              <w:keepNext w:val="0"/>
              <w:keepLines w:val="0"/>
              <w:suppressLineNumbers w:val="0"/>
              <w:snapToGrid w:val="0"/>
              <w:spacing w:before="0" w:beforeAutospacing="0" w:after="0" w:afterAutospacing="0" w:line="360" w:lineRule="auto"/>
              <w:ind w:left="0" w:right="0"/>
              <w:rPr>
                <w:rFonts w:hint="default"/>
                <w:color w:val="000000" w:themeColor="text1"/>
                <w:kern w:val="0"/>
                <w:szCs w:val="21"/>
                <w14:textFill>
                  <w14:solidFill>
                    <w14:schemeClr w14:val="tx1"/>
                  </w14:solidFill>
                </w14:textFill>
              </w:rPr>
            </w:pPr>
          </w:p>
        </w:tc>
      </w:tr>
    </w:tbl>
    <w:p w14:paraId="5303A819">
      <w:pPr>
        <w:pStyle w:val="2"/>
        <w:rPr>
          <w:color w:val="000000" w:themeColor="text1"/>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8670"/>
      </w:tblGrid>
      <w:tr w14:paraId="2222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6" w:hRule="atLeast"/>
          <w:jc w:val="center"/>
        </w:trPr>
        <w:tc>
          <w:tcPr>
            <w:tcW w:w="409" w:type="dxa"/>
            <w:vAlign w:val="center"/>
          </w:tcPr>
          <w:p w14:paraId="64957DB7">
            <w:pPr>
              <w:pStyle w:val="12"/>
              <w:keepNext w:val="0"/>
              <w:keepLines w:val="0"/>
              <w:suppressLineNumbers w:val="0"/>
              <w:spacing w:beforeAutospacing="0" w:afterAutospacing="0"/>
              <w:ind w:lef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运营期环境影响和保护措施</w:t>
            </w:r>
          </w:p>
        </w:tc>
        <w:tc>
          <w:tcPr>
            <w:tcW w:w="9071" w:type="dxa"/>
            <w:vAlign w:val="center"/>
          </w:tcPr>
          <w:p w14:paraId="68A0EF93">
            <w:pPr>
              <w:keepNext w:val="0"/>
              <w:keepLines w:val="0"/>
              <w:suppressLineNumbers w:val="0"/>
              <w:adjustRightInd w:val="0"/>
              <w:snapToGrid w:val="0"/>
              <w:spacing w:before="0" w:beforeLines="50" w:beforeAutospacing="0" w:after="0" w:afterAutospacing="0" w:line="360" w:lineRule="auto"/>
              <w:ind w:left="0" w:right="0"/>
              <w:rPr>
                <w:rFonts w:hint="default" w:ascii="Times New Roman" w:hAnsi="Times New Roman" w:cs="Times New Roman"/>
                <w:b/>
                <w:color w:val="000000" w:themeColor="text1"/>
                <w:spacing w:val="-10"/>
                <w:sz w:val="24"/>
                <w:szCs w:val="24"/>
                <w14:textFill>
                  <w14:solidFill>
                    <w14:schemeClr w14:val="tx1"/>
                  </w14:solidFill>
                </w14:textFill>
              </w:rPr>
            </w:pPr>
            <w:r>
              <w:rPr>
                <w:rFonts w:hint="default" w:ascii="Times New Roman" w:hAnsi="Times New Roman" w:cs="Times New Roman"/>
                <w:b/>
                <w:color w:val="000000" w:themeColor="text1"/>
                <w:spacing w:val="-10"/>
                <w:sz w:val="24"/>
                <w:szCs w:val="24"/>
                <w14:textFill>
                  <w14:solidFill>
                    <w14:schemeClr w14:val="tx1"/>
                  </w14:solidFill>
                </w14:textFill>
              </w:rPr>
              <w:t>3.2、噪声厂界达标分析</w:t>
            </w:r>
          </w:p>
          <w:p w14:paraId="22B42D55">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bCs/>
                <w:color w:val="000000" w:themeColor="text1"/>
                <w:sz w:val="24"/>
                <w:szCs w:val="24"/>
                <w:shd w:val="clear" w:color="auto" w:fill="FFFFFF"/>
                <w14:textFill>
                  <w14:solidFill>
                    <w14:schemeClr w14:val="tx1"/>
                  </w14:solidFill>
                </w14:textFill>
              </w:rPr>
            </w:pPr>
            <w:r>
              <w:rPr>
                <w:rFonts w:hint="default" w:ascii="Times New Roman" w:hAnsi="Times New Roman" w:cs="Times New Roman"/>
                <w:bCs/>
                <w:color w:val="000000" w:themeColor="text1"/>
                <w:sz w:val="24"/>
                <w:szCs w:val="24"/>
                <w:shd w:val="clear" w:color="auto" w:fill="FFFFFF"/>
                <w:lang w:eastAsia="zh-CN"/>
                <w14:textFill>
                  <w14:solidFill>
                    <w14:schemeClr w14:val="tx1"/>
                  </w14:solidFill>
                </w14:textFill>
              </w:rPr>
              <w:t>（</w:t>
            </w:r>
            <w:r>
              <w:rPr>
                <w:rFonts w:hint="default" w:ascii="Times New Roman" w:hAnsi="Times New Roman" w:cs="Times New Roman"/>
                <w:bCs/>
                <w:color w:val="000000" w:themeColor="text1"/>
                <w:sz w:val="24"/>
                <w:szCs w:val="24"/>
                <w:shd w:val="clear" w:color="auto" w:fill="FFFFFF"/>
                <w:lang w:val="en-US" w:eastAsia="zh-CN"/>
                <w14:textFill>
                  <w14:solidFill>
                    <w14:schemeClr w14:val="tx1"/>
                  </w14:solidFill>
                </w14:textFill>
              </w:rPr>
              <w:t>1</w:t>
            </w:r>
            <w:r>
              <w:rPr>
                <w:rFonts w:hint="default" w:ascii="Times New Roman" w:hAnsi="Times New Roman" w:cs="Times New Roman"/>
                <w:bCs/>
                <w:color w:val="000000" w:themeColor="text1"/>
                <w:sz w:val="24"/>
                <w:szCs w:val="24"/>
                <w:shd w:val="clear" w:color="auto" w:fill="FFFFFF"/>
                <w:lang w:eastAsia="zh-CN"/>
                <w14:textFill>
                  <w14:solidFill>
                    <w14:schemeClr w14:val="tx1"/>
                  </w14:solidFill>
                </w14:textFill>
              </w:rPr>
              <w:t>）</w:t>
            </w:r>
            <w:r>
              <w:rPr>
                <w:rFonts w:hint="default" w:ascii="Times New Roman" w:hAnsi="Times New Roman" w:cs="Times New Roman"/>
                <w:bCs/>
                <w:color w:val="000000" w:themeColor="text1"/>
                <w:sz w:val="24"/>
                <w:szCs w:val="24"/>
                <w:shd w:val="clear" w:color="auto" w:fill="FFFFFF"/>
                <w14:textFill>
                  <w14:solidFill>
                    <w14:schemeClr w14:val="tx1"/>
                  </w14:solidFill>
                </w14:textFill>
              </w:rPr>
              <w:t>预测模式</w:t>
            </w:r>
          </w:p>
          <w:p w14:paraId="17E34305">
            <w:pPr>
              <w:keepNext w:val="0"/>
              <w:keepLines w:val="0"/>
              <w:suppressLineNumbers w:val="0"/>
              <w:adjustRightInd w:val="0"/>
              <w:spacing w:before="0" w:beforeAutospacing="0" w:after="0" w:afterAutospacing="0" w:line="360" w:lineRule="auto"/>
              <w:ind w:left="0" w:right="0" w:firstLine="48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根据《环境影响评价技术导则 声环境》（HJ2.4－2021）中推荐的以下公式，对项目的声环境影响进行预测。</w:t>
            </w:r>
          </w:p>
          <w:p w14:paraId="143C2E37">
            <w:pPr>
              <w:pStyle w:val="1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①室内声源等效室外声源声功率级计算方法</w:t>
            </w:r>
          </w:p>
          <w:p w14:paraId="3C14627A">
            <w:pPr>
              <w:pStyle w:val="1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A、某一室内声源靠近围护结构处的倍频带声压级或A声级：</w:t>
            </w:r>
          </w:p>
          <w:p w14:paraId="61EE029F">
            <w:pPr>
              <w:pStyle w:val="19"/>
              <w:keepNext w:val="0"/>
              <w:keepLines w:val="0"/>
              <w:widowControl w:val="0"/>
              <w:suppressLineNumbers w:val="0"/>
              <w:autoSpaceDE w:val="0"/>
              <w:spacing w:before="0" w:beforeAutospacing="0" w:after="0" w:afterAutospacing="0" w:line="360" w:lineRule="auto"/>
              <w:ind w:left="0" w:right="0"/>
              <w:jc w:val="center"/>
              <w:rPr>
                <w:rFonts w:hint="default" w:ascii="Times New Roman" w:hAnsi="Times New Roman" w:cs="Times New Roman"/>
                <w:b/>
                <w:color w:val="000000" w:themeColor="text1"/>
                <w:kern w:val="2"/>
                <w:sz w:val="24"/>
                <w:szCs w:val="24"/>
                <w14:textFill>
                  <w14:solidFill>
                    <w14:schemeClr w14:val="tx1"/>
                  </w14:solidFill>
                </w14:textFill>
              </w:rPr>
            </w:pPr>
            <w:r>
              <w:rPr>
                <w:rFonts w:hint="default" w:ascii="Times New Roman" w:hAnsi="Times New Roman" w:cs="Times New Roman"/>
                <w:b/>
                <w:color w:val="000000" w:themeColor="text1"/>
                <w:kern w:val="2"/>
                <w:position w:val="-28"/>
                <w:sz w:val="24"/>
                <w:szCs w:val="24"/>
                <w14:textFill>
                  <w14:solidFill>
                    <w14:schemeClr w14:val="tx1"/>
                  </w14:solidFill>
                </w14:textFill>
              </w:rPr>
              <w:object>
                <v:shape id="_x0000_i1029" o:spt="75" type="#_x0000_t75" style="height:34pt;width:132.5pt;" o:ole="t" filled="f" o:preferrelative="t" stroked="f" coordsize="21600,21600">
                  <v:path/>
                  <v:fill on="f" focussize="0,0"/>
                  <v:stroke on="f" joinstyle="miter"/>
                  <v:imagedata r:id="rId27" o:title=""/>
                  <o:lock v:ext="edit" aspectratio="t"/>
                  <w10:wrap type="none"/>
                  <w10:anchorlock/>
                </v:shape>
                <o:OLEObject Type="Embed" ProgID="Equation.KSEE3" ShapeID="_x0000_i1029" DrawAspect="Content" ObjectID="_1468075729" r:id="rId26">
                  <o:LockedField>false</o:LockedField>
                </o:OLEObject>
              </w:object>
            </w:r>
          </w:p>
          <w:p w14:paraId="40057024">
            <w:pPr>
              <w:pStyle w:val="1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式中：L</w:t>
            </w:r>
            <w:r>
              <w:rPr>
                <w:rFonts w:hint="default" w:ascii="Times New Roman" w:hAnsi="Times New Roman" w:cs="Times New Roman"/>
                <w:color w:val="000000" w:themeColor="text1"/>
                <w:sz w:val="24"/>
                <w:szCs w:val="24"/>
                <w:vertAlign w:val="subscript"/>
                <w14:textFill>
                  <w14:solidFill>
                    <w14:schemeClr w14:val="tx1"/>
                  </w14:solidFill>
                </w14:textFill>
              </w:rPr>
              <w:t>p1</w:t>
            </w:r>
            <w:r>
              <w:rPr>
                <w:rFonts w:hint="default" w:ascii="Times New Roman" w:hAnsi="Times New Roman" w:cs="Times New Roman"/>
                <w:color w:val="000000" w:themeColor="text1"/>
                <w:sz w:val="24"/>
                <w:szCs w:val="24"/>
                <w14:textFill>
                  <w14:solidFill>
                    <w14:schemeClr w14:val="tx1"/>
                  </w14:solidFill>
                </w14:textFill>
              </w:rPr>
              <w:t>——靠近开口处（或窗户）室内某倍频带的声压级或A声级，dB；</w:t>
            </w:r>
          </w:p>
          <w:p w14:paraId="34EBE69A">
            <w:pPr>
              <w:pStyle w:val="19"/>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w</w:t>
            </w:r>
            <w:r>
              <w:rPr>
                <w:rFonts w:hint="default" w:ascii="Times New Roman" w:hAnsi="Times New Roman" w:cs="Times New Roman"/>
                <w:color w:val="000000" w:themeColor="text1"/>
                <w:sz w:val="24"/>
                <w:szCs w:val="24"/>
                <w14:textFill>
                  <w14:solidFill>
                    <w14:schemeClr w14:val="tx1"/>
                  </w14:solidFill>
                </w14:textFill>
              </w:rPr>
              <w:t>——点声源声功率级（A计权或倍频带），dB；</w:t>
            </w:r>
          </w:p>
          <w:p w14:paraId="52DFBB1A">
            <w:pPr>
              <w:pStyle w:val="19"/>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Q——指向性因数；通常对无指向性声源，当声源放在房间中心时，Q=1；当放在一面墙的中心时，Q=2；当放在两面墙夹角处时，Q=4；当放在三面墙夹角处时，Q=8；</w:t>
            </w:r>
          </w:p>
          <w:p w14:paraId="722676C1">
            <w:pPr>
              <w:pStyle w:val="19"/>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R——房间常数；</w:t>
            </w:r>
            <w:r>
              <w:rPr>
                <w:rFonts w:hint="default" w:ascii="Times New Roman" w:hAnsi="Times New Roman" w:cs="Times New Roman"/>
                <w:b/>
                <w:color w:val="000000" w:themeColor="text1"/>
                <w:kern w:val="2"/>
                <w:position w:val="-10"/>
                <w:sz w:val="24"/>
                <w:szCs w:val="24"/>
                <w14:textFill>
                  <w14:solidFill>
                    <w14:schemeClr w14:val="tx1"/>
                  </w14:solidFill>
                </w14:textFill>
              </w:rPr>
              <w:object>
                <v:shape id="_x0000_i1030" o:spt="75" type="#_x0000_t75" style="height:17pt;width:74pt;" o:ole="t" filled="f" o:preferrelative="t" stroked="f" coordsize="21600,21600">
                  <v:path/>
                  <v:fill on="f" focussize="0,0"/>
                  <v:stroke on="f" joinstyle="miter"/>
                  <v:imagedata r:id="rId29" o:title=""/>
                  <o:lock v:ext="edit" aspectratio="t"/>
                  <w10:wrap type="none"/>
                  <w10:anchorlock/>
                </v:shape>
                <o:OLEObject Type="Embed" ProgID="Equation.KSEE3" ShapeID="_x0000_i1030" DrawAspect="Content" ObjectID="_1468075730" r:id="rId28">
                  <o:LockedField>false</o:LockedField>
                </o:OLEObject>
              </w:object>
            </w:r>
            <w:r>
              <w:rPr>
                <w:rFonts w:hint="default" w:ascii="Times New Roman" w:hAnsi="Times New Roman" w:cs="Times New Roman"/>
                <w:color w:val="000000" w:themeColor="text1"/>
                <w:sz w:val="24"/>
                <w:szCs w:val="24"/>
                <w14:textFill>
                  <w14:solidFill>
                    <w14:schemeClr w14:val="tx1"/>
                  </w14:solidFill>
                </w14:textFill>
              </w:rPr>
              <w:t>，S为房间内表面面积，m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；α为平均吸声系数；</w:t>
            </w:r>
          </w:p>
          <w:p w14:paraId="75C6925E">
            <w:pPr>
              <w:pStyle w:val="19"/>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r——声源到靠近围护结构某点处的距离，m。</w:t>
            </w:r>
          </w:p>
          <w:p w14:paraId="572638B5">
            <w:pPr>
              <w:pStyle w:val="1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B、所有室内声源在围护结构处产生的i倍频带叠加声压级：</w:t>
            </w:r>
          </w:p>
          <w:p w14:paraId="1D561359">
            <w:pPr>
              <w:pStyle w:val="19"/>
              <w:keepNext w:val="0"/>
              <w:keepLines w:val="0"/>
              <w:widowControl w:val="0"/>
              <w:suppressLineNumbers w:val="0"/>
              <w:autoSpaceDE w:val="0"/>
              <w:spacing w:before="0" w:beforeAutospacing="0" w:after="0" w:afterAutospacing="0" w:line="360" w:lineRule="auto"/>
              <w:ind w:left="0" w:right="0"/>
              <w:jc w:val="center"/>
              <w:rPr>
                <w:rFonts w:hint="default" w:ascii="Times New Roman" w:hAnsi="Times New Roman" w:cs="Times New Roman"/>
                <w:b/>
                <w:color w:val="000000" w:themeColor="text1"/>
                <w:kern w:val="2"/>
                <w:sz w:val="24"/>
                <w:szCs w:val="24"/>
                <w14:textFill>
                  <w14:solidFill>
                    <w14:schemeClr w14:val="tx1"/>
                  </w14:solidFill>
                </w14:textFill>
              </w:rPr>
            </w:pPr>
            <w:r>
              <w:rPr>
                <w:rFonts w:hint="default" w:ascii="Times New Roman" w:hAnsi="Times New Roman" w:cs="Times New Roman"/>
                <w:b/>
                <w:color w:val="000000" w:themeColor="text1"/>
                <w:kern w:val="2"/>
                <w:position w:val="-32"/>
                <w:sz w:val="24"/>
                <w:szCs w:val="24"/>
                <w14:textFill>
                  <w14:solidFill>
                    <w14:schemeClr w14:val="tx1"/>
                  </w14:solidFill>
                </w14:textFill>
              </w:rPr>
              <w:object>
                <v:shape id="_x0000_i1031" o:spt="75" type="#_x0000_t75" style="height:38pt;width:129pt;" o:ole="t" filled="f" o:preferrelative="t" stroked="f" coordsize="21600,21600">
                  <v:path/>
                  <v:fill on="f" focussize="0,0"/>
                  <v:stroke on="f" joinstyle="miter"/>
                  <v:imagedata r:id="rId31" o:title=""/>
                  <o:lock v:ext="edit" aspectratio="t"/>
                  <w10:wrap type="none"/>
                  <w10:anchorlock/>
                </v:shape>
                <o:OLEObject Type="Embed" ProgID="Equation.KSEE3" ShapeID="_x0000_i1031" DrawAspect="Content" ObjectID="_1468075731" r:id="rId30">
                  <o:LockedField>false</o:LockedField>
                </o:OLEObject>
              </w:object>
            </w:r>
          </w:p>
          <w:p w14:paraId="0A5292AC">
            <w:pPr>
              <w:pStyle w:val="1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式中：L</w:t>
            </w:r>
            <w:r>
              <w:rPr>
                <w:rFonts w:hint="default" w:ascii="Times New Roman" w:hAnsi="Times New Roman" w:cs="Times New Roman"/>
                <w:color w:val="000000" w:themeColor="text1"/>
                <w:sz w:val="24"/>
                <w:szCs w:val="24"/>
                <w:vertAlign w:val="subscript"/>
                <w14:textFill>
                  <w14:solidFill>
                    <w14:schemeClr w14:val="tx1"/>
                  </w14:solidFill>
                </w14:textFill>
              </w:rPr>
              <w:t>p1i</w:t>
            </w:r>
            <w:r>
              <w:rPr>
                <w:rFonts w:hint="default" w:ascii="Times New Roman" w:hAnsi="Times New Roman" w:cs="Times New Roman"/>
                <w:color w:val="000000" w:themeColor="text1"/>
                <w:sz w:val="24"/>
                <w:szCs w:val="24"/>
                <w14:textFill>
                  <w14:solidFill>
                    <w14:schemeClr w14:val="tx1"/>
                  </w14:solidFill>
                </w14:textFill>
              </w:rPr>
              <w:t>(T)——靠近围护结构处室内N个声源i倍频带的叠加声压级，dB；</w:t>
            </w:r>
          </w:p>
          <w:p w14:paraId="204CC030">
            <w:pPr>
              <w:pStyle w:val="19"/>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p1ij</w:t>
            </w:r>
            <w:r>
              <w:rPr>
                <w:rFonts w:hint="default" w:ascii="Times New Roman" w:hAnsi="Times New Roman" w:cs="Times New Roman"/>
                <w:color w:val="000000" w:themeColor="text1"/>
                <w:sz w:val="24"/>
                <w:szCs w:val="24"/>
                <w14:textFill>
                  <w14:solidFill>
                    <w14:schemeClr w14:val="tx1"/>
                  </w14:solidFill>
                </w14:textFill>
              </w:rPr>
              <w:t>——室内j声源i倍频带的声压级，dB；</w:t>
            </w:r>
          </w:p>
          <w:p w14:paraId="028B34C5">
            <w:pPr>
              <w:pStyle w:val="19"/>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N——室内声源总数。</w:t>
            </w:r>
          </w:p>
          <w:p w14:paraId="34C42F51">
            <w:pPr>
              <w:pStyle w:val="1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C、在室内近似为扩散声场时，按下式计算出靠近室外围护结构处的声压级：</w:t>
            </w:r>
          </w:p>
          <w:p w14:paraId="2C0F5655">
            <w:pPr>
              <w:pStyle w:val="19"/>
              <w:keepNext w:val="0"/>
              <w:keepLines w:val="0"/>
              <w:widowControl w:val="0"/>
              <w:suppressLineNumbers w:val="0"/>
              <w:autoSpaceDE w:val="0"/>
              <w:spacing w:before="0" w:beforeAutospacing="0" w:after="0" w:afterAutospacing="0" w:line="360" w:lineRule="auto"/>
              <w:ind w:left="0" w:right="0"/>
              <w:jc w:val="center"/>
              <w:rPr>
                <w:rFonts w:hint="default" w:ascii="Times New Roman" w:hAnsi="Times New Roman" w:cs="Times New Roman"/>
                <w:b/>
                <w:color w:val="000000" w:themeColor="text1"/>
                <w:kern w:val="2"/>
                <w:sz w:val="24"/>
                <w:szCs w:val="24"/>
                <w14:textFill>
                  <w14:solidFill>
                    <w14:schemeClr w14:val="tx1"/>
                  </w14:solidFill>
                </w14:textFill>
              </w:rPr>
            </w:pPr>
            <w:r>
              <w:rPr>
                <w:rFonts w:hint="default" w:ascii="Times New Roman" w:hAnsi="Times New Roman" w:cs="Times New Roman"/>
                <w:b/>
                <w:color w:val="000000" w:themeColor="text1"/>
                <w:kern w:val="2"/>
                <w:position w:val="-14"/>
                <w:sz w:val="24"/>
                <w:szCs w:val="24"/>
                <w14:textFill>
                  <w14:solidFill>
                    <w14:schemeClr w14:val="tx1"/>
                  </w14:solidFill>
                </w14:textFill>
              </w:rPr>
              <w:object>
                <v:shape id="_x0000_i1032" o:spt="75" type="#_x0000_t75" style="height:19pt;width:132.5pt;" o:ole="t" filled="f" o:preferrelative="t" stroked="f" coordsize="21600,21600">
                  <v:path/>
                  <v:fill on="f" focussize="0,0"/>
                  <v:stroke on="f" joinstyle="miter"/>
                  <v:imagedata r:id="rId33" o:title=""/>
                  <o:lock v:ext="edit" aspectratio="t"/>
                  <w10:wrap type="none"/>
                  <w10:anchorlock/>
                </v:shape>
                <o:OLEObject Type="Embed" ProgID="Equation.KSEE3" ShapeID="_x0000_i1032" DrawAspect="Content" ObjectID="_1468075732" r:id="rId32">
                  <o:LockedField>false</o:LockedField>
                </o:OLEObject>
              </w:object>
            </w:r>
          </w:p>
          <w:p w14:paraId="11C1841D">
            <w:pPr>
              <w:pStyle w:val="1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 L</w:t>
            </w:r>
            <w:r>
              <w:rPr>
                <w:rFonts w:hint="default" w:ascii="Times New Roman" w:hAnsi="Times New Roman" w:cs="Times New Roman"/>
                <w:color w:val="000000" w:themeColor="text1"/>
                <w:sz w:val="24"/>
                <w:szCs w:val="24"/>
                <w:vertAlign w:val="subscript"/>
                <w14:textFill>
                  <w14:solidFill>
                    <w14:schemeClr w14:val="tx1"/>
                  </w14:solidFill>
                </w14:textFill>
              </w:rPr>
              <w:t>p2i</w:t>
            </w:r>
            <w:r>
              <w:rPr>
                <w:rFonts w:hint="default" w:ascii="Times New Roman" w:hAnsi="Times New Roman" w:cs="Times New Roman"/>
                <w:color w:val="000000" w:themeColor="text1"/>
                <w:sz w:val="24"/>
                <w:szCs w:val="24"/>
                <w14:textFill>
                  <w14:solidFill>
                    <w14:schemeClr w14:val="tx1"/>
                  </w14:solidFill>
                </w14:textFill>
              </w:rPr>
              <w:t>(T)——靠近围护结构处室外N个声源i倍频带的叠加声压级，dB；</w:t>
            </w:r>
          </w:p>
          <w:p w14:paraId="593068BB">
            <w:pPr>
              <w:pStyle w:val="19"/>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p1i</w:t>
            </w:r>
            <w:r>
              <w:rPr>
                <w:rFonts w:hint="default" w:ascii="Times New Roman" w:hAnsi="Times New Roman" w:cs="Times New Roman"/>
                <w:color w:val="000000" w:themeColor="text1"/>
                <w:sz w:val="24"/>
                <w:szCs w:val="24"/>
                <w14:textFill>
                  <w14:solidFill>
                    <w14:schemeClr w14:val="tx1"/>
                  </w14:solidFill>
                </w14:textFill>
              </w:rPr>
              <w:t>(T)——靠近围护结构处室内N个声源i倍频带的叠加声压级，dB；</w:t>
            </w:r>
          </w:p>
          <w:p w14:paraId="3CB08647">
            <w:pPr>
              <w:pStyle w:val="19"/>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TL</w:t>
            </w:r>
            <w:r>
              <w:rPr>
                <w:rFonts w:hint="default" w:ascii="Times New Roman" w:hAnsi="Times New Roman" w:cs="Times New Roman"/>
                <w:color w:val="000000" w:themeColor="text1"/>
                <w:sz w:val="24"/>
                <w:szCs w:val="24"/>
                <w:vertAlign w:val="subscript"/>
                <w14:textFill>
                  <w14:solidFill>
                    <w14:schemeClr w14:val="tx1"/>
                  </w14:solidFill>
                </w14:textFill>
              </w:rPr>
              <w:t>i</w:t>
            </w:r>
            <w:r>
              <w:rPr>
                <w:rFonts w:hint="default" w:ascii="Times New Roman" w:hAnsi="Times New Roman" w:cs="Times New Roman"/>
                <w:color w:val="000000" w:themeColor="text1"/>
                <w:sz w:val="24"/>
                <w:szCs w:val="24"/>
                <w14:textFill>
                  <w14:solidFill>
                    <w14:schemeClr w14:val="tx1"/>
                  </w14:solidFill>
                </w14:textFill>
              </w:rPr>
              <w:t>——围护结构i倍频带的隔声量，dB。</w:t>
            </w:r>
          </w:p>
          <w:p w14:paraId="760178D3">
            <w:pPr>
              <w:pStyle w:val="1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D、按下式将室外声源的声压级和透过面积换算成等效的室外声源，计算出中心位置位于透声面积（S）处的等效声源的倍频带声功率级。</w:t>
            </w:r>
          </w:p>
          <w:p w14:paraId="3AC663AB">
            <w:pPr>
              <w:pStyle w:val="19"/>
              <w:keepNext w:val="0"/>
              <w:keepLines w:val="0"/>
              <w:widowControl w:val="0"/>
              <w:suppressLineNumbers w:val="0"/>
              <w:autoSpaceDE w:val="0"/>
              <w:spacing w:before="0" w:beforeAutospacing="0" w:after="0" w:afterAutospacing="0" w:line="360" w:lineRule="auto"/>
              <w:ind w:left="0" w:right="0"/>
              <w:jc w:val="center"/>
              <w:rPr>
                <w:rFonts w:hint="default" w:ascii="Times New Roman" w:hAnsi="Times New Roman" w:cs="Times New Roman"/>
                <w:b/>
                <w:color w:val="000000" w:themeColor="text1"/>
                <w:kern w:val="2"/>
                <w:sz w:val="24"/>
                <w:szCs w:val="24"/>
                <w14:textFill>
                  <w14:solidFill>
                    <w14:schemeClr w14:val="tx1"/>
                  </w14:solidFill>
                </w14:textFill>
              </w:rPr>
            </w:pPr>
            <w:r>
              <w:rPr>
                <w:rFonts w:hint="default" w:ascii="Times New Roman" w:hAnsi="Times New Roman" w:cs="Times New Roman"/>
                <w:b/>
                <w:color w:val="000000" w:themeColor="text1"/>
                <w:kern w:val="2"/>
                <w:position w:val="-14"/>
                <w:sz w:val="24"/>
                <w:szCs w:val="24"/>
                <w14:textFill>
                  <w14:solidFill>
                    <w14:schemeClr w14:val="tx1"/>
                  </w14:solidFill>
                </w14:textFill>
              </w:rPr>
              <w:object>
                <v:shape id="_x0000_i1033" o:spt="75" type="#_x0000_t75" style="height:19pt;width:101pt;" o:ole="t" filled="f" o:preferrelative="t" stroked="f" coordsize="21600,21600">
                  <v:path/>
                  <v:fill on="f" focussize="0,0"/>
                  <v:stroke on="f" joinstyle="miter"/>
                  <v:imagedata r:id="rId35" o:title=""/>
                  <o:lock v:ext="edit" aspectratio="t"/>
                  <w10:wrap type="none"/>
                  <w10:anchorlock/>
                </v:shape>
                <o:OLEObject Type="Embed" ProgID="Equation.KSEE3" ShapeID="_x0000_i1033" DrawAspect="Content" ObjectID="_1468075733" r:id="rId34">
                  <o:LockedField>false</o:LockedField>
                </o:OLEObject>
              </w:object>
            </w:r>
          </w:p>
          <w:p w14:paraId="6C1C6D5A">
            <w:pPr>
              <w:pStyle w:val="1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式中：L</w:t>
            </w:r>
            <w:r>
              <w:rPr>
                <w:rFonts w:hint="default" w:ascii="Times New Roman" w:hAnsi="Times New Roman" w:cs="Times New Roman"/>
                <w:color w:val="000000" w:themeColor="text1"/>
                <w:sz w:val="24"/>
                <w:szCs w:val="24"/>
                <w:vertAlign w:val="subscript"/>
                <w14:textFill>
                  <w14:solidFill>
                    <w14:schemeClr w14:val="tx1"/>
                  </w14:solidFill>
                </w14:textFill>
              </w:rPr>
              <w:t>w</w:t>
            </w:r>
            <w:r>
              <w:rPr>
                <w:rFonts w:hint="default" w:ascii="Times New Roman" w:hAnsi="Times New Roman" w:cs="Times New Roman"/>
                <w:color w:val="000000" w:themeColor="text1"/>
                <w:sz w:val="24"/>
                <w:szCs w:val="24"/>
                <w14:textFill>
                  <w14:solidFill>
                    <w14:schemeClr w14:val="tx1"/>
                  </w14:solidFill>
                </w14:textFill>
              </w:rPr>
              <w:t>——中心位置位于透声面积（S）处的等效声源的倍频带声功率级，dB；</w:t>
            </w:r>
          </w:p>
          <w:p w14:paraId="016D512F">
            <w:pPr>
              <w:pStyle w:val="19"/>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p2</w:t>
            </w:r>
            <w:r>
              <w:rPr>
                <w:rFonts w:hint="default" w:ascii="Times New Roman" w:hAnsi="Times New Roman" w:cs="Times New Roman"/>
                <w:color w:val="000000" w:themeColor="text1"/>
                <w:sz w:val="24"/>
                <w:szCs w:val="24"/>
                <w14:textFill>
                  <w14:solidFill>
                    <w14:schemeClr w14:val="tx1"/>
                  </w14:solidFill>
                </w14:textFill>
              </w:rPr>
              <w:t>(T)——靠近围护结构处室外声源的声压级，dB；</w:t>
            </w:r>
          </w:p>
          <w:p w14:paraId="4544F706">
            <w:pPr>
              <w:pStyle w:val="19"/>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S——透声面积，m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w:t>
            </w:r>
          </w:p>
          <w:p w14:paraId="68CC20B5">
            <w:pPr>
              <w:pStyle w:val="1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然后按室外声源预测方法计算预测点处的A声级。</w:t>
            </w:r>
          </w:p>
          <w:p w14:paraId="4A8112AA">
            <w:pPr>
              <w:pStyle w:val="1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②室外声源在预测点产生的声级计算模型</w:t>
            </w:r>
          </w:p>
          <w:p w14:paraId="403A40CC">
            <w:pPr>
              <w:pStyle w:val="1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户外声传播衰减包括几何发散（A</w:t>
            </w:r>
            <w:r>
              <w:rPr>
                <w:rFonts w:hint="default" w:ascii="Times New Roman" w:hAnsi="Times New Roman" w:cs="Times New Roman"/>
                <w:color w:val="000000" w:themeColor="text1"/>
                <w:sz w:val="24"/>
                <w:szCs w:val="24"/>
                <w:vertAlign w:val="subscript"/>
                <w14:textFill>
                  <w14:solidFill>
                    <w14:schemeClr w14:val="tx1"/>
                  </w14:solidFill>
                </w14:textFill>
              </w:rPr>
              <w:t>div</w:t>
            </w:r>
            <w:r>
              <w:rPr>
                <w:rFonts w:hint="default" w:ascii="Times New Roman" w:hAnsi="Times New Roman" w:cs="Times New Roman"/>
                <w:color w:val="000000" w:themeColor="text1"/>
                <w:sz w:val="24"/>
                <w:szCs w:val="24"/>
                <w14:textFill>
                  <w14:solidFill>
                    <w14:schemeClr w14:val="tx1"/>
                  </w14:solidFill>
                </w14:textFill>
              </w:rPr>
              <w:t>）、大气吸收（A</w:t>
            </w:r>
            <w:r>
              <w:rPr>
                <w:rFonts w:hint="default" w:ascii="Times New Roman" w:hAnsi="Times New Roman" w:cs="Times New Roman"/>
                <w:color w:val="000000" w:themeColor="text1"/>
                <w:sz w:val="24"/>
                <w:szCs w:val="24"/>
                <w:vertAlign w:val="subscript"/>
                <w14:textFill>
                  <w14:solidFill>
                    <w14:schemeClr w14:val="tx1"/>
                  </w14:solidFill>
                </w14:textFill>
              </w:rPr>
              <w:t>atm</w:t>
            </w:r>
            <w:r>
              <w:rPr>
                <w:rFonts w:hint="default" w:ascii="Times New Roman" w:hAnsi="Times New Roman" w:cs="Times New Roman"/>
                <w:color w:val="000000" w:themeColor="text1"/>
                <w:sz w:val="24"/>
                <w:szCs w:val="24"/>
                <w14:textFill>
                  <w14:solidFill>
                    <w14:schemeClr w14:val="tx1"/>
                  </w14:solidFill>
                </w14:textFill>
              </w:rPr>
              <w:t>）、地面效应（A</w:t>
            </w:r>
            <w:r>
              <w:rPr>
                <w:rFonts w:hint="default" w:ascii="Times New Roman" w:hAnsi="Times New Roman" w:cs="Times New Roman"/>
                <w:color w:val="000000" w:themeColor="text1"/>
                <w:sz w:val="24"/>
                <w:szCs w:val="24"/>
                <w:vertAlign w:val="subscript"/>
                <w14:textFill>
                  <w14:solidFill>
                    <w14:schemeClr w14:val="tx1"/>
                  </w14:solidFill>
                </w14:textFill>
              </w:rPr>
              <w:t>gr</w:t>
            </w:r>
            <w:r>
              <w:rPr>
                <w:rFonts w:hint="default" w:ascii="Times New Roman" w:hAnsi="Times New Roman" w:cs="Times New Roman"/>
                <w:color w:val="000000" w:themeColor="text1"/>
                <w:sz w:val="24"/>
                <w:szCs w:val="24"/>
                <w14:textFill>
                  <w14:solidFill>
                    <w14:schemeClr w14:val="tx1"/>
                  </w14:solidFill>
                </w14:textFill>
              </w:rPr>
              <w:t>）、障碍物屏蔽（A</w:t>
            </w:r>
            <w:r>
              <w:rPr>
                <w:rFonts w:hint="default" w:ascii="Times New Roman" w:hAnsi="Times New Roman" w:cs="Times New Roman"/>
                <w:color w:val="000000" w:themeColor="text1"/>
                <w:sz w:val="24"/>
                <w:szCs w:val="24"/>
                <w:vertAlign w:val="subscript"/>
                <w14:textFill>
                  <w14:solidFill>
                    <w14:schemeClr w14:val="tx1"/>
                  </w14:solidFill>
                </w14:textFill>
              </w:rPr>
              <w:t>bar</w:t>
            </w:r>
            <w:r>
              <w:rPr>
                <w:rFonts w:hint="default" w:ascii="Times New Roman" w:hAnsi="Times New Roman" w:cs="Times New Roman"/>
                <w:color w:val="000000" w:themeColor="text1"/>
                <w:sz w:val="24"/>
                <w:szCs w:val="24"/>
                <w14:textFill>
                  <w14:solidFill>
                    <w14:schemeClr w14:val="tx1"/>
                  </w14:solidFill>
                </w14:textFill>
              </w:rPr>
              <w:t>）、其他多方面效应（A</w:t>
            </w:r>
            <w:r>
              <w:rPr>
                <w:rFonts w:hint="default" w:ascii="Times New Roman" w:hAnsi="Times New Roman" w:cs="Times New Roman"/>
                <w:color w:val="000000" w:themeColor="text1"/>
                <w:sz w:val="24"/>
                <w:szCs w:val="24"/>
                <w:vertAlign w:val="subscript"/>
                <w14:textFill>
                  <w14:solidFill>
                    <w14:schemeClr w14:val="tx1"/>
                  </w14:solidFill>
                </w14:textFill>
              </w:rPr>
              <w:t>misc</w:t>
            </w:r>
            <w:r>
              <w:rPr>
                <w:rFonts w:hint="default" w:ascii="Times New Roman" w:hAnsi="Times New Roman" w:cs="Times New Roman"/>
                <w:color w:val="000000" w:themeColor="text1"/>
                <w:sz w:val="24"/>
                <w:szCs w:val="24"/>
                <w14:textFill>
                  <w14:solidFill>
                    <w14:schemeClr w14:val="tx1"/>
                  </w14:solidFill>
                </w14:textFill>
              </w:rPr>
              <w:t>）引起的衰减。本次评价只考虑几何发散衰减，且主要噪声设备为点声源，按点声源的几何发散衰减计算：</w:t>
            </w:r>
          </w:p>
          <w:p w14:paraId="0B6FB4B2">
            <w:pPr>
              <w:pStyle w:val="19"/>
              <w:keepNext w:val="0"/>
              <w:keepLines w:val="0"/>
              <w:widowControl w:val="0"/>
              <w:suppressLineNumbers w:val="0"/>
              <w:autoSpaceDE w:val="0"/>
              <w:autoSpaceDN w:val="0"/>
              <w:spacing w:before="0" w:beforeAutospacing="0" w:after="0" w:afterAutospacing="0" w:line="360" w:lineRule="auto"/>
              <w:ind w:left="0" w:right="0"/>
              <w:jc w:val="center"/>
              <w:rPr>
                <w:rFonts w:hint="default" w:ascii="Times New Roman" w:hAnsi="Times New Roman" w:eastAsia="Times New Roman" w:cs="Times New Roman"/>
                <w:color w:val="000000" w:themeColor="text1"/>
                <w:position w:val="-12"/>
                <w:sz w:val="24"/>
                <w:szCs w:val="24"/>
                <w14:textFill>
                  <w14:solidFill>
                    <w14:schemeClr w14:val="tx1"/>
                  </w14:solidFill>
                </w14:textFill>
              </w:rPr>
            </w:pPr>
            <w:r>
              <w:rPr>
                <w:rFonts w:hint="default" w:ascii="Times New Roman" w:hAnsi="Times New Roman" w:cs="Times New Roman"/>
                <w:color w:val="000000" w:themeColor="text1"/>
                <w:position w:val="-14"/>
                <w:sz w:val="24"/>
                <w:szCs w:val="24"/>
                <w14:textFill>
                  <w14:solidFill>
                    <w14:schemeClr w14:val="tx1"/>
                  </w14:solidFill>
                </w14:textFill>
              </w:rPr>
              <w:object>
                <v:shape id="_x0000_i1034" o:spt="75" type="#_x0000_t75" style="height:19pt;width:136pt;" o:ole="t" filled="f" o:preferrelative="t" stroked="f" coordsize="21600,21600">
                  <v:path/>
                  <v:fill on="f" focussize="0,0"/>
                  <v:stroke on="f" joinstyle="miter"/>
                  <v:imagedata r:id="rId37" o:title=""/>
                  <o:lock v:ext="edit" aspectratio="t"/>
                  <w10:wrap type="none"/>
                  <w10:anchorlock/>
                </v:shape>
                <o:OLEObject Type="Embed" ProgID="Equation.3" ShapeID="_x0000_i1034" DrawAspect="Content" ObjectID="_1468075734" r:id="rId36">
                  <o:LockedField>false</o:LockedField>
                </o:OLEObject>
              </w:object>
            </w:r>
          </w:p>
          <w:p w14:paraId="2A3932F1">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w:t>
            </w:r>
            <w:r>
              <w:rPr>
                <w:rFonts w:hint="default" w:ascii="Times New Roman" w:hAnsi="Times New Roman" w:eastAsia="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预测点处声压级，dB；</w:t>
            </w:r>
          </w:p>
          <w:p w14:paraId="72C04757">
            <w:pPr>
              <w:keepNext w:val="0"/>
              <w:keepLines w:val="0"/>
              <w:suppressLineNumbers w:val="0"/>
              <w:autoSpaceDE w:val="0"/>
              <w:spacing w:before="0" w:beforeAutospacing="0" w:after="0" w:afterAutospacing="0" w:line="360" w:lineRule="auto"/>
              <w:ind w:left="0" w:right="0" w:firstLine="1200" w:firstLineChars="500"/>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L</w:t>
            </w:r>
            <w:r>
              <w:rPr>
                <w:rFonts w:hint="default" w:ascii="Times New Roman" w:hAnsi="Times New Roman" w:cs="Times New Roman"/>
                <w:color w:val="000000" w:themeColor="text1"/>
                <w:sz w:val="24"/>
                <w:szCs w:val="24"/>
                <w:vertAlign w:val="subscript"/>
                <w14:textFill>
                  <w14:solidFill>
                    <w14:schemeClr w14:val="tx1"/>
                  </w14:solidFill>
                </w14:textFill>
              </w:rPr>
              <w:t>p</w:t>
            </w:r>
            <w:r>
              <w:rPr>
                <w:rFonts w:hint="default" w:ascii="Times New Roman" w:hAnsi="Times New Roman" w:cs="Times New Roman"/>
                <w:color w:val="000000" w:themeColor="text1"/>
                <w:sz w:val="24"/>
                <w:szCs w:val="24"/>
                <w14:textFill>
                  <w14:solidFill>
                    <w14:schemeClr w14:val="tx1"/>
                  </w14:solidFill>
                </w14:textFill>
              </w:rPr>
              <w:t>（r</w:t>
            </w:r>
            <w:r>
              <w:rPr>
                <w:rFonts w:hint="default" w:ascii="Times New Roman" w:hAnsi="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eastAsia="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参考位置r</w:t>
            </w:r>
            <w:r>
              <w:rPr>
                <w:rFonts w:hint="default" w:ascii="Times New Roman" w:hAnsi="Times New Roman" w:eastAsia="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cs="Times New Roman"/>
                <w:color w:val="000000" w:themeColor="text1"/>
                <w:sz w:val="24"/>
                <w:szCs w:val="24"/>
                <w14:textFill>
                  <w14:solidFill>
                    <w14:schemeClr w14:val="tx1"/>
                  </w14:solidFill>
                </w14:textFill>
              </w:rPr>
              <w:t>处的声压级，dB；</w:t>
            </w:r>
          </w:p>
          <w:p w14:paraId="42751AE9">
            <w:pPr>
              <w:pStyle w:val="19"/>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eastAsia="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r——</w:t>
            </w:r>
            <w:r>
              <w:rPr>
                <w:rFonts w:hint="default" w:ascii="Times New Roman" w:hAnsi="Times New Roman" w:cs="Times New Roman"/>
                <w:color w:val="000000" w:themeColor="text1"/>
                <w:sz w:val="24"/>
                <w:szCs w:val="24"/>
                <w14:textFill>
                  <w14:solidFill>
                    <w14:schemeClr w14:val="tx1"/>
                  </w14:solidFill>
                </w14:textFill>
              </w:rPr>
              <w:t>为预测点距声源距离；</w:t>
            </w:r>
          </w:p>
          <w:p w14:paraId="1971DDD7">
            <w:pPr>
              <w:keepNext w:val="0"/>
              <w:keepLines w:val="0"/>
              <w:suppressLineNumbers w:val="0"/>
              <w:autoSpaceDE w:val="0"/>
              <w:spacing w:before="0" w:beforeAutospacing="0" w:after="0" w:afterAutospacing="0" w:line="360" w:lineRule="auto"/>
              <w:ind w:left="0" w:right="0" w:firstLine="1200" w:firstLineChars="5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Times New Roman" w:cs="Times New Roman"/>
                <w:color w:val="000000" w:themeColor="text1"/>
                <w:sz w:val="24"/>
                <w:szCs w:val="24"/>
                <w14:textFill>
                  <w14:solidFill>
                    <w14:schemeClr w14:val="tx1"/>
                  </w14:solidFill>
                </w14:textFill>
              </w:rPr>
              <w:t>r</w:t>
            </w:r>
            <w:r>
              <w:rPr>
                <w:rFonts w:hint="default" w:ascii="Times New Roman" w:hAnsi="Times New Roman" w:eastAsia="Times New Roman" w:cs="Times New Roman"/>
                <w:color w:val="000000" w:themeColor="text1"/>
                <w:sz w:val="24"/>
                <w:szCs w:val="24"/>
                <w:vertAlign w:val="subscript"/>
                <w14:textFill>
                  <w14:solidFill>
                    <w14:schemeClr w14:val="tx1"/>
                  </w14:solidFill>
                </w14:textFill>
              </w:rPr>
              <w:t>0</w:t>
            </w:r>
            <w:r>
              <w:rPr>
                <w:rFonts w:hint="default" w:ascii="Times New Roman" w:hAnsi="Times New Roman" w:eastAsia="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参考位置距声源的距离。</w:t>
            </w:r>
          </w:p>
          <w:p w14:paraId="32D5E2E2">
            <w:pPr>
              <w:pStyle w:val="1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③工业企业噪声计算</w:t>
            </w:r>
          </w:p>
          <w:p w14:paraId="3ACB27B4">
            <w:pPr>
              <w:pStyle w:val="1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设第i个室外声源在预测点产生的A声级为L</w:t>
            </w:r>
            <w:r>
              <w:rPr>
                <w:rFonts w:hint="default" w:ascii="Times New Roman" w:hAnsi="Times New Roman" w:cs="Times New Roman"/>
                <w:color w:val="000000" w:themeColor="text1"/>
                <w:sz w:val="24"/>
                <w:szCs w:val="24"/>
                <w:vertAlign w:val="subscript"/>
                <w14:textFill>
                  <w14:solidFill>
                    <w14:schemeClr w14:val="tx1"/>
                  </w14:solidFill>
                </w14:textFill>
              </w:rPr>
              <w:t>Ai</w:t>
            </w:r>
            <w:r>
              <w:rPr>
                <w:rFonts w:hint="default" w:ascii="Times New Roman" w:hAnsi="Times New Roman" w:cs="Times New Roman"/>
                <w:color w:val="000000" w:themeColor="text1"/>
                <w:sz w:val="24"/>
                <w:szCs w:val="24"/>
                <w14:textFill>
                  <w14:solidFill>
                    <w14:schemeClr w14:val="tx1"/>
                  </w14:solidFill>
                </w14:textFill>
              </w:rPr>
              <w:t>，在T时间内该声源作时间为t</w:t>
            </w:r>
            <w:r>
              <w:rPr>
                <w:rFonts w:hint="default" w:ascii="Times New Roman" w:hAnsi="Times New Roman" w:cs="Times New Roman"/>
                <w:color w:val="000000" w:themeColor="text1"/>
                <w:sz w:val="24"/>
                <w:szCs w:val="24"/>
                <w:vertAlign w:val="subscript"/>
                <w14:textFill>
                  <w14:solidFill>
                    <w14:schemeClr w14:val="tx1"/>
                  </w14:solidFill>
                </w14:textFill>
              </w:rPr>
              <w:t>i</w:t>
            </w:r>
            <w:r>
              <w:rPr>
                <w:rFonts w:hint="default" w:ascii="Times New Roman" w:hAnsi="Times New Roman" w:cs="Times New Roman"/>
                <w:color w:val="000000" w:themeColor="text1"/>
                <w:sz w:val="24"/>
                <w:szCs w:val="24"/>
                <w14:textFill>
                  <w14:solidFill>
                    <w14:schemeClr w14:val="tx1"/>
                  </w14:solidFill>
                </w14:textFill>
              </w:rPr>
              <w:t>；第j个等效室外声源在预测点产生的A声级为L</w:t>
            </w:r>
            <w:r>
              <w:rPr>
                <w:rFonts w:hint="default" w:ascii="Times New Roman" w:hAnsi="Times New Roman" w:cs="Times New Roman"/>
                <w:color w:val="000000" w:themeColor="text1"/>
                <w:sz w:val="24"/>
                <w:szCs w:val="24"/>
                <w:vertAlign w:val="subscript"/>
                <w14:textFill>
                  <w14:solidFill>
                    <w14:schemeClr w14:val="tx1"/>
                  </w14:solidFill>
                </w14:textFill>
              </w:rPr>
              <w:t>Aj</w:t>
            </w:r>
            <w:r>
              <w:rPr>
                <w:rFonts w:hint="default" w:ascii="Times New Roman" w:hAnsi="Times New Roman" w:cs="Times New Roman"/>
                <w:color w:val="000000" w:themeColor="text1"/>
                <w:sz w:val="24"/>
                <w:szCs w:val="24"/>
                <w14:textFill>
                  <w14:solidFill>
                    <w14:schemeClr w14:val="tx1"/>
                  </w14:solidFill>
                </w14:textFill>
              </w:rPr>
              <w:t>，在T时间内该声源工作时间为t</w:t>
            </w:r>
            <w:r>
              <w:rPr>
                <w:rFonts w:hint="default" w:ascii="Times New Roman" w:hAnsi="Times New Roman" w:cs="Times New Roman"/>
                <w:color w:val="000000" w:themeColor="text1"/>
                <w:sz w:val="24"/>
                <w:szCs w:val="24"/>
                <w:vertAlign w:val="subscript"/>
                <w14:textFill>
                  <w14:solidFill>
                    <w14:schemeClr w14:val="tx1"/>
                  </w14:solidFill>
                </w14:textFill>
              </w:rPr>
              <w:t>j</w:t>
            </w:r>
            <w:r>
              <w:rPr>
                <w:rFonts w:hint="default" w:ascii="Times New Roman" w:hAnsi="Times New Roman" w:cs="Times New Roman"/>
                <w:color w:val="000000" w:themeColor="text1"/>
                <w:sz w:val="24"/>
                <w:szCs w:val="24"/>
                <w14:textFill>
                  <w14:solidFill>
                    <w14:schemeClr w14:val="tx1"/>
                  </w14:solidFill>
                </w14:textFill>
              </w:rPr>
              <w:t>，则</w:t>
            </w:r>
            <w:r>
              <w:rPr>
                <w:rFonts w:hint="default" w:ascii="Times New Roman" w:hAnsi="Times New Roman"/>
                <w:color w:val="000000" w:themeColor="text1"/>
                <w:szCs w:val="24"/>
                <w14:textFill>
                  <w14:solidFill>
                    <w14:schemeClr w14:val="tx1"/>
                  </w14:solidFill>
                </w14:textFill>
              </w:rPr>
              <w:t>本</w:t>
            </w:r>
            <w:r>
              <w:rPr>
                <w:rFonts w:hint="default" w:ascii="Times New Roman" w:hAnsi="Times New Roman" w:cs="Times New Roman"/>
                <w:color w:val="000000" w:themeColor="text1"/>
                <w:sz w:val="24"/>
                <w:szCs w:val="24"/>
                <w14:textFill>
                  <w14:solidFill>
                    <w14:schemeClr w14:val="tx1"/>
                  </w14:solidFill>
                </w14:textFill>
              </w:rPr>
              <w:t>工程声源对预测点产生的贡献值（L</w:t>
            </w:r>
            <w:r>
              <w:rPr>
                <w:rFonts w:hint="default" w:ascii="Times New Roman" w:hAnsi="Times New Roman" w:cs="Times New Roman"/>
                <w:color w:val="000000" w:themeColor="text1"/>
                <w:sz w:val="24"/>
                <w:szCs w:val="24"/>
                <w:vertAlign w:val="subscript"/>
                <w14:textFill>
                  <w14:solidFill>
                    <w14:schemeClr w14:val="tx1"/>
                  </w14:solidFill>
                </w14:textFill>
              </w:rPr>
              <w:t>eqg</w:t>
            </w:r>
            <w:r>
              <w:rPr>
                <w:rFonts w:hint="default" w:ascii="Times New Roman" w:hAnsi="Times New Roman" w:cs="Times New Roman"/>
                <w:color w:val="000000" w:themeColor="text1"/>
                <w:sz w:val="24"/>
                <w:szCs w:val="24"/>
                <w14:textFill>
                  <w14:solidFill>
                    <w14:schemeClr w14:val="tx1"/>
                  </w14:solidFill>
                </w14:textFill>
              </w:rPr>
              <w:t>）为：</w:t>
            </w:r>
          </w:p>
          <w:p w14:paraId="45B409FE">
            <w:pPr>
              <w:pStyle w:val="19"/>
              <w:keepNext w:val="0"/>
              <w:keepLines w:val="0"/>
              <w:widowControl w:val="0"/>
              <w:suppressLineNumbers w:val="0"/>
              <w:spacing w:before="0" w:beforeAutospacing="0" w:after="0" w:afterAutospacing="0" w:line="360" w:lineRule="auto"/>
              <w:ind w:left="0" w:right="0"/>
              <w:jc w:val="center"/>
              <w:rPr>
                <w:rFonts w:hint="default" w:ascii="Times New Roman" w:hAnsi="Times New Roman" w:cs="Times New Roman"/>
                <w:color w:val="000000" w:themeColor="text1"/>
                <w:position w:val="-12"/>
                <w:sz w:val="24"/>
                <w:szCs w:val="24"/>
                <w14:textFill>
                  <w14:solidFill>
                    <w14:schemeClr w14:val="tx1"/>
                  </w14:solidFill>
                </w14:textFill>
              </w:rPr>
            </w:pPr>
            <w:r>
              <w:rPr>
                <w:rFonts w:hint="default" w:ascii="Times New Roman" w:hAnsi="Times New Roman" w:cs="Times New Roman"/>
                <w:color w:val="000000" w:themeColor="text1"/>
                <w:position w:val="-34"/>
                <w:sz w:val="24"/>
                <w:szCs w:val="24"/>
                <w14:textFill>
                  <w14:solidFill>
                    <w14:schemeClr w14:val="tx1"/>
                  </w14:solidFill>
                </w14:textFill>
              </w:rPr>
              <w:object>
                <v:shape id="_x0000_i1035" o:spt="75" type="#_x0000_t75" style="height:40pt;width:209pt;" o:ole="t" filled="f" o:preferrelative="t" stroked="f" coordsize="21600,21600">
                  <v:path/>
                  <v:fill on="f" focussize="0,0"/>
                  <v:stroke on="f" joinstyle="miter"/>
                  <v:imagedata r:id="rId39" o:title=""/>
                  <o:lock v:ext="edit" aspectratio="t"/>
                  <w10:wrap type="none"/>
                  <w10:anchorlock/>
                </v:shape>
                <o:OLEObject Type="Embed" ProgID="Equation.3" ShapeID="_x0000_i1035" DrawAspect="Content" ObjectID="_1468075735" r:id="rId38">
                  <o:LockedField>false</o:LockedField>
                </o:OLEObject>
              </w:object>
            </w:r>
          </w:p>
          <w:p w14:paraId="1866C48D">
            <w:pPr>
              <w:pStyle w:val="19"/>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式中：L</w:t>
            </w:r>
            <w:r>
              <w:rPr>
                <w:rFonts w:hint="default" w:ascii="Times New Roman" w:hAnsi="Times New Roman" w:cs="Times New Roman"/>
                <w:color w:val="000000" w:themeColor="text1"/>
                <w:sz w:val="24"/>
                <w:szCs w:val="24"/>
                <w:vertAlign w:val="subscript"/>
                <w14:textFill>
                  <w14:solidFill>
                    <w14:schemeClr w14:val="tx1"/>
                  </w14:solidFill>
                </w14:textFill>
              </w:rPr>
              <w:t>eqg</w:t>
            </w:r>
            <w:r>
              <w:rPr>
                <w:rFonts w:hint="default" w:ascii="Times New Roman" w:hAnsi="Times New Roman" w:cs="Times New Roman"/>
                <w:color w:val="000000" w:themeColor="text1"/>
                <w:sz w:val="24"/>
                <w:szCs w:val="24"/>
                <w14:textFill>
                  <w14:solidFill>
                    <w14:schemeClr w14:val="tx1"/>
                  </w14:solidFill>
                </w14:textFill>
              </w:rPr>
              <w:t>——建设项目声源在预测点产生的噪声贡献值，dB；</w:t>
            </w:r>
          </w:p>
          <w:p w14:paraId="3D7FD8C3">
            <w:pPr>
              <w:pStyle w:val="19"/>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T——用于计算等效声级的时间，s；</w:t>
            </w:r>
          </w:p>
          <w:p w14:paraId="56685743">
            <w:pPr>
              <w:pStyle w:val="19"/>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N——室外声源个数；</w:t>
            </w:r>
          </w:p>
          <w:p w14:paraId="6E21528F">
            <w:pPr>
              <w:pStyle w:val="19"/>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w:t>
            </w:r>
            <w:r>
              <w:rPr>
                <w:rFonts w:hint="default" w:ascii="Times New Roman" w:hAnsi="Times New Roman" w:cs="Times New Roman"/>
                <w:color w:val="000000" w:themeColor="text1"/>
                <w:sz w:val="24"/>
                <w:szCs w:val="24"/>
                <w:vertAlign w:val="subscript"/>
                <w14:textFill>
                  <w14:solidFill>
                    <w14:schemeClr w14:val="tx1"/>
                  </w14:solidFill>
                </w14:textFill>
              </w:rPr>
              <w:t>i</w:t>
            </w:r>
            <w:r>
              <w:rPr>
                <w:rFonts w:hint="default" w:ascii="Times New Roman" w:hAnsi="Times New Roman" w:cs="Times New Roman"/>
                <w:color w:val="000000" w:themeColor="text1"/>
                <w:sz w:val="24"/>
                <w:szCs w:val="24"/>
                <w14:textFill>
                  <w14:solidFill>
                    <w14:schemeClr w14:val="tx1"/>
                  </w14:solidFill>
                </w14:textFill>
              </w:rPr>
              <w:t>——在T时间内i声源工作时间，s；</w:t>
            </w:r>
          </w:p>
          <w:p w14:paraId="3A65E20E">
            <w:pPr>
              <w:pStyle w:val="19"/>
              <w:keepNext w:val="0"/>
              <w:keepLines w:val="0"/>
              <w:widowControl w:val="0"/>
              <w:suppressLineNumbers w:val="0"/>
              <w:spacing w:before="0" w:beforeAutospacing="0" w:after="0" w:afterAutospacing="0" w:line="360" w:lineRule="auto"/>
              <w:ind w:left="0" w:right="0" w:firstLine="1200" w:firstLineChars="500"/>
              <w:jc w:val="both"/>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M——等效室外声源个数；</w:t>
            </w:r>
          </w:p>
          <w:p w14:paraId="1EBEF30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tj——在T时间内j声源工作时间，s。</w:t>
            </w:r>
          </w:p>
          <w:p w14:paraId="3D851196">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（2）预测结果与评价</w:t>
            </w:r>
          </w:p>
          <w:p w14:paraId="1672001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表4-1</w:t>
            </w:r>
            <w:r>
              <w:rPr>
                <w:rFonts w:hint="default" w:ascii="Times New Roman" w:hAnsi="Times New Roman" w:cs="Times New Roman"/>
                <w:b/>
                <w:bCs/>
                <w:color w:val="000000" w:themeColor="text1"/>
                <w:sz w:val="24"/>
                <w:szCs w:val="24"/>
                <w:lang w:val="en-US" w:eastAsia="zh-CN"/>
                <w14:textFill>
                  <w14:solidFill>
                    <w14:schemeClr w14:val="tx1"/>
                  </w14:solidFill>
                </w14:textFill>
              </w:rPr>
              <w:t>2</w:t>
            </w:r>
            <w:r>
              <w:rPr>
                <w:rFonts w:hint="default" w:ascii="Times New Roman" w:hAnsi="Times New Roman" w:cs="Times New Roman"/>
                <w:b/>
                <w:bCs/>
                <w:color w:val="000000" w:themeColor="text1"/>
                <w:sz w:val="24"/>
                <w:szCs w:val="24"/>
                <w14:textFill>
                  <w14:solidFill>
                    <w14:schemeClr w14:val="tx1"/>
                  </w14:solidFill>
                </w14:textFill>
              </w:rPr>
              <w:t xml:space="preserve"> 项目厂界噪声预测结果表  单位：dB(A)</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1244"/>
              <w:gridCol w:w="1370"/>
              <w:gridCol w:w="1370"/>
              <w:gridCol w:w="2735"/>
            </w:tblGrid>
            <w:tr w14:paraId="19F0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851" w:type="dxa"/>
                  <w:vAlign w:val="center"/>
                </w:tcPr>
                <w:p w14:paraId="7177BBC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方位</w:t>
                  </w:r>
                </w:p>
              </w:tc>
              <w:tc>
                <w:tcPr>
                  <w:tcW w:w="1330" w:type="dxa"/>
                  <w:vAlign w:val="center"/>
                </w:tcPr>
                <w:p w14:paraId="2772C22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贡献值</w:t>
                  </w:r>
                </w:p>
              </w:tc>
              <w:tc>
                <w:tcPr>
                  <w:tcW w:w="1330" w:type="dxa"/>
                  <w:vAlign w:val="center"/>
                </w:tcPr>
                <w:p w14:paraId="3E4AC9F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标准值</w:t>
                  </w:r>
                </w:p>
              </w:tc>
              <w:tc>
                <w:tcPr>
                  <w:tcW w:w="1330" w:type="dxa"/>
                  <w:vAlign w:val="center"/>
                </w:tcPr>
                <w:p w14:paraId="12B2083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达标情况</w:t>
                  </w:r>
                </w:p>
              </w:tc>
              <w:tc>
                <w:tcPr>
                  <w:tcW w:w="2671" w:type="dxa"/>
                  <w:vAlign w:val="center"/>
                </w:tcPr>
                <w:p w14:paraId="0CF36F3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执行标准</w:t>
                  </w:r>
                </w:p>
              </w:tc>
            </w:tr>
            <w:tr w14:paraId="5662B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851" w:type="dxa"/>
                  <w:vAlign w:val="center"/>
                </w:tcPr>
                <w:p w14:paraId="4648219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东厂界</w:t>
                  </w:r>
                </w:p>
              </w:tc>
              <w:tc>
                <w:tcPr>
                  <w:tcW w:w="1330" w:type="dxa"/>
                  <w:vAlign w:val="center"/>
                </w:tcPr>
                <w:p w14:paraId="6611649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42</w:t>
                  </w:r>
                </w:p>
              </w:tc>
              <w:tc>
                <w:tcPr>
                  <w:tcW w:w="1330" w:type="dxa"/>
                  <w:vMerge w:val="restart"/>
                  <w:vAlign w:val="center"/>
                </w:tcPr>
                <w:p w14:paraId="56B78BF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65</w:t>
                  </w:r>
                </w:p>
              </w:tc>
              <w:tc>
                <w:tcPr>
                  <w:tcW w:w="1330" w:type="dxa"/>
                  <w:vMerge w:val="restart"/>
                  <w:vAlign w:val="center"/>
                </w:tcPr>
                <w:p w14:paraId="5C6EACD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达标</w:t>
                  </w:r>
                </w:p>
              </w:tc>
              <w:tc>
                <w:tcPr>
                  <w:tcW w:w="2671" w:type="dxa"/>
                  <w:vMerge w:val="restart"/>
                  <w:vAlign w:val="center"/>
                </w:tcPr>
                <w:p w14:paraId="08AD7BE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《工业企业厂界环境噪声排放标准》（GB12348-2008）3类标准</w:t>
                  </w:r>
                </w:p>
              </w:tc>
            </w:tr>
            <w:tr w14:paraId="795D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1" w:type="dxa"/>
                  <w:vAlign w:val="center"/>
                </w:tcPr>
                <w:p w14:paraId="6FCCAD4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南厂界</w:t>
                  </w:r>
                </w:p>
              </w:tc>
              <w:tc>
                <w:tcPr>
                  <w:tcW w:w="1330" w:type="dxa"/>
                  <w:vAlign w:val="center"/>
                </w:tcPr>
                <w:p w14:paraId="6B9439C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39</w:t>
                  </w:r>
                </w:p>
              </w:tc>
              <w:tc>
                <w:tcPr>
                  <w:tcW w:w="1330" w:type="dxa"/>
                  <w:vMerge w:val="continue"/>
                  <w:vAlign w:val="center"/>
                </w:tcPr>
                <w:p w14:paraId="365F080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1330" w:type="dxa"/>
                  <w:vMerge w:val="continue"/>
                  <w:vAlign w:val="center"/>
                </w:tcPr>
                <w:p w14:paraId="320D5B9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2671" w:type="dxa"/>
                  <w:vMerge w:val="continue"/>
                  <w:vAlign w:val="center"/>
                </w:tcPr>
                <w:p w14:paraId="7767B73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14:textFill>
                        <w14:solidFill>
                          <w14:schemeClr w14:val="tx1"/>
                        </w14:solidFill>
                      </w14:textFill>
                    </w:rPr>
                  </w:pPr>
                </w:p>
              </w:tc>
            </w:tr>
            <w:tr w14:paraId="4895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1" w:type="dxa"/>
                  <w:vAlign w:val="center"/>
                </w:tcPr>
                <w:p w14:paraId="20D50D4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西厂界</w:t>
                  </w:r>
                </w:p>
              </w:tc>
              <w:tc>
                <w:tcPr>
                  <w:tcW w:w="1330" w:type="dxa"/>
                  <w:vAlign w:val="center"/>
                </w:tcPr>
                <w:p w14:paraId="076F310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42</w:t>
                  </w:r>
                </w:p>
              </w:tc>
              <w:tc>
                <w:tcPr>
                  <w:tcW w:w="1330" w:type="dxa"/>
                  <w:vMerge w:val="continue"/>
                  <w:vAlign w:val="center"/>
                </w:tcPr>
                <w:p w14:paraId="360EAF5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1330" w:type="dxa"/>
                  <w:vMerge w:val="continue"/>
                  <w:vAlign w:val="center"/>
                </w:tcPr>
                <w:p w14:paraId="0427760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2671" w:type="dxa"/>
                  <w:vMerge w:val="continue"/>
                  <w:vAlign w:val="center"/>
                </w:tcPr>
                <w:p w14:paraId="047FB85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14:textFill>
                        <w14:solidFill>
                          <w14:schemeClr w14:val="tx1"/>
                        </w14:solidFill>
                      </w14:textFill>
                    </w:rPr>
                  </w:pPr>
                </w:p>
              </w:tc>
            </w:tr>
            <w:tr w14:paraId="0D0EA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1" w:type="dxa"/>
                  <w:vAlign w:val="center"/>
                </w:tcPr>
                <w:p w14:paraId="0BDB95E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北厂界</w:t>
                  </w:r>
                </w:p>
              </w:tc>
              <w:tc>
                <w:tcPr>
                  <w:tcW w:w="1330" w:type="dxa"/>
                  <w:vAlign w:val="center"/>
                </w:tcPr>
                <w:p w14:paraId="662F80E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53</w:t>
                  </w:r>
                </w:p>
              </w:tc>
              <w:tc>
                <w:tcPr>
                  <w:tcW w:w="1330" w:type="dxa"/>
                  <w:vMerge w:val="continue"/>
                  <w:vAlign w:val="center"/>
                </w:tcPr>
                <w:p w14:paraId="667FC4F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themeColor="text1"/>
                      <w:kern w:val="0"/>
                      <w:sz w:val="21"/>
                      <w:szCs w:val="21"/>
                      <w14:textFill>
                        <w14:solidFill>
                          <w14:schemeClr w14:val="tx1"/>
                        </w14:solidFill>
                      </w14:textFill>
                    </w:rPr>
                  </w:pPr>
                </w:p>
              </w:tc>
              <w:tc>
                <w:tcPr>
                  <w:tcW w:w="1330" w:type="dxa"/>
                  <w:vMerge w:val="continue"/>
                  <w:vAlign w:val="center"/>
                </w:tcPr>
                <w:p w14:paraId="175430F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2671" w:type="dxa"/>
                  <w:vMerge w:val="continue"/>
                  <w:vAlign w:val="center"/>
                </w:tcPr>
                <w:p w14:paraId="78E9E03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 w:val="21"/>
                      <w:szCs w:val="21"/>
                      <w14:textFill>
                        <w14:solidFill>
                          <w14:schemeClr w14:val="tx1"/>
                        </w14:solidFill>
                      </w14:textFill>
                    </w:rPr>
                  </w:pPr>
                </w:p>
              </w:tc>
            </w:tr>
          </w:tbl>
          <w:p w14:paraId="7C58C44A">
            <w:pPr>
              <w:keepNext w:val="0"/>
              <w:keepLines w:val="0"/>
              <w:suppressLineNumbers w:val="0"/>
              <w:adjustRightInd w:val="0"/>
              <w:snapToGrid w:val="0"/>
              <w:spacing w:before="0" w:beforeLines="50" w:beforeAutospacing="0" w:after="0" w:afterAutospacing="0" w:line="360" w:lineRule="auto"/>
              <w:ind w:left="0" w:right="0"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根据上表，本项目厂界昼间噪声满足《工业企业厂界环境噪声排放标准》（GB12348-2008）3类标准要求。</w:t>
            </w:r>
          </w:p>
          <w:p w14:paraId="69B33F12">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pacing w:val="-10"/>
                <w:sz w:val="24"/>
                <w:szCs w:val="24"/>
                <w14:textFill>
                  <w14:solidFill>
                    <w14:schemeClr w14:val="tx1"/>
                  </w14:solidFill>
                </w14:textFill>
              </w:rPr>
              <w:t>3.3、噪声</w:t>
            </w:r>
            <w:r>
              <w:rPr>
                <w:rFonts w:hint="default" w:ascii="Times New Roman" w:hAnsi="Times New Roman" w:cs="Times New Roman"/>
                <w:b/>
                <w:color w:val="000000" w:themeColor="text1"/>
                <w:sz w:val="24"/>
                <w:szCs w:val="24"/>
                <w14:textFill>
                  <w14:solidFill>
                    <w14:schemeClr w14:val="tx1"/>
                  </w14:solidFill>
                </w14:textFill>
              </w:rPr>
              <w:t>防治措施可行性分析</w:t>
            </w:r>
          </w:p>
          <w:p w14:paraId="64690165">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①机械采用先进低噪声设备，并对设备进行减振降噪处理，对外环境影响较小。</w:t>
            </w:r>
          </w:p>
          <w:p w14:paraId="0A60E52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②对生产设备中的高噪声设备进行减振降噪处理，降低对外环境的影响；在设备基座与地基之间设置橡胶减振垫；定期对所有机械、电器设备进行检修维护，防止设备不正常工作带来污染的增强或产生新的噪声源；高噪声设备工作时间应合理化，避免连续高噪声的影响。高噪声设备旁的工作人员应注意调节工作时间，并配备耳罩，避免长期接触高噪声。</w:t>
            </w:r>
          </w:p>
          <w:p w14:paraId="05A4B60A">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③高噪声设备采用先进低噪声设备，合理布局，厂房隔声等措施，降低对外环境的影响。</w:t>
            </w:r>
          </w:p>
          <w:p w14:paraId="194E2BC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以上噪声治理措施容易实施，技术成熟可靠，投资费用较少，在经济上是可行的。</w:t>
            </w:r>
          </w:p>
          <w:p w14:paraId="11512207">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3.4、监测要求</w:t>
            </w:r>
          </w:p>
          <w:p w14:paraId="4296D101">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color w:val="000000" w:themeColor="text1"/>
                <w:spacing w:val="-10"/>
                <w:sz w:val="24"/>
                <w:szCs w:val="24"/>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bidi="ar"/>
                <w14:textFill>
                  <w14:solidFill>
                    <w14:schemeClr w14:val="tx1"/>
                  </w14:solidFill>
                </w14:textFill>
              </w:rPr>
              <w:t>根据《排污许可证申请与核发技术规范 工业噪声》（HJ 1301-2023）的要求，项目噪声监测计划见</w:t>
            </w:r>
            <w:r>
              <w:rPr>
                <w:rFonts w:hint="default" w:ascii="Times New Roman" w:hAnsi="Times New Roman" w:cs="Times New Roman"/>
                <w:bCs/>
                <w:color w:val="000000" w:themeColor="text1"/>
                <w:kern w:val="2"/>
                <w:sz w:val="24"/>
                <w:szCs w:val="24"/>
                <w:lang w:val="en-US" w:eastAsia="zh-CN" w:bidi="ar"/>
                <w14:textFill>
                  <w14:solidFill>
                    <w14:schemeClr w14:val="tx1"/>
                  </w14:solidFill>
                </w14:textFill>
              </w:rPr>
              <w:t>表</w:t>
            </w:r>
            <w:r>
              <w:rPr>
                <w:rFonts w:hint="default" w:ascii="Times New Roman" w:hAnsi="Times New Roman" w:cs="Times New Roman"/>
                <w:color w:val="000000" w:themeColor="text1"/>
                <w:kern w:val="0"/>
                <w:sz w:val="24"/>
                <w:szCs w:val="24"/>
                <w14:textFill>
                  <w14:solidFill>
                    <w14:schemeClr w14:val="tx1"/>
                  </w14:solidFill>
                </w14:textFill>
              </w:rPr>
              <w:t>4-1</w:t>
            </w:r>
            <w:r>
              <w:rPr>
                <w:rFonts w:hint="default" w:ascii="Times New Roman" w:hAnsi="Times New Roman" w:cs="Times New Roman"/>
                <w:color w:val="000000" w:themeColor="text1"/>
                <w:kern w:val="0"/>
                <w:sz w:val="24"/>
                <w:szCs w:val="24"/>
                <w:lang w:val="en-US" w:eastAsia="zh-CN"/>
                <w14:textFill>
                  <w14:solidFill>
                    <w14:schemeClr w14:val="tx1"/>
                  </w14:solidFill>
                </w14:textFill>
              </w:rPr>
              <w:t>3</w:t>
            </w:r>
            <w:r>
              <w:rPr>
                <w:rFonts w:hint="default" w:ascii="Times New Roman" w:hAnsi="Times New Roman" w:cs="Times New Roman"/>
                <w:color w:val="000000" w:themeColor="text1"/>
                <w:kern w:val="0"/>
                <w:sz w:val="24"/>
                <w:szCs w:val="24"/>
                <w14:textFill>
                  <w14:solidFill>
                    <w14:schemeClr w14:val="tx1"/>
                  </w14:solidFill>
                </w14:textFill>
              </w:rPr>
              <w:t>。</w:t>
            </w:r>
          </w:p>
          <w:p w14:paraId="41F454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表4-1</w:t>
            </w:r>
            <w:r>
              <w:rPr>
                <w:rFonts w:hint="default" w:ascii="Times New Roman" w:hAnsi="Times New Roman" w:cs="Times New Roman"/>
                <w:b/>
                <w:bCs/>
                <w:color w:val="000000" w:themeColor="text1"/>
                <w:sz w:val="24"/>
                <w:szCs w:val="24"/>
                <w:lang w:val="en-US" w:eastAsia="zh-CN"/>
                <w14:textFill>
                  <w14:solidFill>
                    <w14:schemeClr w14:val="tx1"/>
                  </w14:solidFill>
                </w14:textFill>
              </w:rPr>
              <w:t>3</w:t>
            </w:r>
            <w:r>
              <w:rPr>
                <w:rFonts w:hint="default" w:ascii="Times New Roman" w:hAnsi="Times New Roman" w:cs="Times New Roman"/>
                <w:b/>
                <w:bCs/>
                <w:color w:val="000000" w:themeColor="text1"/>
                <w:sz w:val="24"/>
                <w:szCs w:val="24"/>
                <w14:textFill>
                  <w14:solidFill>
                    <w14:schemeClr w14:val="tx1"/>
                  </w14:solidFill>
                </w14:textFill>
              </w:rPr>
              <w:t xml:space="preserve"> 噪声监测要求一览表</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45"/>
              <w:gridCol w:w="2645"/>
              <w:gridCol w:w="2647"/>
            </w:tblGrid>
            <w:tr w14:paraId="533E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76" w:type="dxa"/>
                  <w:vAlign w:val="center"/>
                </w:tcPr>
                <w:p w14:paraId="4DB6ED8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监测点位</w:t>
                  </w:r>
                </w:p>
              </w:tc>
              <w:tc>
                <w:tcPr>
                  <w:tcW w:w="4176" w:type="dxa"/>
                  <w:vAlign w:val="center"/>
                </w:tcPr>
                <w:p w14:paraId="2771175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监测因子</w:t>
                  </w:r>
                </w:p>
              </w:tc>
              <w:tc>
                <w:tcPr>
                  <w:tcW w:w="4177" w:type="dxa"/>
                  <w:vAlign w:val="center"/>
                </w:tcPr>
                <w:p w14:paraId="0C47D87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监测频次</w:t>
                  </w:r>
                </w:p>
              </w:tc>
            </w:tr>
            <w:tr w14:paraId="5AE9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6" w:type="dxa"/>
                  <w:vAlign w:val="center"/>
                </w:tcPr>
                <w:p w14:paraId="7061F85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厂界四周外1m</w:t>
                  </w:r>
                </w:p>
              </w:tc>
              <w:tc>
                <w:tcPr>
                  <w:tcW w:w="4176" w:type="dxa"/>
                  <w:vAlign w:val="center"/>
                </w:tcPr>
                <w:p w14:paraId="44C3504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等效声级</w:t>
                  </w:r>
                </w:p>
              </w:tc>
              <w:tc>
                <w:tcPr>
                  <w:tcW w:w="4177" w:type="dxa"/>
                  <w:vAlign w:val="center"/>
                </w:tcPr>
                <w:p w14:paraId="01F2603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验收时监测一次，以后1次/季度</w:t>
                  </w:r>
                </w:p>
              </w:tc>
            </w:tr>
          </w:tbl>
          <w:p w14:paraId="2549F728">
            <w:pPr>
              <w:keepNext w:val="0"/>
              <w:keepLines w:val="0"/>
              <w:suppressLineNumbers w:val="0"/>
              <w:adjustRightInd w:val="0"/>
              <w:snapToGrid w:val="0"/>
              <w:spacing w:before="0" w:beforeLines="50" w:beforeAutospacing="0" w:after="0" w:afterAutospacing="0" w:line="360" w:lineRule="auto"/>
              <w:ind w:left="0" w:right="0"/>
              <w:rPr>
                <w:rFonts w:hint="default" w:ascii="Times New Roman" w:hAnsi="Times New Roman" w:cs="Times New Roman"/>
                <w:b/>
                <w:color w:val="000000" w:themeColor="text1"/>
                <w:spacing w:val="-10"/>
                <w:sz w:val="24"/>
                <w:szCs w:val="24"/>
                <w14:textFill>
                  <w14:solidFill>
                    <w14:schemeClr w14:val="tx1"/>
                  </w14:solidFill>
                </w14:textFill>
              </w:rPr>
            </w:pPr>
            <w:r>
              <w:rPr>
                <w:rFonts w:hint="default" w:ascii="Times New Roman" w:hAnsi="Times New Roman" w:cs="Times New Roman"/>
                <w:b/>
                <w:color w:val="000000" w:themeColor="text1"/>
                <w:spacing w:val="-10"/>
                <w:sz w:val="24"/>
                <w:szCs w:val="24"/>
                <w14:textFill>
                  <w14:solidFill>
                    <w14:schemeClr w14:val="tx1"/>
                  </w14:solidFill>
                </w14:textFill>
              </w:rPr>
              <w:t>4、固体废物</w:t>
            </w:r>
          </w:p>
          <w:p w14:paraId="6F9CB81A">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kern w:val="0"/>
                <w:sz w:val="24"/>
                <w:szCs w:val="24"/>
                <w14:textFill>
                  <w14:solidFill>
                    <w14:schemeClr w14:val="tx1"/>
                  </w14:solidFill>
                </w14:textFill>
              </w:rPr>
            </w:pPr>
            <w:r>
              <w:rPr>
                <w:rFonts w:hint="default" w:ascii="Times New Roman" w:hAnsi="Times New Roman" w:cs="Times New Roman"/>
                <w:b/>
                <w:bCs/>
                <w:color w:val="000000" w:themeColor="text1"/>
                <w:kern w:val="0"/>
                <w:sz w:val="24"/>
                <w:szCs w:val="24"/>
                <w:lang w:eastAsia="zh-CN"/>
                <w14:textFill>
                  <w14:solidFill>
                    <w14:schemeClr w14:val="tx1"/>
                  </w14:solidFill>
                </w14:textFill>
              </w:rPr>
              <w:t>（</w:t>
            </w:r>
            <w:r>
              <w:rPr>
                <w:rFonts w:hint="default" w:ascii="Times New Roman" w:hAnsi="Times New Roman" w:cs="Times New Roman"/>
                <w:b/>
                <w:bCs/>
                <w:color w:val="000000" w:themeColor="text1"/>
                <w:kern w:val="0"/>
                <w:sz w:val="24"/>
                <w:szCs w:val="24"/>
                <w14:textFill>
                  <w14:solidFill>
                    <w14:schemeClr w14:val="tx1"/>
                  </w14:solidFill>
                </w14:textFill>
              </w:rPr>
              <w:t>1）固体废物产生信息</w:t>
            </w:r>
          </w:p>
          <w:p w14:paraId="7176D8D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t>本项目营运期固体废物主要为</w:t>
            </w:r>
            <w:r>
              <w:rPr>
                <w:rFonts w:hint="eastAsia" w:cs="Times New Roman"/>
                <w:color w:val="000000" w:themeColor="text1"/>
                <w:kern w:val="0"/>
                <w:sz w:val="24"/>
                <w:szCs w:val="24"/>
                <w:lang w:val="en-US" w:eastAsia="zh-CN"/>
                <w14:textFill>
                  <w14:solidFill>
                    <w14:schemeClr w14:val="tx1"/>
                  </w14:solidFill>
                </w14:textFill>
              </w:rPr>
              <w:t>废贴花纸、废遮蔽纸、</w:t>
            </w:r>
            <w:r>
              <w:rPr>
                <w:rFonts w:hint="default" w:ascii="Times New Roman" w:hAnsi="Times New Roman" w:cs="Times New Roman"/>
                <w:color w:val="000000" w:themeColor="text1"/>
                <w:kern w:val="0"/>
                <w:sz w:val="24"/>
                <w:szCs w:val="24"/>
                <w14:textFill>
                  <w14:solidFill>
                    <w14:schemeClr w14:val="tx1"/>
                  </w14:solidFill>
                </w14:textFill>
              </w:rPr>
              <w:t>废漆</w:t>
            </w:r>
            <w:r>
              <w:rPr>
                <w:rFonts w:hint="default" w:ascii="Times New Roman" w:hAnsi="Times New Roman" w:cs="Times New Roman"/>
                <w:color w:val="000000" w:themeColor="text1"/>
                <w:kern w:val="0"/>
                <w:sz w:val="24"/>
                <w:szCs w:val="24"/>
                <w:lang w:val="en-US" w:eastAsia="zh-CN"/>
                <w14:textFill>
                  <w14:solidFill>
                    <w14:schemeClr w14:val="tx1"/>
                  </w14:solidFill>
                </w14:textFill>
              </w:rPr>
              <w:t>与废漆</w:t>
            </w:r>
            <w:r>
              <w:rPr>
                <w:rFonts w:hint="default" w:ascii="Times New Roman" w:hAnsi="Times New Roman" w:cs="Times New Roman"/>
                <w:color w:val="000000" w:themeColor="text1"/>
                <w:kern w:val="0"/>
                <w:sz w:val="24"/>
                <w:szCs w:val="24"/>
                <w14:textFill>
                  <w14:solidFill>
                    <w14:schemeClr w14:val="tx1"/>
                  </w14:solidFill>
                </w14:textFill>
              </w:rPr>
              <w:t>桶</w:t>
            </w:r>
            <w:r>
              <w:rPr>
                <w:rFonts w:hint="default"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废过滤棉</w:t>
            </w:r>
            <w:r>
              <w:rPr>
                <w:rFonts w:hint="default"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废活性炭</w:t>
            </w:r>
            <w:r>
              <w:rPr>
                <w:rFonts w:hint="default"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生活垃圾</w:t>
            </w:r>
            <w:r>
              <w:rPr>
                <w:rFonts w:hint="default" w:ascii="Times New Roman" w:hAnsi="Times New Roman" w:cs="Times New Roman"/>
                <w:color w:val="000000" w:themeColor="text1"/>
                <w:kern w:val="0"/>
                <w:sz w:val="24"/>
                <w:szCs w:val="24"/>
                <w:lang w:val="en-US" w:eastAsia="zh-CN"/>
                <w14:textFill>
                  <w14:solidFill>
                    <w14:schemeClr w14:val="tx1"/>
                  </w14:solidFill>
                </w14:textFill>
              </w:rPr>
              <w:t>等</w:t>
            </w:r>
            <w:r>
              <w:rPr>
                <w:rFonts w:hint="default" w:ascii="Times New Roman" w:hAnsi="Times New Roman" w:cs="Times New Roman"/>
                <w:color w:val="000000" w:themeColor="text1"/>
                <w:kern w:val="0"/>
                <w:sz w:val="24"/>
                <w:szCs w:val="24"/>
                <w:lang w:eastAsia="zh-CN"/>
                <w14:textFill>
                  <w14:solidFill>
                    <w14:schemeClr w14:val="tx1"/>
                  </w14:solidFill>
                </w14:textFill>
              </w:rPr>
              <w:t>。</w:t>
            </w:r>
          </w:p>
          <w:p w14:paraId="27109BBB">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①生活垃圾</w:t>
            </w:r>
          </w:p>
          <w:p w14:paraId="13887C28">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生活垃圾S1</w:t>
            </w:r>
            <w:r>
              <w:rPr>
                <w:rFonts w:hint="eastAsia" w:cs="Times New Roman"/>
                <w:b/>
                <w:bCs/>
                <w:color w:val="000000" w:themeColor="text1"/>
                <w:kern w:val="0"/>
                <w:sz w:val="24"/>
                <w:szCs w:val="24"/>
                <w:lang w:val="en-US" w:eastAsia="zh-CN"/>
                <w14:textFill>
                  <w14:solidFill>
                    <w14:schemeClr w14:val="tx1"/>
                  </w14:solidFill>
                </w14:textFill>
              </w:rPr>
              <w:t>2</w:t>
            </w:r>
            <w:r>
              <w:rPr>
                <w:rFonts w:hint="default" w:ascii="Times New Roman" w:hAnsi="Times New Roman" w:cs="Times New Roman"/>
                <w:color w:val="000000" w:themeColor="text1"/>
                <w:kern w:val="0"/>
                <w:sz w:val="24"/>
                <w:szCs w:val="24"/>
                <w:lang w:eastAsia="zh-CN"/>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14:textFill>
                  <w14:solidFill>
                    <w14:schemeClr w14:val="tx1"/>
                  </w14:solidFill>
                </w14:textFill>
              </w:rPr>
              <w:t>本</w:t>
            </w:r>
            <w:r>
              <w:rPr>
                <w:rFonts w:hint="default" w:ascii="Times New Roman" w:hAnsi="Times New Roman" w:cs="Times New Roman"/>
                <w:color w:val="000000" w:themeColor="text1"/>
                <w:kern w:val="0"/>
                <w:sz w:val="24"/>
                <w:szCs w:val="24"/>
                <w14:textFill>
                  <w14:solidFill>
                    <w14:schemeClr w14:val="tx1"/>
                  </w14:solidFill>
                </w14:textFill>
              </w:rPr>
              <w:t>项目劳动定员</w:t>
            </w:r>
            <w:r>
              <w:rPr>
                <w:rFonts w:hint="default" w:ascii="Times New Roman" w:hAnsi="Times New Roman" w:cs="Times New Roman"/>
                <w:color w:val="000000" w:themeColor="text1"/>
                <w:kern w:val="0"/>
                <w:sz w:val="24"/>
                <w:szCs w:val="24"/>
                <w:lang w:val="en-US" w:eastAsia="zh-CN"/>
                <w14:textFill>
                  <w14:solidFill>
                    <w14:schemeClr w14:val="tx1"/>
                  </w14:solidFill>
                </w14:textFill>
              </w:rPr>
              <w:t>20</w:t>
            </w:r>
            <w:r>
              <w:rPr>
                <w:rFonts w:hint="default" w:ascii="Times New Roman" w:hAnsi="Times New Roman" w:cs="Times New Roman"/>
                <w:color w:val="000000" w:themeColor="text1"/>
                <w:kern w:val="0"/>
                <w:sz w:val="24"/>
                <w:szCs w:val="24"/>
                <w14:textFill>
                  <w14:solidFill>
                    <w14:schemeClr w14:val="tx1"/>
                  </w14:solidFill>
                </w14:textFill>
              </w:rPr>
              <w:t>人，生活垃圾产生量按人均0.5kg/d计，年工作</w:t>
            </w:r>
            <w:r>
              <w:rPr>
                <w:rFonts w:hint="default" w:ascii="Times New Roman" w:hAnsi="Times New Roman" w:cs="Times New Roman"/>
                <w:color w:val="000000" w:themeColor="text1"/>
                <w:kern w:val="0"/>
                <w:sz w:val="24"/>
                <w:szCs w:val="24"/>
                <w:lang w:val="en-US" w:eastAsia="zh-CN"/>
                <w14:textFill>
                  <w14:solidFill>
                    <w14:schemeClr w14:val="tx1"/>
                  </w14:solidFill>
                </w14:textFill>
              </w:rPr>
              <w:t>300</w:t>
            </w:r>
            <w:r>
              <w:rPr>
                <w:rFonts w:hint="default" w:ascii="Times New Roman" w:hAnsi="Times New Roman" w:cs="Times New Roman"/>
                <w:color w:val="000000" w:themeColor="text1"/>
                <w:kern w:val="0"/>
                <w:sz w:val="24"/>
                <w:szCs w:val="24"/>
                <w14:textFill>
                  <w14:solidFill>
                    <w14:schemeClr w14:val="tx1"/>
                  </w14:solidFill>
                </w14:textFill>
              </w:rPr>
              <w:t>d，则生活垃圾产生量</w:t>
            </w:r>
            <w:r>
              <w:rPr>
                <w:rFonts w:hint="default" w:ascii="Times New Roman" w:hAnsi="Times New Roman" w:cs="Times New Roman"/>
                <w:color w:val="000000" w:themeColor="text1"/>
                <w:kern w:val="0"/>
                <w:sz w:val="24"/>
                <w:szCs w:val="24"/>
                <w:lang w:val="en-US" w:eastAsia="zh-CN"/>
                <w14:textFill>
                  <w14:solidFill>
                    <w14:schemeClr w14:val="tx1"/>
                  </w14:solidFill>
                </w14:textFill>
              </w:rPr>
              <w:t>3</w:t>
            </w:r>
            <w:r>
              <w:rPr>
                <w:rFonts w:hint="default" w:ascii="Times New Roman" w:hAnsi="Times New Roman" w:cs="Times New Roman"/>
                <w:color w:val="000000" w:themeColor="text1"/>
                <w:kern w:val="0"/>
                <w:sz w:val="24"/>
                <w:szCs w:val="24"/>
                <w14:textFill>
                  <w14:solidFill>
                    <w14:schemeClr w14:val="tx1"/>
                  </w14:solidFill>
                </w14:textFill>
              </w:rPr>
              <w:t>t/a。交环卫部门统一收运处理。</w:t>
            </w:r>
          </w:p>
          <w:p w14:paraId="470379A6">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000000" w:themeColor="text1"/>
                <w:kern w:val="0"/>
                <w:sz w:val="24"/>
                <w:szCs w:val="24"/>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②</w:t>
            </w:r>
            <w:r>
              <w:rPr>
                <w:rFonts w:hint="default" w:ascii="Times New Roman" w:hAnsi="Times New Roman" w:cs="Times New Roman"/>
                <w:b/>
                <w:bCs/>
                <w:color w:val="000000" w:themeColor="text1"/>
                <w:kern w:val="0"/>
                <w:sz w:val="24"/>
                <w:szCs w:val="24"/>
                <w14:textFill>
                  <w14:solidFill>
                    <w14:schemeClr w14:val="tx1"/>
                  </w14:solidFill>
                </w14:textFill>
              </w:rPr>
              <w:t>一般工业固废</w:t>
            </w:r>
          </w:p>
          <w:p w14:paraId="665187F2">
            <w:pPr>
              <w:pStyle w:val="57"/>
              <w:keepNext w:val="0"/>
              <w:keepLines w:val="0"/>
              <w:suppressLineNumbers w:val="0"/>
              <w:spacing w:before="0" w:beforeAutospacing="0" w:after="0" w:afterAutospacing="0"/>
              <w:ind w:left="0" w:right="0" w:firstLine="42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废砂纸</w:t>
            </w:r>
            <w:r>
              <w:rPr>
                <w:rFonts w:hint="default" w:ascii="Times New Roman" w:hAnsi="Times New Roman" w:cs="Times New Roman"/>
                <w:b/>
                <w:bCs/>
                <w:color w:val="000000" w:themeColor="text1"/>
                <w:sz w:val="24"/>
                <w:szCs w:val="24"/>
                <w14:textFill>
                  <w14:solidFill>
                    <w14:schemeClr w14:val="tx1"/>
                  </w14:solidFill>
                </w14:textFill>
              </w:rPr>
              <w:t>S1：</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本</w:t>
            </w:r>
            <w:r>
              <w:rPr>
                <w:rFonts w:hint="default" w:ascii="Times New Roman" w:hAnsi="Times New Roman" w:cs="Times New Roman"/>
                <w:color w:val="000000" w:themeColor="text1"/>
                <w:sz w:val="24"/>
                <w:szCs w:val="24"/>
                <w14:textFill>
                  <w14:solidFill>
                    <w14:schemeClr w14:val="tx1"/>
                  </w14:solidFill>
                </w14:textFill>
              </w:rPr>
              <w:t>项目营运期</w:t>
            </w:r>
            <w:r>
              <w:rPr>
                <w:rFonts w:hint="default" w:ascii="Times New Roman" w:hAnsi="Times New Roman" w:cs="Times New Roman"/>
                <w:color w:val="000000" w:themeColor="text1"/>
                <w:sz w:val="24"/>
                <w:szCs w:val="24"/>
                <w:lang w:val="en-US" w:eastAsia="zh-CN"/>
                <w14:textFill>
                  <w14:solidFill>
                    <w14:schemeClr w14:val="tx1"/>
                  </w14:solidFill>
                </w14:textFill>
              </w:rPr>
              <w:t>对毛坯件使用砂纸打磨，</w:t>
            </w:r>
            <w:r>
              <w:rPr>
                <w:rFonts w:hint="default" w:ascii="Times New Roman" w:hAnsi="Times New Roman" w:cs="Times New Roman"/>
                <w:color w:val="000000" w:themeColor="text1"/>
                <w:sz w:val="24"/>
                <w:szCs w:val="24"/>
                <w14:textFill>
                  <w14:solidFill>
                    <w14:schemeClr w14:val="tx1"/>
                  </w14:solidFill>
                </w14:textFill>
              </w:rPr>
              <w:t>会产生</w:t>
            </w:r>
            <w:r>
              <w:rPr>
                <w:rFonts w:hint="default" w:ascii="Times New Roman" w:hAnsi="Times New Roman" w:cs="Times New Roman"/>
                <w:color w:val="000000" w:themeColor="text1"/>
                <w:sz w:val="24"/>
                <w:szCs w:val="24"/>
                <w:lang w:val="en-US" w:eastAsia="zh-CN"/>
                <w14:textFill>
                  <w14:solidFill>
                    <w14:schemeClr w14:val="tx1"/>
                  </w14:solidFill>
                </w14:textFill>
              </w:rPr>
              <w:t>废砂纸</w:t>
            </w:r>
            <w:r>
              <w:rPr>
                <w:rFonts w:hint="default" w:ascii="Times New Roman" w:hAnsi="Times New Roman" w:cs="Times New Roman"/>
                <w:color w:val="000000" w:themeColor="text1"/>
                <w:sz w:val="24"/>
                <w:szCs w:val="24"/>
                <w14:textFill>
                  <w14:solidFill>
                    <w14:schemeClr w14:val="tx1"/>
                  </w14:solidFill>
                </w14:textFill>
              </w:rPr>
              <w:t>。根据建设单位介绍，</w:t>
            </w:r>
            <w:r>
              <w:rPr>
                <w:rFonts w:hint="default" w:ascii="Times New Roman" w:hAnsi="Times New Roman" w:cs="Times New Roman"/>
                <w:color w:val="000000" w:themeColor="text1"/>
                <w:sz w:val="24"/>
                <w:szCs w:val="24"/>
                <w:lang w:val="en-US" w:eastAsia="zh-CN"/>
                <w14:textFill>
                  <w14:solidFill>
                    <w14:schemeClr w14:val="tx1"/>
                  </w14:solidFill>
                </w14:textFill>
              </w:rPr>
              <w:t>废砂纸产生量约</w:t>
            </w:r>
            <w:r>
              <w:rPr>
                <w:rFonts w:hint="eastAsia" w:ascii="Times New Roman" w:hAnsi="Times New Roman" w:cs="Times New Roman"/>
                <w:color w:val="000000" w:themeColor="text1"/>
                <w:sz w:val="24"/>
                <w:szCs w:val="24"/>
                <w:lang w:val="en-US" w:eastAsia="zh-CN"/>
                <w14:textFill>
                  <w14:solidFill>
                    <w14:schemeClr w14:val="tx1"/>
                  </w14:solidFill>
                </w14:textFill>
              </w:rPr>
              <w:t>0.5t/a</w:t>
            </w:r>
            <w:r>
              <w:rPr>
                <w:rFonts w:hint="default" w:ascii="Times New Roman" w:hAnsi="Times New Roman" w:cs="Times New Roman"/>
                <w:color w:val="000000" w:themeColor="text1"/>
                <w:sz w:val="24"/>
                <w:szCs w:val="24"/>
                <w14:textFill>
                  <w14:solidFill>
                    <w14:schemeClr w14:val="tx1"/>
                  </w14:solidFill>
                </w14:textFill>
              </w:rPr>
              <w:t>，根据《固体废物分类与代码目录》（</w:t>
            </w:r>
            <w:r>
              <w:rPr>
                <w:rFonts w:hint="default" w:ascii="Times New Roman" w:hAnsi="Times New Roman" w:cs="Times New Roman"/>
                <w:color w:val="000000" w:themeColor="text1"/>
                <w:sz w:val="24"/>
                <w:szCs w:val="24"/>
                <w:lang w:val="en-US" w:eastAsia="zh-CN"/>
                <w14:textFill>
                  <w14:solidFill>
                    <w14:schemeClr w14:val="tx1"/>
                  </w14:solidFill>
                </w14:textFill>
              </w:rPr>
              <w:t>2024</w:t>
            </w:r>
            <w:r>
              <w:rPr>
                <w:rFonts w:hint="default" w:ascii="Times New Roman" w:hAnsi="Times New Roman" w:cs="Times New Roman"/>
                <w:color w:val="000000" w:themeColor="text1"/>
                <w:sz w:val="24"/>
                <w:szCs w:val="24"/>
                <w14:textFill>
                  <w14:solidFill>
                    <w14:schemeClr w14:val="tx1"/>
                  </w14:solidFill>
                </w14:textFill>
              </w:rPr>
              <w:t>），废砂纸属于一般固体废物，废物代码为900-099-S59，暂存于一般固废暂存</w:t>
            </w:r>
            <w:r>
              <w:rPr>
                <w:rFonts w:hint="eastAsia" w:ascii="Times New Roman" w:hAnsi="Times New Roman" w:cs="Times New Roman"/>
                <w:color w:val="000000" w:themeColor="text1"/>
                <w:sz w:val="24"/>
                <w:szCs w:val="24"/>
                <w:lang w:eastAsia="zh-CN"/>
                <w14:textFill>
                  <w14:solidFill>
                    <w14:schemeClr w14:val="tx1"/>
                  </w14:solidFill>
                </w14:textFill>
              </w:rPr>
              <w:t>间</w:t>
            </w:r>
            <w:r>
              <w:rPr>
                <w:rFonts w:hint="default" w:ascii="Times New Roman" w:hAnsi="Times New Roman" w:cs="Times New Roman"/>
                <w:color w:val="000000" w:themeColor="text1"/>
                <w:sz w:val="24"/>
                <w:szCs w:val="24"/>
                <w14:textFill>
                  <w14:solidFill>
                    <w14:schemeClr w14:val="tx1"/>
                  </w14:solidFill>
                </w14:textFill>
              </w:rPr>
              <w:t>，外售给物资回收单位。</w:t>
            </w:r>
          </w:p>
          <w:p w14:paraId="25B4BCBA">
            <w:pPr>
              <w:keepNext w:val="0"/>
              <w:keepLines w:val="0"/>
              <w:suppressLineNumbers w:val="0"/>
              <w:shd w:val="clear" w:color="auto" w:fill="auto"/>
              <w:adjustRightInd w:val="0"/>
              <w:snapToGrid w:val="0"/>
              <w:spacing w:before="0" w:beforeAutospacing="0" w:after="0" w:afterAutospacing="0" w:line="460" w:lineRule="exact"/>
              <w:ind w:left="0" w:right="0" w:firstLine="482" w:firstLineChars="20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废贴花纸S8</w:t>
            </w:r>
            <w:r>
              <w:rPr>
                <w:rFonts w:hint="default" w:ascii="Times New Roman" w:hAnsi="Times New Roman" w:cs="Times New Roman"/>
                <w:b/>
                <w:bCs/>
                <w:color w:val="000000" w:themeColor="text1"/>
                <w:sz w:val="24"/>
                <w:szCs w:val="24"/>
                <w14:textFill>
                  <w14:solidFill>
                    <w14:schemeClr w14:val="tx1"/>
                  </w14:solidFill>
                </w14:textFill>
              </w:rPr>
              <w:t>：</w:t>
            </w:r>
            <w:r>
              <w:rPr>
                <w:rFonts w:hint="eastAsia" w:ascii="Times New Roman" w:hAnsi="Times New Roman" w:cs="Times New Roman"/>
                <w:bCs/>
                <w:color w:val="000000" w:themeColor="text1"/>
                <w:kern w:val="24"/>
                <w:sz w:val="24"/>
                <w:highlight w:val="none"/>
                <w:lang w:val="en-US" w:eastAsia="zh-CN"/>
                <w14:textFill>
                  <w14:solidFill>
                    <w14:schemeClr w14:val="tx1"/>
                  </w14:solidFill>
                </w14:textFill>
              </w:rPr>
              <w:t>本项目对灯壳进行贴花，会产生废贴花纸，</w:t>
            </w:r>
            <w:r>
              <w:rPr>
                <w:rFonts w:hint="default" w:ascii="Times New Roman" w:hAnsi="Times New Roman" w:cs="Times New Roman"/>
                <w:color w:val="000000" w:themeColor="text1"/>
                <w:sz w:val="24"/>
                <w:szCs w:val="24"/>
                <w14:textFill>
                  <w14:solidFill>
                    <w14:schemeClr w14:val="tx1"/>
                  </w14:solidFill>
                </w14:textFill>
              </w:rPr>
              <w:t>根据建设单位介绍，</w:t>
            </w:r>
            <w:r>
              <w:rPr>
                <w:rFonts w:hint="default" w:ascii="Times New Roman" w:hAnsi="Times New Roman" w:cs="Times New Roman"/>
                <w:color w:val="000000" w:themeColor="text1"/>
                <w:sz w:val="24"/>
                <w:szCs w:val="24"/>
                <w:lang w:val="en-US" w:eastAsia="zh-CN"/>
                <w14:textFill>
                  <w14:solidFill>
                    <w14:schemeClr w14:val="tx1"/>
                  </w14:solidFill>
                </w14:textFill>
              </w:rPr>
              <w:t>废贴花纸产生量约</w:t>
            </w:r>
            <w:r>
              <w:rPr>
                <w:rFonts w:hint="eastAsia" w:cs="Times New Roman"/>
                <w:color w:val="000000" w:themeColor="text1"/>
                <w:sz w:val="24"/>
                <w:szCs w:val="24"/>
                <w:lang w:val="en-US" w:eastAsia="zh-CN"/>
                <w14:textFill>
                  <w14:solidFill>
                    <w14:schemeClr w14:val="tx1"/>
                  </w14:solidFill>
                </w14:textFill>
              </w:rPr>
              <w:t>0.2</w:t>
            </w:r>
            <w:r>
              <w:rPr>
                <w:rFonts w:hint="eastAsia" w:ascii="Times New Roman" w:hAnsi="Times New Roman" w:cs="Times New Roman"/>
                <w:color w:val="000000" w:themeColor="text1"/>
                <w:sz w:val="24"/>
                <w:szCs w:val="24"/>
                <w:lang w:val="en-US" w:eastAsia="zh-CN"/>
                <w14:textFill>
                  <w14:solidFill>
                    <w14:schemeClr w14:val="tx1"/>
                  </w14:solidFill>
                </w14:textFill>
              </w:rPr>
              <w:t>t/a</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根据</w:t>
            </w:r>
            <w:r>
              <w:rPr>
                <w:rFonts w:hint="default" w:ascii="Times New Roman" w:hAnsi="Times New Roman" w:cs="Times New Roman"/>
                <w:color w:val="000000" w:themeColor="text1"/>
                <w:sz w:val="24"/>
                <w:szCs w:val="24"/>
                <w14:textFill>
                  <w14:solidFill>
                    <w14:schemeClr w14:val="tx1"/>
                  </w14:solidFill>
                </w14:textFill>
              </w:rPr>
              <w:t>《固体废物分类与代码目录》（</w:t>
            </w:r>
            <w:r>
              <w:rPr>
                <w:rFonts w:hint="default" w:ascii="Times New Roman" w:hAnsi="Times New Roman" w:cs="Times New Roman"/>
                <w:color w:val="000000" w:themeColor="text1"/>
                <w:sz w:val="24"/>
                <w:szCs w:val="24"/>
                <w:lang w:val="en-US" w:eastAsia="zh-CN"/>
                <w14:textFill>
                  <w14:solidFill>
                    <w14:schemeClr w14:val="tx1"/>
                  </w14:solidFill>
                </w14:textFill>
              </w:rPr>
              <w:t>2024</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14:textFill>
                  <w14:solidFill>
                    <w14:schemeClr w14:val="tx1"/>
                  </w14:solidFill>
                </w14:textFill>
              </w:rPr>
              <w:t>，废贴花纸属于一般固体废物，废物代码为900-005-S17，暂存于一般固废暂存</w:t>
            </w:r>
            <w:r>
              <w:rPr>
                <w:rFonts w:hint="eastAsia" w:ascii="Times New Roman" w:hAnsi="Times New Roman" w:cs="Times New Roman"/>
                <w:b w:val="0"/>
                <w:bCs w:val="0"/>
                <w:color w:val="000000" w:themeColor="text1"/>
                <w:sz w:val="24"/>
                <w:szCs w:val="24"/>
                <w:lang w:eastAsia="zh-CN"/>
                <w14:textFill>
                  <w14:solidFill>
                    <w14:schemeClr w14:val="tx1"/>
                  </w14:solidFill>
                </w14:textFill>
              </w:rPr>
              <w:t>间</w:t>
            </w:r>
            <w:r>
              <w:rPr>
                <w:rFonts w:hint="default" w:ascii="Times New Roman" w:hAnsi="Times New Roman" w:cs="Times New Roman"/>
                <w:b w:val="0"/>
                <w:bCs w:val="0"/>
                <w:color w:val="000000" w:themeColor="text1"/>
                <w:sz w:val="24"/>
                <w:szCs w:val="24"/>
                <w14:textFill>
                  <w14:solidFill>
                    <w14:schemeClr w14:val="tx1"/>
                  </w14:solidFill>
                </w14:textFill>
              </w:rPr>
              <w:t>，外售给物资回收单位。</w:t>
            </w:r>
          </w:p>
          <w:p w14:paraId="00EA27F0">
            <w:pPr>
              <w:keepNext w:val="0"/>
              <w:keepLines w:val="0"/>
              <w:suppressLineNumbers w:val="0"/>
              <w:shd w:val="clear" w:color="auto" w:fill="auto"/>
              <w:adjustRightInd w:val="0"/>
              <w:snapToGrid w:val="0"/>
              <w:spacing w:before="0" w:beforeAutospacing="0" w:after="0" w:afterAutospacing="0" w:line="460" w:lineRule="exact"/>
              <w:ind w:left="0" w:right="0" w:firstLine="482" w:firstLineChars="200"/>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不合格品S10：</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本项目</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对产品检验时会产生不合格品，</w:t>
            </w:r>
            <w:r>
              <w:rPr>
                <w:rFonts w:hint="default" w:ascii="Times New Roman" w:hAnsi="Times New Roman" w:cs="Times New Roman"/>
                <w:color w:val="000000" w:themeColor="text1"/>
                <w:sz w:val="24"/>
                <w:szCs w:val="24"/>
                <w14:textFill>
                  <w14:solidFill>
                    <w14:schemeClr w14:val="tx1"/>
                  </w14:solidFill>
                </w14:textFill>
              </w:rPr>
              <w:t>根据建设单位介绍，</w:t>
            </w:r>
            <w:r>
              <w:rPr>
                <w:rFonts w:hint="default" w:ascii="Times New Roman" w:hAnsi="Times New Roman" w:cs="Times New Roman"/>
                <w:color w:val="000000" w:themeColor="text1"/>
                <w:sz w:val="24"/>
                <w:szCs w:val="24"/>
                <w:lang w:val="en-US" w:eastAsia="zh-CN"/>
                <w14:textFill>
                  <w14:solidFill>
                    <w14:schemeClr w14:val="tx1"/>
                  </w14:solidFill>
                </w14:textFill>
              </w:rPr>
              <w:t>不合格品产生量约</w:t>
            </w:r>
            <w:r>
              <w:rPr>
                <w:rFonts w:hint="eastAsia" w:cs="Times New Roman"/>
                <w:color w:val="000000" w:themeColor="text1"/>
                <w:sz w:val="24"/>
                <w:szCs w:val="24"/>
                <w:lang w:val="en-US" w:eastAsia="zh-CN"/>
                <w14:textFill>
                  <w14:solidFill>
                    <w14:schemeClr w14:val="tx1"/>
                  </w14:solidFill>
                </w14:textFill>
              </w:rPr>
              <w:t>0.1</w:t>
            </w:r>
            <w:r>
              <w:rPr>
                <w:rFonts w:hint="eastAsia" w:ascii="Times New Roman" w:hAnsi="Times New Roman" w:cs="Times New Roman"/>
                <w:color w:val="000000" w:themeColor="text1"/>
                <w:sz w:val="24"/>
                <w:szCs w:val="24"/>
                <w:lang w:val="en-US" w:eastAsia="zh-CN"/>
                <w14:textFill>
                  <w14:solidFill>
                    <w14:schemeClr w14:val="tx1"/>
                  </w14:solidFill>
                </w14:textFill>
              </w:rPr>
              <w:t>t/a</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。根据</w:t>
            </w:r>
            <w:r>
              <w:rPr>
                <w:rFonts w:hint="default" w:ascii="Times New Roman" w:hAnsi="Times New Roman" w:cs="Times New Roman"/>
                <w:color w:val="000000" w:themeColor="text1"/>
                <w:sz w:val="24"/>
                <w:szCs w:val="24"/>
                <w14:textFill>
                  <w14:solidFill>
                    <w14:schemeClr w14:val="tx1"/>
                  </w14:solidFill>
                </w14:textFill>
              </w:rPr>
              <w:t>《固体废物分类与代码目录》（</w:t>
            </w:r>
            <w:r>
              <w:rPr>
                <w:rFonts w:hint="default" w:ascii="Times New Roman" w:hAnsi="Times New Roman" w:cs="Times New Roman"/>
                <w:color w:val="000000" w:themeColor="text1"/>
                <w:sz w:val="24"/>
                <w:szCs w:val="24"/>
                <w:lang w:val="en-US" w:eastAsia="zh-CN"/>
                <w14:textFill>
                  <w14:solidFill>
                    <w14:schemeClr w14:val="tx1"/>
                  </w14:solidFill>
                </w14:textFill>
              </w:rPr>
              <w:t>2024</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，不合格品属于一般固体废物，废物代码为900-099-S59，暂存于一般固废暂存</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间</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，外售给物资回收单位。</w:t>
            </w:r>
          </w:p>
          <w:p w14:paraId="1AC492AF">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textAlignment w:val="auto"/>
              <w:rPr>
                <w:rFonts w:hint="default" w:ascii="Times New Roman" w:hAnsi="Times New Roman" w:cs="Times New Roman"/>
                <w:color w:val="000000" w:themeColor="text1"/>
                <w:kern w:val="0"/>
                <w:sz w:val="24"/>
                <w:szCs w:val="24"/>
                <w:lang w:val="en-US" w:eastAsia="zh-CN"/>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未沾染危化品和危险废物的包装物S1</w:t>
            </w:r>
            <w:r>
              <w:rPr>
                <w:rFonts w:hint="eastAsia" w:ascii="Times New Roman" w:cs="Times New Roman"/>
                <w:b/>
                <w:bCs/>
                <w:color w:val="000000" w:themeColor="text1"/>
                <w:kern w:val="0"/>
                <w:sz w:val="24"/>
                <w:szCs w:val="24"/>
                <w:lang w:val="en-US" w:eastAsia="zh-CN"/>
                <w14:textFill>
                  <w14:solidFill>
                    <w14:schemeClr w14:val="tx1"/>
                  </w14:solidFill>
                </w14:textFill>
              </w:rPr>
              <w:t>1</w:t>
            </w:r>
            <w:r>
              <w:rPr>
                <w:rFonts w:hint="default" w:ascii="Times New Roman" w:hAnsi="Times New Roman" w:cs="Times New Roman"/>
                <w:color w:val="000000" w:themeColor="text1"/>
                <w:kern w:val="0"/>
                <w:sz w:val="24"/>
                <w:szCs w:val="24"/>
                <w:lang w:val="en-US" w:eastAsia="zh-CN"/>
                <w14:textFill>
                  <w14:solidFill>
                    <w14:schemeClr w14:val="tx1"/>
                  </w14:solidFill>
                </w14:textFill>
              </w:rPr>
              <w:t>：本项目产品入库时会对其进行包装，会产生未沾染危化品和危险废物的包装物，</w:t>
            </w:r>
            <w:r>
              <w:rPr>
                <w:rFonts w:hint="default" w:ascii="Times New Roman" w:hAnsi="Times New Roman" w:cs="Times New Roman"/>
                <w:color w:val="000000" w:themeColor="text1"/>
                <w:sz w:val="24"/>
                <w:szCs w:val="24"/>
                <w14:textFill>
                  <w14:solidFill>
                    <w14:schemeClr w14:val="tx1"/>
                  </w14:solidFill>
                </w14:textFill>
              </w:rPr>
              <w:t>根据建设单位介绍，</w:t>
            </w:r>
            <w:r>
              <w:rPr>
                <w:rFonts w:hint="default" w:ascii="Times New Roman" w:hAnsi="Times New Roman" w:cs="Times New Roman"/>
                <w:color w:val="000000" w:themeColor="text1"/>
                <w:sz w:val="24"/>
                <w:szCs w:val="24"/>
                <w:lang w:val="en-US" w:eastAsia="zh-CN"/>
                <w14:textFill>
                  <w14:solidFill>
                    <w14:schemeClr w14:val="tx1"/>
                  </w14:solidFill>
                </w14:textFill>
              </w:rPr>
              <w:t>未沾染危化品和危险废物的包装物产生量约0.2t/a</w:t>
            </w:r>
            <w:r>
              <w:rPr>
                <w:rFonts w:hint="default" w:ascii="Times New Roman" w:hAnsi="Times New Roman" w:cs="Times New Roman"/>
                <w:color w:val="000000" w:themeColor="text1"/>
                <w:kern w:val="0"/>
                <w:sz w:val="24"/>
                <w:szCs w:val="24"/>
                <w:lang w:val="en-US" w:eastAsia="zh-CN"/>
                <w14:textFill>
                  <w14:solidFill>
                    <w14:schemeClr w14:val="tx1"/>
                  </w14:solidFill>
                </w14:textFill>
              </w:rPr>
              <w:t>。根据《固体废物分类与代码目录》（2024），未沾染危化品和危险废物的包装物属于一般工业固废，废物代码为900-099-S59，收集暂存于一般固废暂存</w:t>
            </w:r>
            <w:r>
              <w:rPr>
                <w:rFonts w:hint="eastAsia" w:ascii="Times New Roman" w:hAnsi="Times New Roman" w:cs="Times New Roman"/>
                <w:color w:val="000000" w:themeColor="text1"/>
                <w:kern w:val="0"/>
                <w:sz w:val="24"/>
                <w:szCs w:val="24"/>
                <w:lang w:val="en-US" w:eastAsia="zh-CN"/>
                <w14:textFill>
                  <w14:solidFill>
                    <w14:schemeClr w14:val="tx1"/>
                  </w14:solidFill>
                </w14:textFill>
              </w:rPr>
              <w:t>间</w:t>
            </w:r>
            <w:r>
              <w:rPr>
                <w:rFonts w:hint="default" w:ascii="Times New Roman" w:hAnsi="Times New Roman" w:cs="Times New Roman"/>
                <w:color w:val="000000" w:themeColor="text1"/>
                <w:kern w:val="0"/>
                <w:sz w:val="24"/>
                <w:szCs w:val="24"/>
                <w:lang w:val="en-US" w:eastAsia="zh-CN"/>
                <w14:textFill>
                  <w14:solidFill>
                    <w14:schemeClr w14:val="tx1"/>
                  </w14:solidFill>
                </w14:textFill>
              </w:rPr>
              <w:t>，定期交物资公司回收利用。</w:t>
            </w:r>
          </w:p>
          <w:p w14:paraId="4AB5A280">
            <w:pPr>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含尘过滤棉S</w:t>
            </w:r>
            <w:r>
              <w:rPr>
                <w:rFonts w:hint="eastAsia" w:cs="Times New Roman"/>
                <w:b/>
                <w:bCs/>
                <w:color w:val="000000" w:themeColor="text1"/>
                <w:kern w:val="0"/>
                <w:sz w:val="24"/>
                <w:szCs w:val="24"/>
                <w:lang w:val="en-US" w:eastAsia="zh-CN"/>
                <w14:textFill>
                  <w14:solidFill>
                    <w14:schemeClr w14:val="tx1"/>
                  </w14:solidFill>
                </w14:textFill>
              </w:rPr>
              <w:t>17</w:t>
            </w:r>
            <w:r>
              <w:rPr>
                <w:rFonts w:hint="default" w:ascii="Times New Roman" w:hAnsi="Times New Roman" w:cs="Times New Roman"/>
                <w:b/>
                <w:bCs/>
                <w:color w:val="000000" w:themeColor="text1"/>
                <w:kern w:val="0"/>
                <w:sz w:val="24"/>
                <w:szCs w:val="24"/>
                <w:lang w:val="en-US" w:eastAsia="zh-CN"/>
                <w14:textFill>
                  <w14:solidFill>
                    <w14:schemeClr w14:val="tx1"/>
                  </w14:solidFill>
                </w14:textFill>
              </w:rPr>
              <w:t>：</w:t>
            </w:r>
            <w:r>
              <w:rPr>
                <w:rFonts w:hint="eastAsia" w:ascii="Times New Roman" w:hAnsi="Times New Roman" w:cs="Times New Roman"/>
                <w:b w:val="0"/>
                <w:bCs w:val="0"/>
                <w:color w:val="000000" w:themeColor="text1"/>
                <w:kern w:val="0"/>
                <w:sz w:val="24"/>
                <w:szCs w:val="24"/>
                <w:lang w:val="en-US" w:eastAsia="zh-CN"/>
                <w14:textFill>
                  <w14:solidFill>
                    <w14:schemeClr w14:val="tx1"/>
                  </w14:solidFill>
                </w14:textFill>
              </w:rPr>
              <w:t>本项目在工件除尘过程中将产生废过滤棉，产生的量合计约0.1t/a</w:t>
            </w: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。根据《固体废物分类与代码目录》（2024），含尘过滤棉属于一般工业固废，废物代码为900-009-S59，收集暂存于一般固废暂存</w:t>
            </w:r>
            <w:r>
              <w:rPr>
                <w:rFonts w:hint="eastAsia" w:ascii="Times New Roman" w:hAnsi="Times New Roman" w:cs="Times New Roman"/>
                <w:b w:val="0"/>
                <w:bCs w:val="0"/>
                <w:color w:val="000000" w:themeColor="text1"/>
                <w:kern w:val="0"/>
                <w:sz w:val="24"/>
                <w:szCs w:val="24"/>
                <w:lang w:val="en-US" w:eastAsia="zh-CN"/>
                <w14:textFill>
                  <w14:solidFill>
                    <w14:schemeClr w14:val="tx1"/>
                  </w14:solidFill>
                </w14:textFill>
              </w:rPr>
              <w:t>间</w:t>
            </w:r>
            <w:r>
              <w:rPr>
                <w:rFonts w:hint="default" w:ascii="Times New Roman" w:hAnsi="Times New Roman" w:cs="Times New Roman"/>
                <w:b w:val="0"/>
                <w:bCs w:val="0"/>
                <w:color w:val="000000" w:themeColor="text1"/>
                <w:kern w:val="0"/>
                <w:sz w:val="24"/>
                <w:szCs w:val="24"/>
                <w:lang w:val="en-US" w:eastAsia="zh-CN"/>
                <w14:textFill>
                  <w14:solidFill>
                    <w14:schemeClr w14:val="tx1"/>
                  </w14:solidFill>
                </w14:textFill>
              </w:rPr>
              <w:t>，定期交物资公司回收利用。</w:t>
            </w:r>
          </w:p>
          <w:p w14:paraId="68229057">
            <w:pPr>
              <w:pStyle w:val="19"/>
              <w:keepNext w:val="0"/>
              <w:keepLines w:val="0"/>
              <w:pageBreakBefore w:val="0"/>
              <w:suppressLineNumbers w:val="0"/>
              <w:kinsoku/>
              <w:wordWrap/>
              <w:overflowPunct/>
              <w:topLinePunct w:val="0"/>
              <w:bidi w:val="0"/>
              <w:adjustRightInd w:val="0"/>
              <w:snapToGrid w:val="0"/>
              <w:spacing w:before="0" w:beforeAutospacing="0" w:after="0" w:afterAutospacing="0" w:line="360" w:lineRule="auto"/>
              <w:ind w:left="0" w:right="0" w:firstLine="514" w:firstLineChars="200"/>
              <w:textAlignment w:val="auto"/>
              <w:outlineLvl w:val="0"/>
              <w:rPr>
                <w:rFonts w:hint="default" w:ascii="Times New Roman" w:hAnsi="Times New Roman" w:cs="Times New Roman"/>
                <w:b/>
                <w:bCs/>
                <w:color w:val="000000" w:themeColor="text1"/>
                <w:kern w:val="0"/>
                <w:sz w:val="24"/>
                <w:szCs w:val="24"/>
                <w:lang w:val="en-US" w:eastAsia="zh-CN"/>
                <w14:textFill>
                  <w14:solidFill>
                    <w14:schemeClr w14:val="tx1"/>
                  </w14:solidFill>
                </w14:textFill>
              </w:rPr>
            </w:pPr>
            <w:r>
              <w:rPr>
                <w:rFonts w:hint="default" w:ascii="Times New Roman" w:hAnsi="Times New Roman" w:cs="Times New Roman"/>
                <w:b/>
                <w:bCs/>
                <w:color w:val="000000" w:themeColor="text1"/>
                <w:spacing w:val="8"/>
                <w:sz w:val="24"/>
                <w:szCs w:val="24"/>
                <w:lang w:val="en-US" w:eastAsia="zh-CN"/>
                <w14:textFill>
                  <w14:solidFill>
                    <w14:schemeClr w14:val="tx1"/>
                  </w14:solidFill>
                </w14:textFill>
              </w:rPr>
              <w:t>③危险废物</w:t>
            </w:r>
          </w:p>
          <w:p w14:paraId="0F2AC5D1">
            <w:pPr>
              <w:pStyle w:val="12"/>
              <w:keepNext w:val="0"/>
              <w:keepLines w:val="0"/>
              <w:pageBreakBefore w:val="0"/>
              <w:suppressLineNumbers w:val="0"/>
              <w:shd w:val="clear" w:color="auto" w:fill="auto"/>
              <w:kinsoku/>
              <w:wordWrap/>
              <w:overflowPunct/>
              <w:topLinePunct w:val="0"/>
              <w:bidi w:val="0"/>
              <w:spacing w:before="0" w:beforeAutospacing="0" w:after="0" w:afterAutospacing="0" w:line="360" w:lineRule="auto"/>
              <w:ind w:left="0" w:right="0" w:firstLine="482" w:firstLineChars="200"/>
              <w:jc w:val="both"/>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废过滤棉S</w:t>
            </w:r>
            <w:r>
              <w:rPr>
                <w:rFonts w:hint="eastAsia" w:ascii="Times New Roman" w:hAnsi="Times New Roman" w:cs="Times New Roman"/>
                <w:b/>
                <w:bCs/>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color w:val="000000" w:themeColor="text1"/>
                <w:spacing w:val="-5"/>
                <w:sz w:val="24"/>
                <w:szCs w:val="24"/>
                <w:highlight w:val="none"/>
                <w:lang w:val="en-US" w:eastAsia="zh-CN"/>
                <w14:textFill>
                  <w14:solidFill>
                    <w14:schemeClr w14:val="tx1"/>
                  </w14:solidFill>
                </w14:textFill>
              </w:rPr>
              <w:t>过滤棉主要用于吸收水帘湿式去漆雾</w:t>
            </w:r>
            <w:r>
              <w:rPr>
                <w:rFonts w:hint="eastAsia" w:ascii="Times New Roman" w:hAnsi="Times New Roman" w:cs="Times New Roman"/>
                <w:color w:val="000000" w:themeColor="text1"/>
                <w:spacing w:val="-5"/>
                <w:sz w:val="24"/>
                <w:szCs w:val="24"/>
                <w:highlight w:val="none"/>
                <w:lang w:val="en-US" w:eastAsia="zh-CN"/>
                <w14:textFill>
                  <w14:solidFill>
                    <w14:schemeClr w14:val="tx1"/>
                  </w14:solidFill>
                </w14:textFill>
              </w:rPr>
              <w:t>装置</w:t>
            </w:r>
            <w:r>
              <w:rPr>
                <w:rFonts w:hint="default" w:ascii="Times New Roman" w:hAnsi="Times New Roman" w:cs="Times New Roman"/>
                <w:color w:val="000000" w:themeColor="text1"/>
                <w:spacing w:val="-5"/>
                <w:sz w:val="24"/>
                <w:szCs w:val="24"/>
                <w:highlight w:val="none"/>
                <w:lang w:val="en-US" w:eastAsia="zh-CN"/>
                <w14:textFill>
                  <w14:solidFill>
                    <w14:schemeClr w14:val="tx1"/>
                  </w14:solidFill>
                </w14:textFill>
              </w:rPr>
              <w:t>处理后废气带的水分（含挥发性有机物），根据业主提供资料，产生量约为0.5t/a。</w:t>
            </w:r>
            <w:r>
              <w:rPr>
                <w:rFonts w:hint="default" w:ascii="Times New Roman" w:hAnsi="Times New Roman" w:cs="Times New Roman"/>
                <w:color w:val="000000" w:themeColor="text1"/>
                <w:kern w:val="0"/>
                <w:sz w:val="24"/>
                <w:szCs w:val="24"/>
                <w:lang w:val="en-US" w:eastAsia="zh-CN"/>
                <w14:textFill>
                  <w14:solidFill>
                    <w14:schemeClr w14:val="tx1"/>
                  </w14:solidFill>
                </w14:textFill>
              </w:rPr>
              <w:t>根据《</w:t>
            </w:r>
            <w:r>
              <w:rPr>
                <w:rFonts w:hint="default" w:ascii="Times New Roman" w:hAnsi="Times New Roman" w:cs="Times New Roman"/>
                <w:color w:val="000000" w:themeColor="text1"/>
                <w:sz w:val="24"/>
                <w:szCs w:val="24"/>
                <w14:textFill>
                  <w14:solidFill>
                    <w14:schemeClr w14:val="tx1"/>
                  </w14:solidFill>
                </w14:textFill>
              </w:rPr>
              <w:t>国家危险废物名录</w:t>
            </w:r>
            <w:r>
              <w:rPr>
                <w:rFonts w:hint="default" w:ascii="Times New Roman" w:hAnsi="Times New Roman" w:cs="Times New Roman"/>
                <w:color w:val="000000" w:themeColor="text1"/>
                <w:kern w:val="0"/>
                <w:sz w:val="24"/>
                <w:szCs w:val="24"/>
                <w:lang w:val="en-US" w:eastAsia="zh-CN"/>
                <w14:textFill>
                  <w14:solidFill>
                    <w14:schemeClr w14:val="tx1"/>
                  </w14:solidFill>
                </w14:textFill>
              </w:rPr>
              <w:t>》（2025年版），</w:t>
            </w:r>
            <w:r>
              <w:rPr>
                <w:rFonts w:hint="default" w:ascii="Times New Roman" w:hAnsi="Times New Roman" w:cs="Times New Roman"/>
                <w:color w:val="000000" w:themeColor="text1"/>
                <w:sz w:val="24"/>
                <w:szCs w:val="24"/>
                <w14:textFill>
                  <w14:solidFill>
                    <w14:schemeClr w14:val="tx1"/>
                  </w14:solidFill>
                </w14:textFill>
              </w:rPr>
              <w:t>废过滤棉</w:t>
            </w:r>
            <w:r>
              <w:rPr>
                <w:rFonts w:hint="default" w:ascii="Times New Roman" w:hAnsi="Times New Roman" w:cs="Times New Roman"/>
                <w:color w:val="000000" w:themeColor="text1"/>
                <w:kern w:val="0"/>
                <w:sz w:val="24"/>
                <w:szCs w:val="24"/>
                <w:lang w:val="en-US" w:eastAsia="zh-CN"/>
                <w14:textFill>
                  <w14:solidFill>
                    <w14:schemeClr w14:val="tx1"/>
                  </w14:solidFill>
                </w14:textFill>
              </w:rPr>
              <w:t>属于危险废物，废物代码为</w:t>
            </w:r>
            <w:r>
              <w:rPr>
                <w:rFonts w:hint="default" w:ascii="Times New Roman" w:hAnsi="Times New Roman" w:cs="Times New Roman"/>
                <w:color w:val="000000" w:themeColor="text1"/>
                <w:spacing w:val="-5"/>
                <w:sz w:val="24"/>
                <w:szCs w:val="24"/>
                <w:highlight w:val="none"/>
                <w14:textFill>
                  <w14:solidFill>
                    <w14:schemeClr w14:val="tx1"/>
                  </w14:solidFill>
                </w14:textFill>
              </w:rPr>
              <w:t>HW49</w:t>
            </w:r>
            <w:r>
              <w:rPr>
                <w:rFonts w:hint="default" w:ascii="Times New Roman" w:hAnsi="Times New Roman" w:cs="Times New Roman"/>
                <w:color w:val="000000" w:themeColor="text1"/>
                <w:spacing w:val="-5"/>
                <w:sz w:val="24"/>
                <w:szCs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pacing w:val="-5"/>
                <w:sz w:val="24"/>
                <w:szCs w:val="24"/>
                <w:highlight w:val="none"/>
                <w14:textFill>
                  <w14:solidFill>
                    <w14:schemeClr w14:val="tx1"/>
                  </w14:solidFill>
                </w14:textFill>
              </w:rPr>
              <w:t>900-041-49</w:t>
            </w:r>
            <w:r>
              <w:rPr>
                <w:rFonts w:hint="default" w:ascii="Times New Roman" w:hAnsi="Times New Roman" w:cs="Times New Roman"/>
                <w:color w:val="000000" w:themeColor="text1"/>
                <w:spacing w:val="-5"/>
                <w:kern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收集后暂存于</w:t>
            </w:r>
            <w:r>
              <w:rPr>
                <w:rFonts w:hint="eastAsia" w:ascii="Times New Roman" w:hAnsi="Times New Roman" w:cs="Times New Roman"/>
                <w:color w:val="000000" w:themeColor="text1"/>
                <w:kern w:val="0"/>
                <w:sz w:val="24"/>
                <w:szCs w:val="24"/>
                <w:lang w:val="en-US" w:eastAsia="zh-CN"/>
                <w14:textFill>
                  <w14:solidFill>
                    <w14:schemeClr w14:val="tx1"/>
                  </w14:solidFill>
                </w14:textFill>
              </w:rPr>
              <w:t>危废贮存库</w:t>
            </w:r>
            <w:r>
              <w:rPr>
                <w:rFonts w:hint="default" w:ascii="Times New Roman" w:hAnsi="Times New Roman" w:cs="Times New Roman"/>
                <w:color w:val="000000" w:themeColor="text1"/>
                <w:kern w:val="0"/>
                <w:sz w:val="24"/>
                <w:szCs w:val="24"/>
                <w:lang w:val="en-US" w:eastAsia="zh-CN"/>
                <w14:textFill>
                  <w14:solidFill>
                    <w14:schemeClr w14:val="tx1"/>
                  </w14:solidFill>
                </w14:textFill>
              </w:rPr>
              <w:t>，交由有资质的单位处置。</w:t>
            </w:r>
          </w:p>
          <w:p w14:paraId="5082907E">
            <w:pPr>
              <w:pStyle w:val="12"/>
              <w:keepNext w:val="0"/>
              <w:keepLines w:val="0"/>
              <w:pageBreakBefore w:val="0"/>
              <w:suppressLineNumbers w:val="0"/>
              <w:shd w:val="clear" w:color="auto" w:fill="auto"/>
              <w:kinsoku/>
              <w:wordWrap/>
              <w:overflowPunct/>
              <w:topLinePunct w:val="0"/>
              <w:bidi w:val="0"/>
              <w:spacing w:before="0" w:beforeAutospacing="0" w:after="0" w:afterAutospacing="0" w:line="360" w:lineRule="auto"/>
              <w:ind w:left="0" w:right="0" w:firstLine="482"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废活性炭S</w:t>
            </w:r>
            <w:r>
              <w:rPr>
                <w:rFonts w:hint="eastAsia" w:ascii="Times New Roman" w:hAnsi="Times New Roman" w:cs="Times New Roman"/>
                <w:b/>
                <w:bCs/>
                <w:color w:val="000000" w:themeColor="text1"/>
                <w:sz w:val="24"/>
                <w:szCs w:val="24"/>
                <w:lang w:val="en-US" w:eastAsia="zh-CN"/>
                <w14:textFill>
                  <w14:solidFill>
                    <w14:schemeClr w14:val="tx1"/>
                  </w14:solidFill>
                </w14:textFill>
              </w:rPr>
              <w:t>6</w:t>
            </w:r>
            <w:r>
              <w:rPr>
                <w:rFonts w:hint="default" w:ascii="Times New Roman" w:hAnsi="Times New Roman" w:cs="Times New Roman"/>
                <w:b/>
                <w:bCs/>
                <w:color w:val="000000" w:themeColor="text1"/>
                <w:sz w:val="24"/>
                <w:szCs w:val="24"/>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本项目</w:t>
            </w:r>
            <w:r>
              <w:rPr>
                <w:rFonts w:hint="default" w:ascii="Times New Roman" w:hAnsi="Times New Roman" w:cs="Times New Roman"/>
                <w:color w:val="000000" w:themeColor="text1"/>
                <w:kern w:val="0"/>
                <w:sz w:val="24"/>
                <w:szCs w:val="24"/>
                <w:lang w:val="en-US" w:eastAsia="zh-CN"/>
                <w14:textFill>
                  <w14:solidFill>
                    <w14:schemeClr w14:val="tx1"/>
                  </w14:solidFill>
                </w14:textFill>
              </w:rPr>
              <w:t>喷涂</w:t>
            </w:r>
            <w:r>
              <w:rPr>
                <w:rFonts w:hint="default" w:ascii="Times New Roman" w:hAnsi="Times New Roman" w:cs="Times New Roman"/>
                <w:color w:val="000000" w:themeColor="text1"/>
                <w:kern w:val="0"/>
                <w:sz w:val="24"/>
                <w:szCs w:val="24"/>
                <w14:textFill>
                  <w14:solidFill>
                    <w14:schemeClr w14:val="tx1"/>
                  </w14:solidFill>
                </w14:textFill>
              </w:rPr>
              <w:t>废气采用一套</w:t>
            </w:r>
            <w:r>
              <w:rPr>
                <w:rFonts w:hint="eastAsia"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水帘湿式漆雾净化+</w:t>
            </w:r>
            <w:r>
              <w:rPr>
                <w:rFonts w:hint="eastAsia" w:ascii="Times New Roman" w:hAnsi="Times New Roman" w:cs="Times New Roman"/>
                <w:color w:val="000000" w:themeColor="text1"/>
                <w:kern w:val="0"/>
                <w:sz w:val="24"/>
                <w:szCs w:val="24"/>
                <w:lang w:eastAsia="zh-CN"/>
                <w14:textFill>
                  <w14:solidFill>
                    <w14:schemeClr w14:val="tx1"/>
                  </w14:solidFill>
                </w14:textFill>
              </w:rPr>
              <w:t>高分子过滤盒</w:t>
            </w:r>
            <w:r>
              <w:rPr>
                <w:rFonts w:hint="default" w:ascii="Times New Roman" w:hAnsi="Times New Roman" w:cs="Times New Roman"/>
                <w:color w:val="000000" w:themeColor="text1"/>
                <w:kern w:val="0"/>
                <w:sz w:val="24"/>
                <w:szCs w:val="24"/>
                <w14:textFill>
                  <w14:solidFill>
                    <w14:schemeClr w14:val="tx1"/>
                  </w14:solidFill>
                </w14:textFill>
              </w:rPr>
              <w:t>+干式过滤棉+二级活性炭吸附</w:t>
            </w:r>
            <w:r>
              <w:rPr>
                <w:rFonts w:hint="eastAsia" w:ascii="Times New Roman" w:hAnsi="Times New Roman" w:cs="Times New Roman"/>
                <w:color w:val="000000" w:themeColor="text1"/>
                <w:kern w:val="0"/>
                <w:sz w:val="24"/>
                <w:szCs w:val="24"/>
                <w:lang w:eastAsia="zh-CN"/>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14:textFill>
                  <w14:solidFill>
                    <w14:schemeClr w14:val="tx1"/>
                  </w14:solidFill>
                </w14:textFill>
              </w:rPr>
              <w:t>装置</w:t>
            </w:r>
            <w:r>
              <w:rPr>
                <w:rFonts w:hint="default" w:ascii="Times New Roman" w:hAnsi="Times New Roman" w:cs="Times New Roman"/>
                <w:color w:val="000000" w:themeColor="text1"/>
                <w:kern w:val="0"/>
                <w:sz w:val="24"/>
                <w:szCs w:val="24"/>
                <w14:textFill>
                  <w14:solidFill>
                    <w14:schemeClr w14:val="tx1"/>
                  </w14:solidFill>
                </w14:textFill>
              </w:rPr>
              <w:t>处理，活性炭吸附有机废气将产生废活性炭</w:t>
            </w:r>
            <w:r>
              <w:rPr>
                <w:rFonts w:hint="default"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根据《2024年重庆市夏秋季</w:t>
            </w:r>
            <w:r>
              <w:rPr>
                <w:rFonts w:hint="eastAsia"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治气</w:t>
            </w:r>
            <w:r>
              <w:rPr>
                <w:rFonts w:hint="eastAsia"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攻坚工作方案》，采用一次性颗粒状活性炭处理VOCs废气，年活性炭使用量宜不应低于VOCs产生量的5倍，即1吨VOCs产生量，需5吨活性炭用于吸附。本项目产生的挥发性有机化合物</w:t>
            </w:r>
            <w:r>
              <w:rPr>
                <w:rFonts w:hint="default" w:ascii="Times New Roman" w:hAnsi="Times New Roman" w:cs="Times New Roman"/>
                <w:color w:val="000000" w:themeColor="text1"/>
                <w:kern w:val="0"/>
                <w:sz w:val="24"/>
                <w:szCs w:val="24"/>
                <w:lang w:val="en-US" w:eastAsia="zh-CN"/>
                <w14:textFill>
                  <w14:solidFill>
                    <w14:schemeClr w14:val="tx1"/>
                  </w14:solidFill>
                </w14:textFill>
              </w:rPr>
              <w:t>收集量为</w:t>
            </w:r>
            <w:r>
              <w:rPr>
                <w:rFonts w:hint="eastAsia" w:ascii="Times New Roman" w:hAnsi="Times New Roman" w:cs="Times New Roman"/>
                <w:color w:val="000000" w:themeColor="text1"/>
                <w:kern w:val="0"/>
                <w:sz w:val="24"/>
                <w:szCs w:val="24"/>
                <w:lang w:val="en-US" w:eastAsia="zh-CN"/>
                <w14:textFill>
                  <w14:solidFill>
                    <w14:schemeClr w14:val="tx1"/>
                  </w14:solidFill>
                </w14:textFill>
              </w:rPr>
              <w:t>2.214t</w:t>
            </w:r>
            <w:r>
              <w:rPr>
                <w:rFonts w:hint="default" w:ascii="Times New Roman" w:hAnsi="Times New Roman" w:cs="Times New Roman"/>
                <w:color w:val="000000" w:themeColor="text1"/>
                <w:kern w:val="0"/>
                <w:sz w:val="24"/>
                <w:szCs w:val="24"/>
                <w14:textFill>
                  <w14:solidFill>
                    <w14:schemeClr w14:val="tx1"/>
                  </w14:solidFill>
                </w14:textFill>
              </w:rPr>
              <w:t>/a，活性炭按照5倍产生量来算，则活性炭使用量为</w:t>
            </w:r>
            <w:r>
              <w:rPr>
                <w:rFonts w:hint="eastAsia" w:ascii="Times New Roman" w:hAnsi="Times New Roman" w:cs="Times New Roman"/>
                <w:color w:val="000000" w:themeColor="text1"/>
                <w:kern w:val="0"/>
                <w:sz w:val="24"/>
                <w:szCs w:val="24"/>
                <w:lang w:val="en-US" w:eastAsia="zh-CN"/>
                <w14:textFill>
                  <w14:solidFill>
                    <w14:schemeClr w14:val="tx1"/>
                  </w14:solidFill>
                </w14:textFill>
              </w:rPr>
              <w:t>11.07</w:t>
            </w:r>
            <w:r>
              <w:rPr>
                <w:rFonts w:hint="default" w:ascii="Times New Roman" w:hAnsi="Times New Roman" w:cs="Times New Roman"/>
                <w:color w:val="000000" w:themeColor="text1"/>
                <w:kern w:val="0"/>
                <w:sz w:val="24"/>
                <w:szCs w:val="24"/>
                <w14:textFill>
                  <w14:solidFill>
                    <w14:schemeClr w14:val="tx1"/>
                  </w14:solidFill>
                </w14:textFill>
              </w:rPr>
              <w:t>t/a，</w:t>
            </w:r>
            <w:r>
              <w:rPr>
                <w:rFonts w:hint="eastAsia" w:ascii="Times New Roman" w:hAnsi="Times New Roman" w:cs="Times New Roman"/>
                <w:color w:val="000000" w:themeColor="text1"/>
                <w:kern w:val="0"/>
                <w:sz w:val="24"/>
                <w:szCs w:val="24"/>
                <w:lang w:val="en-US" w:eastAsia="zh-CN"/>
                <w14:textFill>
                  <w14:solidFill>
                    <w14:schemeClr w14:val="tx1"/>
                  </w14:solidFill>
                </w14:textFill>
              </w:rPr>
              <w:t>废活性炭吸附量为1.66</w:t>
            </w:r>
            <w:r>
              <w:rPr>
                <w:rFonts w:hint="default" w:ascii="Times New Roman" w:hAnsi="Times New Roman" w:cs="Times New Roman"/>
                <w:color w:val="000000" w:themeColor="text1"/>
                <w:kern w:val="0"/>
                <w:sz w:val="24"/>
                <w:szCs w:val="24"/>
                <w14:textFill>
                  <w14:solidFill>
                    <w14:schemeClr w14:val="tx1"/>
                  </w14:solidFill>
                </w14:textFill>
              </w:rPr>
              <w:t>t/a，</w:t>
            </w:r>
            <w:r>
              <w:rPr>
                <w:rFonts w:hint="eastAsia" w:ascii="Times New Roman" w:hAnsi="Times New Roman" w:cs="Times New Roman"/>
                <w:color w:val="000000" w:themeColor="text1"/>
                <w:kern w:val="0"/>
                <w:sz w:val="24"/>
                <w:szCs w:val="24"/>
                <w:lang w:val="en-US" w:eastAsia="zh-CN"/>
                <w14:textFill>
                  <w14:solidFill>
                    <w14:schemeClr w14:val="tx1"/>
                  </w14:solidFill>
                </w14:textFill>
              </w:rPr>
              <w:t>则</w:t>
            </w:r>
            <w:r>
              <w:rPr>
                <w:rFonts w:hint="default" w:ascii="Times New Roman" w:hAnsi="Times New Roman" w:cs="Times New Roman"/>
                <w:color w:val="000000" w:themeColor="text1"/>
                <w:kern w:val="0"/>
                <w:sz w:val="24"/>
                <w:szCs w:val="24"/>
                <w14:textFill>
                  <w14:solidFill>
                    <w14:schemeClr w14:val="tx1"/>
                  </w14:solidFill>
                </w14:textFill>
              </w:rPr>
              <w:t>废活性炭产生量为</w:t>
            </w:r>
            <w:r>
              <w:rPr>
                <w:rFonts w:hint="eastAsia" w:ascii="Times New Roman" w:hAnsi="Times New Roman" w:cs="Times New Roman"/>
                <w:color w:val="000000" w:themeColor="text1"/>
                <w:kern w:val="0"/>
                <w:sz w:val="24"/>
                <w:szCs w:val="24"/>
                <w:lang w:val="en-US" w:eastAsia="zh-CN"/>
                <w14:textFill>
                  <w14:solidFill>
                    <w14:schemeClr w14:val="tx1"/>
                  </w14:solidFill>
                </w14:textFill>
              </w:rPr>
              <w:t>12.73t</w:t>
            </w:r>
            <w:r>
              <w:rPr>
                <w:rFonts w:hint="default" w:ascii="Times New Roman" w:hAnsi="Times New Roman" w:cs="Times New Roman"/>
                <w:color w:val="000000" w:themeColor="text1"/>
                <w:kern w:val="0"/>
                <w:sz w:val="24"/>
                <w:szCs w:val="24"/>
                <w14:textFill>
                  <w14:solidFill>
                    <w14:schemeClr w14:val="tx1"/>
                  </w14:solidFill>
                </w14:textFill>
              </w:rPr>
              <w:t>/a，本项目活性炭处理装置每次活性炭装箱量约</w:t>
            </w:r>
            <w:r>
              <w:rPr>
                <w:rFonts w:hint="eastAsia" w:ascii="Times New Roman" w:hAnsi="Times New Roman" w:cs="Times New Roman"/>
                <w:color w:val="000000" w:themeColor="text1"/>
                <w:kern w:val="0"/>
                <w:sz w:val="24"/>
                <w:szCs w:val="24"/>
                <w:lang w:val="en-US" w:eastAsia="zh-CN"/>
                <w14:textFill>
                  <w14:solidFill>
                    <w14:schemeClr w14:val="tx1"/>
                  </w14:solidFill>
                </w14:textFill>
              </w:rPr>
              <w:t>3.18</w:t>
            </w:r>
            <w:r>
              <w:rPr>
                <w:rFonts w:hint="default" w:ascii="Times New Roman" w:hAnsi="Times New Roman" w:cs="Times New Roman"/>
                <w:color w:val="000000" w:themeColor="text1"/>
                <w:kern w:val="0"/>
                <w:sz w:val="24"/>
                <w:szCs w:val="24"/>
                <w14:textFill>
                  <w14:solidFill>
                    <w14:schemeClr w14:val="tx1"/>
                  </w14:solidFill>
                </w14:textFill>
              </w:rPr>
              <w:t>t，活性炭更换频次不得少于3个月，活性炭碘值不低于800mg/g。本项目营运期应建立活性炭全过程管理台账，应准确、及时填写更换记录并保存；更换的废旧活性炭</w:t>
            </w:r>
            <w:r>
              <w:rPr>
                <w:rFonts w:hint="eastAsia" w:ascii="Times New Roman" w:hAnsi="Times New Roman" w:cs="Times New Roman"/>
                <w:color w:val="000000" w:themeColor="text1"/>
                <w:kern w:val="0"/>
                <w:sz w:val="24"/>
                <w:szCs w:val="24"/>
                <w:lang w:val="en-US" w:eastAsia="zh-CN"/>
                <w14:textFill>
                  <w14:solidFill>
                    <w14:schemeClr w14:val="tx1"/>
                  </w14:solidFill>
                </w14:textFill>
              </w:rPr>
              <w:t>使用专用容器进行收集，</w:t>
            </w:r>
            <w:r>
              <w:rPr>
                <w:rFonts w:hint="default" w:ascii="Times New Roman" w:hAnsi="Times New Roman" w:cs="Times New Roman"/>
                <w:color w:val="000000" w:themeColor="text1"/>
                <w:kern w:val="0"/>
                <w:sz w:val="24"/>
                <w:szCs w:val="24"/>
                <w14:textFill>
                  <w14:solidFill>
                    <w14:schemeClr w14:val="tx1"/>
                  </w14:solidFill>
                </w14:textFill>
              </w:rPr>
              <w:t>收集</w:t>
            </w:r>
            <w:r>
              <w:rPr>
                <w:rFonts w:hint="eastAsia" w:ascii="Times New Roman" w:hAnsi="Times New Roman" w:cs="Times New Roman"/>
                <w:color w:val="000000" w:themeColor="text1"/>
                <w:kern w:val="0"/>
                <w:sz w:val="24"/>
                <w:szCs w:val="24"/>
                <w:lang w:val="en-US" w:eastAsia="zh-CN"/>
                <w14:textFill>
                  <w14:solidFill>
                    <w14:schemeClr w14:val="tx1"/>
                  </w14:solidFill>
                </w14:textFill>
              </w:rPr>
              <w:t>后</w:t>
            </w:r>
            <w:r>
              <w:rPr>
                <w:rFonts w:hint="default" w:ascii="Times New Roman" w:hAnsi="Times New Roman" w:cs="Times New Roman"/>
                <w:color w:val="000000" w:themeColor="text1"/>
                <w:kern w:val="0"/>
                <w:sz w:val="24"/>
                <w:szCs w:val="24"/>
                <w14:textFill>
                  <w14:solidFill>
                    <w14:schemeClr w14:val="tx1"/>
                  </w14:solidFill>
                </w14:textFill>
              </w:rPr>
              <w:t>暂存于</w:t>
            </w:r>
            <w:r>
              <w:rPr>
                <w:rFonts w:hint="eastAsia" w:ascii="Times New Roman" w:hAnsi="Times New Roman" w:cs="Times New Roman"/>
                <w:color w:val="000000" w:themeColor="text1"/>
                <w:kern w:val="0"/>
                <w:sz w:val="24"/>
                <w:szCs w:val="24"/>
                <w:lang w:eastAsia="zh-CN"/>
                <w14:textFill>
                  <w14:solidFill>
                    <w14:schemeClr w14:val="tx1"/>
                  </w14:solidFill>
                </w14:textFill>
              </w:rPr>
              <w:t>危险废物贮存库</w:t>
            </w:r>
            <w:r>
              <w:rPr>
                <w:rFonts w:hint="default" w:ascii="Times New Roman" w:hAnsi="Times New Roman" w:cs="Times New Roman"/>
                <w:color w:val="000000" w:themeColor="text1"/>
                <w:kern w:val="0"/>
                <w:sz w:val="24"/>
                <w:szCs w:val="24"/>
                <w14:textFill>
                  <w14:solidFill>
                    <w14:schemeClr w14:val="tx1"/>
                  </w14:solidFill>
                </w14:textFill>
              </w:rPr>
              <w:t>，</w:t>
            </w:r>
            <w:r>
              <w:rPr>
                <w:rFonts w:hint="eastAsia" w:ascii="Times New Roman" w:hAnsi="Times New Roman" w:cs="Times New Roman"/>
                <w:color w:val="000000" w:themeColor="text1"/>
                <w:kern w:val="0"/>
                <w:sz w:val="24"/>
                <w:szCs w:val="24"/>
                <w:lang w:val="en-US" w:eastAsia="zh-CN"/>
                <w14:textFill>
                  <w14:solidFill>
                    <w14:schemeClr w14:val="tx1"/>
                  </w14:solidFill>
                </w14:textFill>
              </w:rPr>
              <w:t>活性炭产生后通知</w:t>
            </w:r>
            <w:r>
              <w:rPr>
                <w:rFonts w:hint="default" w:ascii="Times New Roman" w:hAnsi="Times New Roman" w:cs="Times New Roman"/>
                <w:color w:val="000000" w:themeColor="text1"/>
                <w:kern w:val="0"/>
                <w:sz w:val="24"/>
                <w:szCs w:val="24"/>
                <w14:textFill>
                  <w14:solidFill>
                    <w14:schemeClr w14:val="tx1"/>
                  </w14:solidFill>
                </w14:textFill>
              </w:rPr>
              <w:t>有资质的单位</w:t>
            </w:r>
            <w:r>
              <w:rPr>
                <w:rFonts w:hint="eastAsia" w:ascii="Times New Roman" w:hAnsi="Times New Roman" w:cs="Times New Roman"/>
                <w:color w:val="000000" w:themeColor="text1"/>
                <w:kern w:val="0"/>
                <w:sz w:val="24"/>
                <w:szCs w:val="24"/>
                <w:lang w:val="en-US" w:eastAsia="zh-CN"/>
                <w14:textFill>
                  <w14:solidFill>
                    <w14:schemeClr w14:val="tx1"/>
                  </w14:solidFill>
                </w14:textFill>
              </w:rPr>
              <w:t>进行</w:t>
            </w:r>
            <w:r>
              <w:rPr>
                <w:rFonts w:hint="default" w:ascii="Times New Roman" w:hAnsi="Times New Roman" w:cs="Times New Roman"/>
                <w:color w:val="000000" w:themeColor="text1"/>
                <w:kern w:val="0"/>
                <w:sz w:val="24"/>
                <w:szCs w:val="24"/>
                <w14:textFill>
                  <w14:solidFill>
                    <w14:schemeClr w14:val="tx1"/>
                  </w14:solidFill>
                </w14:textFill>
              </w:rPr>
              <w:t>处置，在设施运维台账中记录更换时间和使用量。</w:t>
            </w:r>
            <w:r>
              <w:rPr>
                <w:rFonts w:hint="default" w:ascii="Times New Roman" w:hAnsi="Times New Roman" w:cs="Times New Roman"/>
                <w:color w:val="000000" w:themeColor="text1"/>
                <w:kern w:val="0"/>
                <w:sz w:val="24"/>
                <w:szCs w:val="24"/>
                <w:lang w:val="en-US" w:eastAsia="zh-CN"/>
                <w14:textFill>
                  <w14:solidFill>
                    <w14:schemeClr w14:val="tx1"/>
                  </w14:solidFill>
                </w14:textFill>
              </w:rPr>
              <w:t>根据《</w:t>
            </w:r>
            <w:r>
              <w:rPr>
                <w:rFonts w:hint="default" w:ascii="Times New Roman" w:hAnsi="Times New Roman" w:cs="Times New Roman"/>
                <w:color w:val="000000" w:themeColor="text1"/>
                <w:sz w:val="24"/>
                <w:szCs w:val="24"/>
                <w14:textFill>
                  <w14:solidFill>
                    <w14:schemeClr w14:val="tx1"/>
                  </w14:solidFill>
                </w14:textFill>
              </w:rPr>
              <w:t>国家危险废物名录</w:t>
            </w:r>
            <w:r>
              <w:rPr>
                <w:rFonts w:hint="default" w:ascii="Times New Roman" w:hAnsi="Times New Roman" w:cs="Times New Roman"/>
                <w:color w:val="000000" w:themeColor="text1"/>
                <w:kern w:val="0"/>
                <w:sz w:val="24"/>
                <w:szCs w:val="24"/>
                <w:lang w:val="en-US" w:eastAsia="zh-CN"/>
                <w14:textFill>
                  <w14:solidFill>
                    <w14:schemeClr w14:val="tx1"/>
                  </w14:solidFill>
                </w14:textFill>
              </w:rPr>
              <w:t>》（2025年版），</w:t>
            </w:r>
            <w:r>
              <w:rPr>
                <w:rFonts w:hint="default" w:ascii="Times New Roman" w:hAnsi="Times New Roman" w:cs="Times New Roman"/>
                <w:color w:val="000000" w:themeColor="text1"/>
                <w:sz w:val="24"/>
                <w:szCs w:val="24"/>
                <w14:textFill>
                  <w14:solidFill>
                    <w14:schemeClr w14:val="tx1"/>
                  </w14:solidFill>
                </w14:textFill>
              </w:rPr>
              <w:t>废活性炭</w:t>
            </w:r>
            <w:r>
              <w:rPr>
                <w:rFonts w:hint="default" w:ascii="Times New Roman" w:hAnsi="Times New Roman" w:cs="Times New Roman"/>
                <w:color w:val="000000" w:themeColor="text1"/>
                <w:kern w:val="0"/>
                <w:sz w:val="24"/>
                <w:szCs w:val="24"/>
                <w:lang w:val="en-US" w:eastAsia="zh-CN"/>
                <w14:textFill>
                  <w14:solidFill>
                    <w14:schemeClr w14:val="tx1"/>
                  </w14:solidFill>
                </w14:textFill>
              </w:rPr>
              <w:t>属于危险废物，废物代码为</w:t>
            </w:r>
            <w:r>
              <w:rPr>
                <w:rFonts w:hint="default" w:ascii="Times New Roman" w:hAnsi="Times New Roman" w:cs="Times New Roman"/>
                <w:color w:val="000000" w:themeColor="text1"/>
                <w:spacing w:val="-5"/>
                <w:sz w:val="24"/>
                <w:szCs w:val="24"/>
                <w:highlight w:val="none"/>
                <w14:textFill>
                  <w14:solidFill>
                    <w14:schemeClr w14:val="tx1"/>
                  </w14:solidFill>
                </w14:textFill>
              </w:rPr>
              <w:t>HW</w:t>
            </w:r>
            <w:r>
              <w:rPr>
                <w:rFonts w:hint="default" w:ascii="Times New Roman" w:hAnsi="Times New Roman" w:cs="Times New Roman"/>
                <w:color w:val="000000" w:themeColor="text1"/>
                <w:spacing w:val="-5"/>
                <w:sz w:val="24"/>
                <w:szCs w:val="24"/>
                <w:highlight w:val="none"/>
                <w:lang w:val="en-US" w:eastAsia="zh-CN"/>
                <w14:textFill>
                  <w14:solidFill>
                    <w14:schemeClr w14:val="tx1"/>
                  </w14:solidFill>
                </w14:textFill>
              </w:rPr>
              <w:t xml:space="preserve">49 </w:t>
            </w:r>
            <w:r>
              <w:rPr>
                <w:rFonts w:hint="default" w:ascii="Times New Roman" w:hAnsi="Times New Roman" w:cs="Times New Roman"/>
                <w:color w:val="000000" w:themeColor="text1"/>
                <w:spacing w:val="-5"/>
                <w:sz w:val="24"/>
                <w:szCs w:val="24"/>
                <w:highlight w:val="none"/>
                <w14:textFill>
                  <w14:solidFill>
                    <w14:schemeClr w14:val="tx1"/>
                  </w14:solidFill>
                </w14:textFill>
              </w:rPr>
              <w:t>900-039-49</w:t>
            </w:r>
            <w:r>
              <w:rPr>
                <w:rFonts w:hint="default" w:ascii="Times New Roman" w:hAnsi="Times New Roman" w:cs="Times New Roman"/>
                <w:color w:val="000000" w:themeColor="text1"/>
                <w:spacing w:val="-5"/>
                <w:kern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收集后暂存于</w:t>
            </w:r>
            <w:r>
              <w:rPr>
                <w:rFonts w:hint="eastAsia" w:ascii="Times New Roman" w:hAnsi="Times New Roman" w:cs="Times New Roman"/>
                <w:color w:val="000000" w:themeColor="text1"/>
                <w:kern w:val="0"/>
                <w:sz w:val="24"/>
                <w:szCs w:val="24"/>
                <w:lang w:val="en-US" w:eastAsia="zh-CN"/>
                <w14:textFill>
                  <w14:solidFill>
                    <w14:schemeClr w14:val="tx1"/>
                  </w14:solidFill>
                </w14:textFill>
              </w:rPr>
              <w:t>危废贮存库</w:t>
            </w:r>
            <w:r>
              <w:rPr>
                <w:rFonts w:hint="default" w:ascii="Times New Roman" w:hAnsi="Times New Roman" w:cs="Times New Roman"/>
                <w:color w:val="000000" w:themeColor="text1"/>
                <w:kern w:val="0"/>
                <w:sz w:val="24"/>
                <w:szCs w:val="24"/>
                <w:lang w:val="en-US" w:eastAsia="zh-CN"/>
                <w14:textFill>
                  <w14:solidFill>
                    <w14:schemeClr w14:val="tx1"/>
                  </w14:solidFill>
                </w14:textFill>
              </w:rPr>
              <w:t>，交由有资质的单位处置。</w:t>
            </w:r>
          </w:p>
          <w:p w14:paraId="1B18A0BB">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textAlignment w:val="auto"/>
              <w:rPr>
                <w:rFonts w:hint="default" w:ascii="Times New Roman" w:hAnsi="Times New Roman"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废</w:t>
            </w:r>
            <w:r>
              <w:rPr>
                <w:rFonts w:hint="eastAsia" w:ascii="Times New Roman" w:cs="Times New Roman"/>
                <w:b/>
                <w:bCs/>
                <w:color w:val="000000" w:themeColor="text1"/>
                <w:kern w:val="2"/>
                <w:sz w:val="24"/>
                <w:szCs w:val="24"/>
                <w:lang w:val="en-US" w:eastAsia="zh-CN" w:bidi="ar-SA"/>
                <w14:textFill>
                  <w14:solidFill>
                    <w14:schemeClr w14:val="tx1"/>
                  </w14:solidFill>
                </w14:textFill>
              </w:rPr>
              <w:t>高分子过滤棉</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S7：</w:t>
            </w:r>
            <w:r>
              <w:rPr>
                <w:rFonts w:hint="eastAsia" w:ascii="Times New Roman" w:hAnsi="Times New Roman" w:cs="Times New Roman"/>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项目使用</w:t>
            </w:r>
            <w:r>
              <w:rPr>
                <w:rFonts w:hint="eastAsia" w:ascii="Times New Roman" w:cs="Times New Roman"/>
                <w:color w:val="000000" w:themeColor="text1"/>
                <w:kern w:val="0"/>
                <w:sz w:val="24"/>
                <w:szCs w:val="24"/>
                <w:lang w:val="en-US" w:eastAsia="zh-CN" w:bidi="ar-SA"/>
                <w14:textFill>
                  <w14:solidFill>
                    <w14:schemeClr w14:val="tx1"/>
                  </w14:solidFill>
                </w14:textFill>
              </w:rPr>
              <w:t>高分子过滤盒</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对漆雾进行处理，</w:t>
            </w:r>
            <w:r>
              <w:rPr>
                <w:rFonts w:hint="eastAsia" w:ascii="Times New Roman" w:cs="Times New Roman"/>
                <w:color w:val="000000" w:themeColor="text1"/>
                <w:kern w:val="0"/>
                <w:sz w:val="24"/>
                <w:szCs w:val="24"/>
                <w:lang w:val="en-US" w:eastAsia="zh-CN" w:bidi="ar-SA"/>
                <w14:textFill>
                  <w14:solidFill>
                    <w14:schemeClr w14:val="tx1"/>
                  </w14:solidFill>
                </w14:textFill>
              </w:rPr>
              <w:t>内部填充高分子过滤棉，高分子过滤棉</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每</w:t>
            </w:r>
            <w:r>
              <w:rPr>
                <w:rFonts w:hint="eastAsia" w:ascii="Times New Roman" w:cs="Times New Roman"/>
                <w:color w:val="000000" w:themeColor="text1"/>
                <w:kern w:val="0"/>
                <w:sz w:val="24"/>
                <w:szCs w:val="24"/>
                <w:lang w:val="en-US" w:eastAsia="zh-CN" w:bidi="ar-SA"/>
                <w14:textFill>
                  <w14:solidFill>
                    <w14:schemeClr w14:val="tx1"/>
                  </w14:solidFill>
                </w14:textFill>
              </w:rPr>
              <w:t>月</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更换1次，每次更换</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产生量为</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10kg，则废高分子过滤棉年产生量为0.</w:t>
            </w:r>
            <w:r>
              <w:rPr>
                <w:rFonts w:hint="eastAsia" w:ascii="Times New Roman" w:cs="Times New Roman"/>
                <w:color w:val="000000" w:themeColor="text1"/>
                <w:kern w:val="0"/>
                <w:sz w:val="24"/>
                <w:szCs w:val="24"/>
                <w:lang w:val="en-US" w:eastAsia="zh-CN" w:bidi="ar-SA"/>
                <w14:textFill>
                  <w14:solidFill>
                    <w14:schemeClr w14:val="tx1"/>
                  </w14:solidFill>
                </w14:textFill>
              </w:rPr>
              <w:t>12</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t/a。</w:t>
            </w:r>
            <w:r>
              <w:rPr>
                <w:rFonts w:hint="default" w:ascii="Times New Roman" w:hAnsi="Times New Roman" w:cs="Times New Roman"/>
                <w:color w:val="000000" w:themeColor="text1"/>
                <w:kern w:val="0"/>
                <w:sz w:val="24"/>
                <w:szCs w:val="24"/>
                <w:lang w:val="en-US" w:eastAsia="zh-CN"/>
                <w14:textFill>
                  <w14:solidFill>
                    <w14:schemeClr w14:val="tx1"/>
                  </w14:solidFill>
                </w14:textFill>
              </w:rPr>
              <w:t>根据《</w:t>
            </w:r>
            <w:r>
              <w:rPr>
                <w:rFonts w:hint="default" w:ascii="Times New Roman" w:hAnsi="Times New Roman" w:cs="Times New Roman"/>
                <w:color w:val="000000" w:themeColor="text1"/>
                <w:sz w:val="24"/>
                <w:szCs w:val="24"/>
                <w14:textFill>
                  <w14:solidFill>
                    <w14:schemeClr w14:val="tx1"/>
                  </w14:solidFill>
                </w14:textFill>
              </w:rPr>
              <w:t>国家危险废物名录</w:t>
            </w:r>
            <w:r>
              <w:rPr>
                <w:rFonts w:hint="default" w:ascii="Times New Roman" w:hAnsi="Times New Roman" w:cs="Times New Roman"/>
                <w:color w:val="000000" w:themeColor="text1"/>
                <w:kern w:val="0"/>
                <w:sz w:val="24"/>
                <w:szCs w:val="24"/>
                <w:lang w:val="en-US" w:eastAsia="zh-CN"/>
                <w14:textFill>
                  <w14:solidFill>
                    <w14:schemeClr w14:val="tx1"/>
                  </w14:solidFill>
                </w14:textFill>
              </w:rPr>
              <w:t>》（2025年版），</w:t>
            </w:r>
            <w:r>
              <w:rPr>
                <w:rFonts w:hint="default" w:ascii="Times New Roman" w:hAnsi="Times New Roman" w:cs="Times New Roman"/>
                <w:color w:val="000000" w:themeColor="text1"/>
                <w14:textFill>
                  <w14:solidFill>
                    <w14:schemeClr w14:val="tx1"/>
                  </w14:solidFill>
                </w14:textFill>
              </w:rPr>
              <w:t>废</w:t>
            </w:r>
            <w:r>
              <w:rPr>
                <w:rFonts w:hint="eastAsia" w:ascii="Times New Roman" w:cs="Times New Roman"/>
                <w:color w:val="000000" w:themeColor="text1"/>
                <w:lang w:val="en-US" w:eastAsia="zh-CN"/>
                <w14:textFill>
                  <w14:solidFill>
                    <w14:schemeClr w14:val="tx1"/>
                  </w14:solidFill>
                </w14:textFill>
              </w:rPr>
              <w:t>高分子过滤棉</w:t>
            </w:r>
            <w:r>
              <w:rPr>
                <w:rFonts w:hint="default" w:ascii="Times New Roman" w:hAnsi="Times New Roman" w:cs="Times New Roman"/>
                <w:color w:val="000000" w:themeColor="text1"/>
                <w:kern w:val="0"/>
                <w:sz w:val="24"/>
                <w:szCs w:val="24"/>
                <w:lang w:val="en-US" w:eastAsia="zh-CN"/>
                <w14:textFill>
                  <w14:solidFill>
                    <w14:schemeClr w14:val="tx1"/>
                  </w14:solidFill>
                </w14:textFill>
              </w:rPr>
              <w:t>属于危险废物，废物代码为</w:t>
            </w:r>
            <w:r>
              <w:rPr>
                <w:rFonts w:hint="default" w:ascii="Times New Roman" w:hAnsi="Times New Roman" w:cs="Times New Roman"/>
                <w:color w:val="000000" w:themeColor="text1"/>
                <w:spacing w:val="-5"/>
                <w:sz w:val="24"/>
                <w:szCs w:val="24"/>
                <w:highlight w:val="none"/>
                <w14:textFill>
                  <w14:solidFill>
                    <w14:schemeClr w14:val="tx1"/>
                  </w14:solidFill>
                </w14:textFill>
              </w:rPr>
              <w:t>HW</w:t>
            </w:r>
            <w:r>
              <w:rPr>
                <w:rFonts w:hint="default" w:ascii="Times New Roman" w:hAnsi="Times New Roman" w:cs="Times New Roman"/>
                <w:color w:val="000000" w:themeColor="text1"/>
                <w:spacing w:val="-5"/>
                <w:sz w:val="24"/>
                <w:szCs w:val="24"/>
                <w:highlight w:val="none"/>
                <w:lang w:val="en-US" w:eastAsia="zh-CN"/>
                <w14:textFill>
                  <w14:solidFill>
                    <w14:schemeClr w14:val="tx1"/>
                  </w14:solidFill>
                </w14:textFill>
              </w:rPr>
              <w:t xml:space="preserve">49 </w:t>
            </w:r>
            <w:r>
              <w:rPr>
                <w:rFonts w:hint="default" w:ascii="Times New Roman" w:hAnsi="Times New Roman" w:cs="Times New Roman"/>
                <w:color w:val="000000" w:themeColor="text1"/>
                <w:spacing w:val="-5"/>
                <w:sz w:val="24"/>
                <w:szCs w:val="24"/>
                <w:highlight w:val="none"/>
                <w14:textFill>
                  <w14:solidFill>
                    <w14:schemeClr w14:val="tx1"/>
                  </w14:solidFill>
                </w14:textFill>
              </w:rPr>
              <w:t>900-041-49</w:t>
            </w:r>
            <w:r>
              <w:rPr>
                <w:rFonts w:hint="default" w:ascii="Times New Roman" w:hAnsi="Times New Roman" w:cs="Times New Roman"/>
                <w:color w:val="000000" w:themeColor="text1"/>
                <w:spacing w:val="-5"/>
                <w:kern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收集后暂存于</w:t>
            </w:r>
            <w:r>
              <w:rPr>
                <w:rFonts w:hint="eastAsia" w:ascii="Times New Roman" w:hAnsi="Times New Roman" w:cs="Times New Roman"/>
                <w:color w:val="000000" w:themeColor="text1"/>
                <w:kern w:val="0"/>
                <w:sz w:val="24"/>
                <w:szCs w:val="24"/>
                <w:lang w:val="en-US" w:eastAsia="zh-CN"/>
                <w14:textFill>
                  <w14:solidFill>
                    <w14:schemeClr w14:val="tx1"/>
                  </w14:solidFill>
                </w14:textFill>
              </w:rPr>
              <w:t>危废贮存库</w:t>
            </w:r>
            <w:r>
              <w:rPr>
                <w:rFonts w:hint="default" w:ascii="Times New Roman" w:hAnsi="Times New Roman" w:cs="Times New Roman"/>
                <w:color w:val="000000" w:themeColor="text1"/>
                <w:kern w:val="0"/>
                <w:sz w:val="24"/>
                <w:szCs w:val="24"/>
                <w:lang w:val="en-US" w:eastAsia="zh-CN"/>
                <w14:textFill>
                  <w14:solidFill>
                    <w14:schemeClr w14:val="tx1"/>
                  </w14:solidFill>
                </w14:textFill>
              </w:rPr>
              <w:t>，交由有资质的单位处置。</w:t>
            </w:r>
          </w:p>
          <w:p w14:paraId="5C7FD850">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textAlignment w:val="auto"/>
              <w:rPr>
                <w:rFonts w:hint="default" w:ascii="Times New Roman" w:hAnsi="Times New Roman"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含油棉纱、手套S1</w:t>
            </w:r>
            <w:r>
              <w:rPr>
                <w:rFonts w:hint="eastAsia" w:ascii="Times New Roman" w:cs="Times New Roman"/>
                <w:b/>
                <w:bCs/>
                <w:color w:val="000000" w:themeColor="text1"/>
                <w:kern w:val="0"/>
                <w:lang w:val="en-US" w:eastAsia="zh-CN"/>
                <w14:textFill>
                  <w14:solidFill>
                    <w14:schemeClr w14:val="tx1"/>
                  </w14:solidFill>
                </w14:textFill>
              </w:rPr>
              <w:t>3</w:t>
            </w:r>
            <w:r>
              <w:rPr>
                <w:rFonts w:hint="default" w:ascii="Times New Roman" w:hAnsi="Times New Roman" w:cs="Times New Roman"/>
                <w:b/>
                <w:bCs/>
                <w:color w:val="000000" w:themeColor="text1"/>
                <w:kern w:val="0"/>
                <w:sz w:val="24"/>
                <w:szCs w:val="24"/>
                <w:lang w:val="en-US" w:eastAsia="zh-CN" w:bidi="ar-SA"/>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项目机械设备的维护保养过程中会产生废含油棉纱、含油手套，年产生量约为0.</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02</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t/a。</w:t>
            </w:r>
            <w:r>
              <w:rPr>
                <w:rFonts w:hint="default" w:ascii="Times New Roman" w:hAnsi="Times New Roman" w:cs="Times New Roman"/>
                <w:color w:val="000000" w:themeColor="text1"/>
                <w:kern w:val="0"/>
                <w:sz w:val="24"/>
                <w:szCs w:val="24"/>
                <w:lang w:val="en-US" w:eastAsia="zh-CN"/>
                <w14:textFill>
                  <w14:solidFill>
                    <w14:schemeClr w14:val="tx1"/>
                  </w14:solidFill>
                </w14:textFill>
              </w:rPr>
              <w:t>根据《</w:t>
            </w:r>
            <w:r>
              <w:rPr>
                <w:rFonts w:hint="default" w:ascii="Times New Roman" w:hAnsi="Times New Roman" w:cs="Times New Roman"/>
                <w:color w:val="000000" w:themeColor="text1"/>
                <w:sz w:val="24"/>
                <w:szCs w:val="24"/>
                <w14:textFill>
                  <w14:solidFill>
                    <w14:schemeClr w14:val="tx1"/>
                  </w14:solidFill>
                </w14:textFill>
              </w:rPr>
              <w:t>国家危险废物名录</w:t>
            </w:r>
            <w:r>
              <w:rPr>
                <w:rFonts w:hint="default" w:ascii="Times New Roman" w:hAnsi="Times New Roman" w:cs="Times New Roman"/>
                <w:color w:val="000000" w:themeColor="text1"/>
                <w:kern w:val="0"/>
                <w:sz w:val="24"/>
                <w:szCs w:val="24"/>
                <w:lang w:val="en-US" w:eastAsia="zh-CN"/>
                <w14:textFill>
                  <w14:solidFill>
                    <w14:schemeClr w14:val="tx1"/>
                  </w14:solidFill>
                </w14:textFill>
              </w:rPr>
              <w:t>》（2025年版），</w:t>
            </w:r>
            <w:r>
              <w:rPr>
                <w:rFonts w:hint="default" w:ascii="Times New Roman" w:hAnsi="Times New Roman" w:cs="Times New Roman"/>
                <w:color w:val="000000" w:themeColor="text1"/>
                <w14:textFill>
                  <w14:solidFill>
                    <w14:schemeClr w14:val="tx1"/>
                  </w14:solidFill>
                </w14:textFill>
              </w:rPr>
              <w:t>含油棉纱、手套</w:t>
            </w:r>
            <w:r>
              <w:rPr>
                <w:rFonts w:hint="default" w:ascii="Times New Roman" w:hAnsi="Times New Roman" w:cs="Times New Roman"/>
                <w:color w:val="000000" w:themeColor="text1"/>
                <w:kern w:val="0"/>
                <w:sz w:val="24"/>
                <w:szCs w:val="24"/>
                <w:lang w:val="en-US" w:eastAsia="zh-CN"/>
                <w14:textFill>
                  <w14:solidFill>
                    <w14:schemeClr w14:val="tx1"/>
                  </w14:solidFill>
                </w14:textFill>
              </w:rPr>
              <w:t>属于危险废物，废物代码为</w:t>
            </w:r>
            <w:r>
              <w:rPr>
                <w:rFonts w:hint="default" w:ascii="Times New Roman" w:hAnsi="Times New Roman" w:cs="Times New Roman"/>
                <w:color w:val="000000" w:themeColor="text1"/>
                <w:spacing w:val="-5"/>
                <w:sz w:val="24"/>
                <w:szCs w:val="24"/>
                <w:highlight w:val="none"/>
                <w14:textFill>
                  <w14:solidFill>
                    <w14:schemeClr w14:val="tx1"/>
                  </w14:solidFill>
                </w14:textFill>
              </w:rPr>
              <w:t>HW</w:t>
            </w:r>
            <w:r>
              <w:rPr>
                <w:rFonts w:hint="default" w:ascii="Times New Roman" w:hAnsi="Times New Roman" w:cs="Times New Roman"/>
                <w:color w:val="000000" w:themeColor="text1"/>
                <w:spacing w:val="-5"/>
                <w:sz w:val="24"/>
                <w:szCs w:val="24"/>
                <w:highlight w:val="none"/>
                <w:lang w:val="en-US" w:eastAsia="zh-CN"/>
                <w14:textFill>
                  <w14:solidFill>
                    <w14:schemeClr w14:val="tx1"/>
                  </w14:solidFill>
                </w14:textFill>
              </w:rPr>
              <w:t xml:space="preserve">49 </w:t>
            </w:r>
            <w:r>
              <w:rPr>
                <w:rFonts w:hint="default" w:ascii="Times New Roman" w:hAnsi="Times New Roman" w:cs="Times New Roman"/>
                <w:color w:val="000000" w:themeColor="text1"/>
                <w:spacing w:val="-5"/>
                <w:highlight w:val="none"/>
                <w14:textFill>
                  <w14:solidFill>
                    <w14:schemeClr w14:val="tx1"/>
                  </w14:solidFill>
                </w14:textFill>
              </w:rPr>
              <w:t>900-041-49</w:t>
            </w:r>
            <w:r>
              <w:rPr>
                <w:rFonts w:hint="default" w:ascii="Times New Roman" w:hAnsi="Times New Roman" w:cs="Times New Roman"/>
                <w:color w:val="000000" w:themeColor="text1"/>
                <w:spacing w:val="-5"/>
                <w:kern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收集后暂存于</w:t>
            </w:r>
            <w:r>
              <w:rPr>
                <w:rFonts w:hint="eastAsia" w:ascii="Times New Roman" w:hAnsi="Times New Roman" w:cs="Times New Roman"/>
                <w:color w:val="000000" w:themeColor="text1"/>
                <w:kern w:val="0"/>
                <w:sz w:val="24"/>
                <w:szCs w:val="24"/>
                <w:lang w:val="en-US" w:eastAsia="zh-CN"/>
                <w14:textFill>
                  <w14:solidFill>
                    <w14:schemeClr w14:val="tx1"/>
                  </w14:solidFill>
                </w14:textFill>
              </w:rPr>
              <w:t>危废贮存库</w:t>
            </w:r>
            <w:r>
              <w:rPr>
                <w:rFonts w:hint="default" w:ascii="Times New Roman" w:hAnsi="Times New Roman" w:cs="Times New Roman"/>
                <w:color w:val="000000" w:themeColor="text1"/>
                <w:kern w:val="0"/>
                <w:sz w:val="24"/>
                <w:szCs w:val="24"/>
                <w:lang w:val="en-US" w:eastAsia="zh-CN"/>
                <w14:textFill>
                  <w14:solidFill>
                    <w14:schemeClr w14:val="tx1"/>
                  </w14:solidFill>
                </w14:textFill>
              </w:rPr>
              <w:t>，交由有资质的单位处置。</w:t>
            </w:r>
          </w:p>
          <w:p w14:paraId="7D283862">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kern w:val="0"/>
                <w:lang w:val="en-US" w:eastAsia="zh-CN"/>
                <w14:textFill>
                  <w14:solidFill>
                    <w14:schemeClr w14:val="tx1"/>
                  </w14:solidFill>
                </w14:textFill>
              </w:rPr>
              <w:t>废油桶S1</w:t>
            </w:r>
            <w:r>
              <w:rPr>
                <w:rFonts w:hint="eastAsia" w:ascii="Times New Roman" w:cs="Times New Roman"/>
                <w:b/>
                <w:bCs/>
                <w:color w:val="000000" w:themeColor="text1"/>
                <w:kern w:val="0"/>
                <w:lang w:val="en-US" w:eastAsia="zh-CN"/>
                <w14:textFill>
                  <w14:solidFill>
                    <w14:schemeClr w14:val="tx1"/>
                  </w14:solidFill>
                </w14:textFill>
              </w:rPr>
              <w:t>4</w:t>
            </w:r>
            <w:r>
              <w:rPr>
                <w:rFonts w:hint="default" w:ascii="Times New Roman" w:hAnsi="Times New Roman" w:cs="Times New Roman"/>
                <w:b/>
                <w:bCs/>
                <w:color w:val="000000" w:themeColor="text1"/>
                <w:kern w:val="0"/>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项目机械设备的维护保养过程中会产生废油桶，年产生量约为0.</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1</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t/a。</w:t>
            </w:r>
            <w:r>
              <w:rPr>
                <w:rFonts w:hint="default" w:ascii="Times New Roman" w:hAnsi="Times New Roman" w:cs="Times New Roman"/>
                <w:color w:val="000000" w:themeColor="text1"/>
                <w:kern w:val="0"/>
                <w:sz w:val="24"/>
                <w:szCs w:val="24"/>
                <w:lang w:val="en-US" w:eastAsia="zh-CN"/>
                <w14:textFill>
                  <w14:solidFill>
                    <w14:schemeClr w14:val="tx1"/>
                  </w14:solidFill>
                </w14:textFill>
              </w:rPr>
              <w:t>根据《</w:t>
            </w:r>
            <w:r>
              <w:rPr>
                <w:rFonts w:hint="default" w:ascii="Times New Roman" w:hAnsi="Times New Roman" w:cs="Times New Roman"/>
                <w:color w:val="000000" w:themeColor="text1"/>
                <w:sz w:val="24"/>
                <w:szCs w:val="24"/>
                <w14:textFill>
                  <w14:solidFill>
                    <w14:schemeClr w14:val="tx1"/>
                  </w14:solidFill>
                </w14:textFill>
              </w:rPr>
              <w:t>国家危险废物名录</w:t>
            </w:r>
            <w:r>
              <w:rPr>
                <w:rFonts w:hint="default" w:ascii="Times New Roman" w:hAnsi="Times New Roman" w:cs="Times New Roman"/>
                <w:color w:val="000000" w:themeColor="text1"/>
                <w:kern w:val="0"/>
                <w:sz w:val="24"/>
                <w:szCs w:val="24"/>
                <w:lang w:val="en-US" w:eastAsia="zh-CN"/>
                <w14:textFill>
                  <w14:solidFill>
                    <w14:schemeClr w14:val="tx1"/>
                  </w14:solidFill>
                </w14:textFill>
              </w:rPr>
              <w:t>》（2025年版），</w:t>
            </w:r>
            <w:r>
              <w:rPr>
                <w:rFonts w:hint="default" w:ascii="Times New Roman" w:hAnsi="Times New Roman" w:cs="Times New Roman"/>
                <w:color w:val="000000" w:themeColor="text1"/>
                <w14:textFill>
                  <w14:solidFill>
                    <w14:schemeClr w14:val="tx1"/>
                  </w14:solidFill>
                </w14:textFill>
              </w:rPr>
              <w:t>废油桶</w:t>
            </w:r>
            <w:r>
              <w:rPr>
                <w:rFonts w:hint="default" w:ascii="Times New Roman" w:hAnsi="Times New Roman" w:cs="Times New Roman"/>
                <w:color w:val="000000" w:themeColor="text1"/>
                <w:kern w:val="0"/>
                <w:sz w:val="24"/>
                <w:szCs w:val="24"/>
                <w:lang w:val="en-US" w:eastAsia="zh-CN"/>
                <w14:textFill>
                  <w14:solidFill>
                    <w14:schemeClr w14:val="tx1"/>
                  </w14:solidFill>
                </w14:textFill>
              </w:rPr>
              <w:t>属于危险废物，废物代码为</w:t>
            </w:r>
            <w:r>
              <w:rPr>
                <w:rFonts w:hint="default" w:ascii="Times New Roman" w:hAnsi="Times New Roman" w:cs="Times New Roman"/>
                <w:color w:val="000000" w:themeColor="text1"/>
                <w:spacing w:val="-5"/>
                <w:sz w:val="24"/>
                <w:szCs w:val="24"/>
                <w:highlight w:val="none"/>
                <w14:textFill>
                  <w14:solidFill>
                    <w14:schemeClr w14:val="tx1"/>
                  </w14:solidFill>
                </w14:textFill>
              </w:rPr>
              <w:t>HW</w:t>
            </w:r>
            <w:r>
              <w:rPr>
                <w:rFonts w:hint="eastAsia" w:ascii="Times New Roman" w:hAnsi="Times New Roman" w:cs="Times New Roman"/>
                <w:color w:val="000000" w:themeColor="text1"/>
                <w:spacing w:val="-5"/>
                <w:sz w:val="24"/>
                <w:szCs w:val="24"/>
                <w:highlight w:val="none"/>
                <w:lang w:val="en-US" w:eastAsia="zh-CN"/>
                <w14:textFill>
                  <w14:solidFill>
                    <w14:schemeClr w14:val="tx1"/>
                  </w14:solidFill>
                </w14:textFill>
              </w:rPr>
              <w:t>08</w:t>
            </w:r>
            <w:r>
              <w:rPr>
                <w:rFonts w:hint="default" w:ascii="Times New Roman" w:hAnsi="Times New Roman" w:cs="Times New Roman"/>
                <w:color w:val="000000" w:themeColor="text1"/>
                <w:spacing w:val="-5"/>
                <w:sz w:val="24"/>
                <w:szCs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pacing w:val="-5"/>
                <w:highlight w:val="none"/>
                <w14:textFill>
                  <w14:solidFill>
                    <w14:schemeClr w14:val="tx1"/>
                  </w14:solidFill>
                </w14:textFill>
              </w:rPr>
              <w:t>900-249-08</w:t>
            </w:r>
            <w:r>
              <w:rPr>
                <w:rFonts w:hint="default" w:ascii="Times New Roman" w:hAnsi="Times New Roman" w:cs="Times New Roman"/>
                <w:color w:val="000000" w:themeColor="text1"/>
                <w:spacing w:val="-5"/>
                <w:kern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收集后暂存于</w:t>
            </w:r>
            <w:r>
              <w:rPr>
                <w:rFonts w:hint="eastAsia" w:ascii="Times New Roman" w:hAnsi="Times New Roman" w:cs="Times New Roman"/>
                <w:color w:val="000000" w:themeColor="text1"/>
                <w:kern w:val="0"/>
                <w:sz w:val="24"/>
                <w:szCs w:val="24"/>
                <w:lang w:val="en-US" w:eastAsia="zh-CN"/>
                <w14:textFill>
                  <w14:solidFill>
                    <w14:schemeClr w14:val="tx1"/>
                  </w14:solidFill>
                </w14:textFill>
              </w:rPr>
              <w:t>危废贮存库</w:t>
            </w:r>
            <w:r>
              <w:rPr>
                <w:rFonts w:hint="default" w:ascii="Times New Roman" w:hAnsi="Times New Roman" w:cs="Times New Roman"/>
                <w:color w:val="000000" w:themeColor="text1"/>
                <w:kern w:val="0"/>
                <w:sz w:val="24"/>
                <w:szCs w:val="24"/>
                <w:lang w:val="en-US" w:eastAsia="zh-CN"/>
                <w14:textFill>
                  <w14:solidFill>
                    <w14:schemeClr w14:val="tx1"/>
                  </w14:solidFill>
                </w14:textFill>
              </w:rPr>
              <w:t>，交由有资质的单位处置。</w:t>
            </w:r>
          </w:p>
          <w:p w14:paraId="157ED84F">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废机油S1</w:t>
            </w:r>
            <w:r>
              <w:rPr>
                <w:rFonts w:hint="eastAsia" w:ascii="Times New Roman" w:cs="Times New Roman"/>
                <w:b/>
                <w:bCs/>
                <w:color w:val="000000" w:themeColor="text1"/>
                <w:kern w:val="0"/>
                <w:lang w:val="en-US" w:eastAsia="zh-CN"/>
                <w14:textFill>
                  <w14:solidFill>
                    <w14:schemeClr w14:val="tx1"/>
                  </w14:solidFill>
                </w14:textFill>
              </w:rPr>
              <w:t>5</w:t>
            </w:r>
            <w:r>
              <w:rPr>
                <w:rFonts w:hint="eastAsia" w:ascii="Times New Roman" w:hAnsi="Times New Roman" w:cs="Times New Roman"/>
                <w:b/>
                <w:bCs/>
                <w:color w:val="000000" w:themeColor="text1"/>
                <w:kern w:val="0"/>
                <w:lang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项目机械设备的维护保养过程中会产生废机油，年产生量约为0.</w:t>
            </w:r>
            <w:r>
              <w:rPr>
                <w:rFonts w:hint="eastAsia" w:ascii="Times New Roman" w:cs="Times New Roman"/>
                <w:color w:val="000000" w:themeColor="text1"/>
                <w:kern w:val="0"/>
                <w:sz w:val="24"/>
                <w:szCs w:val="24"/>
                <w:lang w:val="en-US" w:eastAsia="zh-CN" w:bidi="ar-SA"/>
                <w14:textFill>
                  <w14:solidFill>
                    <w14:schemeClr w14:val="tx1"/>
                  </w14:solidFill>
                </w14:textFill>
              </w:rPr>
              <w:t>0</w:t>
            </w:r>
            <w:r>
              <w:rPr>
                <w:rFonts w:hint="eastAsia" w:ascii="Times New Roman" w:hAnsi="Times New Roman" w:cs="Times New Roman"/>
                <w:color w:val="000000" w:themeColor="text1"/>
                <w:kern w:val="0"/>
                <w:sz w:val="24"/>
                <w:szCs w:val="24"/>
                <w:lang w:val="en-US" w:eastAsia="zh-CN" w:bidi="ar-SA"/>
                <w14:textFill>
                  <w14:solidFill>
                    <w14:schemeClr w14:val="tx1"/>
                  </w14:solidFill>
                </w14:textFill>
              </w:rPr>
              <w:t>1</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t/a。</w:t>
            </w:r>
            <w:r>
              <w:rPr>
                <w:rFonts w:hint="default" w:ascii="Times New Roman" w:hAnsi="Times New Roman" w:cs="Times New Roman"/>
                <w:color w:val="000000" w:themeColor="text1"/>
                <w:kern w:val="0"/>
                <w:sz w:val="24"/>
                <w:szCs w:val="24"/>
                <w:lang w:val="en-US" w:eastAsia="zh-CN"/>
                <w14:textFill>
                  <w14:solidFill>
                    <w14:schemeClr w14:val="tx1"/>
                  </w14:solidFill>
                </w14:textFill>
              </w:rPr>
              <w:t>根据《</w:t>
            </w:r>
            <w:r>
              <w:rPr>
                <w:rFonts w:hint="default" w:ascii="Times New Roman" w:hAnsi="Times New Roman" w:cs="Times New Roman"/>
                <w:color w:val="000000" w:themeColor="text1"/>
                <w:sz w:val="24"/>
                <w:szCs w:val="24"/>
                <w14:textFill>
                  <w14:solidFill>
                    <w14:schemeClr w14:val="tx1"/>
                  </w14:solidFill>
                </w14:textFill>
              </w:rPr>
              <w:t>国家危险废物名录</w:t>
            </w:r>
            <w:r>
              <w:rPr>
                <w:rFonts w:hint="default" w:ascii="Times New Roman" w:hAnsi="Times New Roman" w:cs="Times New Roman"/>
                <w:color w:val="000000" w:themeColor="text1"/>
                <w:kern w:val="0"/>
                <w:sz w:val="24"/>
                <w:szCs w:val="24"/>
                <w:lang w:val="en-US" w:eastAsia="zh-CN"/>
                <w14:textFill>
                  <w14:solidFill>
                    <w14:schemeClr w14:val="tx1"/>
                  </w14:solidFill>
                </w14:textFill>
              </w:rPr>
              <w:t>》（2025年版），</w:t>
            </w:r>
            <w:r>
              <w:rPr>
                <w:rFonts w:hint="default" w:ascii="Times New Roman" w:hAnsi="Times New Roman" w:cs="Times New Roman"/>
                <w:color w:val="000000" w:themeColor="text1"/>
                <w14:textFill>
                  <w14:solidFill>
                    <w14:schemeClr w14:val="tx1"/>
                  </w14:solidFill>
                </w14:textFill>
              </w:rPr>
              <w:t>废机油</w:t>
            </w:r>
            <w:r>
              <w:rPr>
                <w:rFonts w:hint="default" w:ascii="Times New Roman" w:hAnsi="Times New Roman" w:cs="Times New Roman"/>
                <w:color w:val="000000" w:themeColor="text1"/>
                <w:kern w:val="0"/>
                <w:sz w:val="24"/>
                <w:szCs w:val="24"/>
                <w:lang w:val="en-US" w:eastAsia="zh-CN"/>
                <w14:textFill>
                  <w14:solidFill>
                    <w14:schemeClr w14:val="tx1"/>
                  </w14:solidFill>
                </w14:textFill>
              </w:rPr>
              <w:t>属于危险废物，废物代码为</w:t>
            </w:r>
            <w:r>
              <w:rPr>
                <w:rFonts w:hint="default" w:ascii="Times New Roman" w:hAnsi="Times New Roman" w:cs="Times New Roman"/>
                <w:color w:val="000000" w:themeColor="text1"/>
                <w:spacing w:val="-5"/>
                <w:sz w:val="24"/>
                <w:szCs w:val="24"/>
                <w:highlight w:val="none"/>
                <w14:textFill>
                  <w14:solidFill>
                    <w14:schemeClr w14:val="tx1"/>
                  </w14:solidFill>
                </w14:textFill>
              </w:rPr>
              <w:t>HW</w:t>
            </w:r>
            <w:r>
              <w:rPr>
                <w:rFonts w:hint="eastAsia" w:ascii="Times New Roman" w:cs="Times New Roman"/>
                <w:color w:val="000000" w:themeColor="text1"/>
                <w:spacing w:val="-5"/>
                <w:sz w:val="24"/>
                <w:szCs w:val="24"/>
                <w:highlight w:val="none"/>
                <w:lang w:val="en-US" w:eastAsia="zh-CN"/>
                <w14:textFill>
                  <w14:solidFill>
                    <w14:schemeClr w14:val="tx1"/>
                  </w14:solidFill>
                </w14:textFill>
              </w:rPr>
              <w:t>08</w:t>
            </w:r>
            <w:r>
              <w:rPr>
                <w:rFonts w:hint="default" w:ascii="Times New Roman" w:hAnsi="Times New Roman" w:cs="Times New Roman"/>
                <w:color w:val="000000" w:themeColor="text1"/>
                <w:spacing w:val="-5"/>
                <w:sz w:val="24"/>
                <w:szCs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pacing w:val="-5"/>
                <w:highlight w:val="none"/>
                <w14:textFill>
                  <w14:solidFill>
                    <w14:schemeClr w14:val="tx1"/>
                  </w14:solidFill>
                </w14:textFill>
              </w:rPr>
              <w:t>900-249-08</w:t>
            </w:r>
            <w:r>
              <w:rPr>
                <w:rFonts w:hint="default" w:ascii="Times New Roman" w:hAnsi="Times New Roman" w:cs="Times New Roman"/>
                <w:color w:val="000000" w:themeColor="text1"/>
                <w:spacing w:val="-5"/>
                <w:kern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收集后暂存于</w:t>
            </w:r>
            <w:r>
              <w:rPr>
                <w:rFonts w:hint="eastAsia" w:ascii="Times New Roman" w:cs="Times New Roman"/>
                <w:color w:val="000000" w:themeColor="text1"/>
                <w:kern w:val="0"/>
                <w:sz w:val="24"/>
                <w:szCs w:val="24"/>
                <w:lang w:val="en-US" w:eastAsia="zh-CN"/>
                <w14:textFill>
                  <w14:solidFill>
                    <w14:schemeClr w14:val="tx1"/>
                  </w14:solidFill>
                </w14:textFill>
              </w:rPr>
              <w:t>危废贮存库</w:t>
            </w:r>
            <w:r>
              <w:rPr>
                <w:rFonts w:hint="default" w:ascii="Times New Roman" w:hAnsi="Times New Roman" w:cs="Times New Roman"/>
                <w:color w:val="000000" w:themeColor="text1"/>
                <w:kern w:val="0"/>
                <w:sz w:val="24"/>
                <w:szCs w:val="24"/>
                <w:lang w:val="en-US" w:eastAsia="zh-CN"/>
                <w14:textFill>
                  <w14:solidFill>
                    <w14:schemeClr w14:val="tx1"/>
                  </w14:solidFill>
                </w14:textFill>
              </w:rPr>
              <w:t>，交由有资质的单位处置。</w:t>
            </w:r>
          </w:p>
          <w:p w14:paraId="666FACF8">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textAlignment w:val="auto"/>
              <w:rPr>
                <w:rFonts w:hint="default" w:ascii="Times New Roman" w:hAnsi="Times New Roman" w:cs="Times New Roman"/>
                <w:color w:val="000000" w:themeColor="text1"/>
                <w:kern w:val="0"/>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SA"/>
                <w14:textFill>
                  <w14:solidFill>
                    <w14:schemeClr w14:val="tx1"/>
                  </w14:solidFill>
                </w14:textFill>
              </w:rPr>
              <w:t>空压机含油冷凝废液S1</w:t>
            </w:r>
            <w:r>
              <w:rPr>
                <w:rFonts w:hint="eastAsia" w:ascii="Times New Roman" w:cs="Times New Roman"/>
                <w:b/>
                <w:bCs/>
                <w:color w:val="000000" w:themeColor="text1"/>
                <w:kern w:val="0"/>
                <w:sz w:val="24"/>
                <w:szCs w:val="24"/>
                <w:lang w:val="en-US" w:eastAsia="zh-CN" w:bidi="ar-SA"/>
                <w14:textFill>
                  <w14:solidFill>
                    <w14:schemeClr w14:val="tx1"/>
                  </w14:solidFill>
                </w14:textFill>
              </w:rPr>
              <w:t>6：</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空压机会产生含油冷凝废液</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。据业主提供资料，产生量约为0.0</w:t>
            </w:r>
            <w:r>
              <w:rPr>
                <w:rFonts w:hint="eastAsia" w:ascii="Times New Roman" w:cs="Times New Roman"/>
                <w:color w:val="000000" w:themeColor="text1"/>
                <w:kern w:val="0"/>
                <w:sz w:val="24"/>
                <w:szCs w:val="24"/>
                <w:lang w:val="en-US" w:eastAsia="zh-CN" w:bidi="ar-SA"/>
                <w14:textFill>
                  <w14:solidFill>
                    <w14:schemeClr w14:val="tx1"/>
                  </w14:solidFill>
                </w14:textFill>
              </w:rPr>
              <w:t>5</w:t>
            </w:r>
            <w:r>
              <w:rPr>
                <w:rFonts w:hint="default" w:ascii="Times New Roman" w:hAnsi="Times New Roman" w:cs="Times New Roman"/>
                <w:color w:val="000000" w:themeColor="text1"/>
                <w:kern w:val="0"/>
                <w:sz w:val="24"/>
                <w:szCs w:val="24"/>
                <w:lang w:val="en-US" w:eastAsia="zh-CN" w:bidi="ar-SA"/>
                <w14:textFill>
                  <w14:solidFill>
                    <w14:schemeClr w14:val="tx1"/>
                  </w14:solidFill>
                </w14:textFill>
              </w:rPr>
              <w:t>t/a。</w:t>
            </w:r>
            <w:r>
              <w:rPr>
                <w:rFonts w:hint="default" w:ascii="Times New Roman" w:hAnsi="Times New Roman" w:cs="Times New Roman"/>
                <w:color w:val="000000" w:themeColor="text1"/>
                <w:kern w:val="0"/>
                <w:sz w:val="24"/>
                <w:szCs w:val="24"/>
                <w:lang w:val="en-US" w:eastAsia="zh-CN"/>
                <w14:textFill>
                  <w14:solidFill>
                    <w14:schemeClr w14:val="tx1"/>
                  </w14:solidFill>
                </w14:textFill>
              </w:rPr>
              <w:t>根据《</w:t>
            </w:r>
            <w:r>
              <w:rPr>
                <w:rFonts w:hint="default" w:ascii="Times New Roman" w:hAnsi="Times New Roman" w:cs="Times New Roman"/>
                <w:color w:val="000000" w:themeColor="text1"/>
                <w:sz w:val="24"/>
                <w:szCs w:val="24"/>
                <w14:textFill>
                  <w14:solidFill>
                    <w14:schemeClr w14:val="tx1"/>
                  </w14:solidFill>
                </w14:textFill>
              </w:rPr>
              <w:t>国家危险废物名录</w:t>
            </w:r>
            <w:r>
              <w:rPr>
                <w:rFonts w:hint="default" w:ascii="Times New Roman" w:hAnsi="Times New Roman" w:cs="Times New Roman"/>
                <w:color w:val="000000" w:themeColor="text1"/>
                <w:kern w:val="0"/>
                <w:sz w:val="24"/>
                <w:szCs w:val="24"/>
                <w:lang w:val="en-US" w:eastAsia="zh-CN"/>
                <w14:textFill>
                  <w14:solidFill>
                    <w14:schemeClr w14:val="tx1"/>
                  </w14:solidFill>
                </w14:textFill>
              </w:rPr>
              <w:t>》（2025年版），</w:t>
            </w:r>
            <w:r>
              <w:rPr>
                <w:rFonts w:hint="default" w:ascii="Times New Roman" w:hAnsi="Times New Roman" w:cs="Times New Roman"/>
                <w:color w:val="000000" w:themeColor="text1"/>
                <w14:textFill>
                  <w14:solidFill>
                    <w14:schemeClr w14:val="tx1"/>
                  </w14:solidFill>
                </w14:textFill>
              </w:rPr>
              <w:t>空压机含油冷凝废液</w:t>
            </w:r>
            <w:r>
              <w:rPr>
                <w:rFonts w:hint="default" w:ascii="Times New Roman" w:hAnsi="Times New Roman" w:cs="Times New Roman"/>
                <w:color w:val="000000" w:themeColor="text1"/>
                <w:kern w:val="0"/>
                <w:sz w:val="24"/>
                <w:szCs w:val="24"/>
                <w:lang w:val="en-US" w:eastAsia="zh-CN"/>
                <w14:textFill>
                  <w14:solidFill>
                    <w14:schemeClr w14:val="tx1"/>
                  </w14:solidFill>
                </w14:textFill>
              </w:rPr>
              <w:t>属于危险废物，废物代码为</w:t>
            </w:r>
            <w:r>
              <w:rPr>
                <w:rFonts w:hint="default" w:ascii="Times New Roman" w:hAnsi="Times New Roman" w:cs="Times New Roman"/>
                <w:color w:val="000000" w:themeColor="text1"/>
                <w:spacing w:val="-5"/>
                <w:sz w:val="24"/>
                <w:szCs w:val="24"/>
                <w:highlight w:val="none"/>
                <w14:textFill>
                  <w14:solidFill>
                    <w14:schemeClr w14:val="tx1"/>
                  </w14:solidFill>
                </w14:textFill>
              </w:rPr>
              <w:t>HW</w:t>
            </w:r>
            <w:r>
              <w:rPr>
                <w:rFonts w:hint="eastAsia" w:ascii="Times New Roman" w:cs="Times New Roman"/>
                <w:color w:val="000000" w:themeColor="text1"/>
                <w:spacing w:val="-5"/>
                <w:sz w:val="24"/>
                <w:szCs w:val="24"/>
                <w:highlight w:val="none"/>
                <w:lang w:val="en-US" w:eastAsia="zh-CN"/>
                <w14:textFill>
                  <w14:solidFill>
                    <w14:schemeClr w14:val="tx1"/>
                  </w14:solidFill>
                </w14:textFill>
              </w:rPr>
              <w:t>09</w:t>
            </w:r>
            <w:r>
              <w:rPr>
                <w:rFonts w:hint="default" w:ascii="Times New Roman" w:hAnsi="Times New Roman" w:cs="Times New Roman"/>
                <w:color w:val="000000" w:themeColor="text1"/>
                <w:spacing w:val="-5"/>
                <w:sz w:val="24"/>
                <w:szCs w:val="24"/>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pacing w:val="-5"/>
                <w:highlight w:val="none"/>
                <w14:textFill>
                  <w14:solidFill>
                    <w14:schemeClr w14:val="tx1"/>
                  </w14:solidFill>
                </w14:textFill>
              </w:rPr>
              <w:t>900-007-09</w:t>
            </w:r>
            <w:r>
              <w:rPr>
                <w:rFonts w:hint="default" w:ascii="Times New Roman" w:hAnsi="Times New Roman" w:cs="Times New Roman"/>
                <w:color w:val="000000" w:themeColor="text1"/>
                <w:spacing w:val="-5"/>
                <w:kern w:val="0"/>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收集后暂存于</w:t>
            </w:r>
            <w:r>
              <w:rPr>
                <w:rFonts w:hint="eastAsia" w:ascii="Times New Roman" w:cs="Times New Roman"/>
                <w:color w:val="000000" w:themeColor="text1"/>
                <w:kern w:val="0"/>
                <w:sz w:val="24"/>
                <w:szCs w:val="24"/>
                <w:lang w:val="en-US" w:eastAsia="zh-CN"/>
                <w14:textFill>
                  <w14:solidFill>
                    <w14:schemeClr w14:val="tx1"/>
                  </w14:solidFill>
                </w14:textFill>
              </w:rPr>
              <w:t>危废贮存库</w:t>
            </w:r>
            <w:r>
              <w:rPr>
                <w:rFonts w:hint="default" w:ascii="Times New Roman" w:hAnsi="Times New Roman" w:cs="Times New Roman"/>
                <w:color w:val="000000" w:themeColor="text1"/>
                <w:kern w:val="0"/>
                <w:sz w:val="24"/>
                <w:szCs w:val="24"/>
                <w:lang w:val="en-US" w:eastAsia="zh-CN"/>
                <w14:textFill>
                  <w14:solidFill>
                    <w14:schemeClr w14:val="tx1"/>
                  </w14:solidFill>
                </w14:textFill>
              </w:rPr>
              <w:t>，交由有资质的单位处置。</w:t>
            </w:r>
          </w:p>
          <w:p w14:paraId="3E0C5CE3">
            <w:pPr>
              <w:pStyle w:val="19"/>
              <w:keepNext w:val="0"/>
              <w:keepLines w:val="0"/>
              <w:suppressLineNumbers w:val="0"/>
              <w:spacing w:before="0" w:beforeAutospacing="0" w:after="0" w:afterAutospacing="0" w:line="360" w:lineRule="auto"/>
              <w:ind w:left="0" w:right="0" w:firstLine="514" w:firstLineChars="200"/>
              <w:jc w:val="both"/>
              <w:outlineLvl w:val="0"/>
              <w:rPr>
                <w:rFonts w:hint="default" w:ascii="Times New Roman" w:hAnsi="Times New Roman" w:cs="Times New Roman"/>
                <w:b/>
                <w:bCs/>
                <w:color w:val="000000" w:themeColor="text1"/>
                <w:spacing w:val="8"/>
                <w:sz w:val="24"/>
                <w:szCs w:val="24"/>
                <w:lang w:val="en-US" w:eastAsia="zh-CN"/>
                <w14:textFill>
                  <w14:solidFill>
                    <w14:schemeClr w14:val="tx1"/>
                  </w14:solidFill>
                </w14:textFill>
              </w:rPr>
            </w:pPr>
            <w:r>
              <w:rPr>
                <w:rFonts w:hint="default" w:ascii="Times New Roman" w:hAnsi="Times New Roman" w:cs="Times New Roman"/>
                <w:b/>
                <w:bCs/>
                <w:color w:val="000000" w:themeColor="text1"/>
                <w:spacing w:val="8"/>
                <w:sz w:val="24"/>
                <w:szCs w:val="24"/>
                <w:lang w:val="en-US" w:eastAsia="zh-CN"/>
                <w14:textFill>
                  <w14:solidFill>
                    <w14:schemeClr w14:val="tx1"/>
                  </w14:solidFill>
                </w14:textFill>
              </w:rPr>
              <w:t>④水性漆喷涂固废</w:t>
            </w:r>
          </w:p>
          <w:p w14:paraId="05EDA799">
            <w:pPr>
              <w:keepNext w:val="0"/>
              <w:keepLines w:val="0"/>
              <w:pageBreakBefore w:val="0"/>
              <w:widowControl w:val="0"/>
              <w:suppressLineNumbers w:val="0"/>
              <w:shd w:val="clear" w:color="auto" w:fill="auto"/>
              <w:kinsoku/>
              <w:wordWrap/>
              <w:overflowPunct/>
              <w:topLinePunct w:val="0"/>
              <w:bidi w:val="0"/>
              <w:adjustRightInd w:val="0"/>
              <w:snapToGrid w:val="0"/>
              <w:spacing w:before="0" w:beforeAutospacing="0" w:after="0" w:afterAutospacing="0" w:line="360" w:lineRule="auto"/>
              <w:ind w:left="0" w:right="0" w:firstLine="480" w:firstLineChars="200"/>
              <w:textAlignment w:val="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根据《国家危险废物名录》（2025年版）的水性漆未列入危险废物名录，建设单位需鉴别，鉴别之前根据当地环保要求按危废废物管理，贮存在</w:t>
            </w:r>
            <w:r>
              <w:rPr>
                <w:rFonts w:hint="eastAsia"/>
                <w:color w:val="000000" w:themeColor="text1"/>
                <w:sz w:val="24"/>
                <w:lang w:val="en-US" w:eastAsia="zh-CN"/>
                <w14:textFill>
                  <w14:solidFill>
                    <w14:schemeClr w14:val="tx1"/>
                  </w14:solidFill>
                </w14:textFill>
              </w:rPr>
              <w:t>危废贮存库</w:t>
            </w:r>
            <w:r>
              <w:rPr>
                <w:rFonts w:hint="eastAsia"/>
                <w:color w:val="000000" w:themeColor="text1"/>
                <w:sz w:val="24"/>
                <w14:textFill>
                  <w14:solidFill>
                    <w14:schemeClr w14:val="tx1"/>
                  </w14:solidFill>
                </w14:textFill>
              </w:rPr>
              <w:t>，定期交</w:t>
            </w:r>
            <w:r>
              <w:rPr>
                <w:rFonts w:hint="eastAsia"/>
                <w:color w:val="000000" w:themeColor="text1"/>
                <w:sz w:val="24"/>
                <w:lang w:val="en-US" w:eastAsia="zh-CN"/>
                <w14:textFill>
                  <w14:solidFill>
                    <w14:schemeClr w14:val="tx1"/>
                  </w14:solidFill>
                </w14:textFill>
              </w:rPr>
              <w:t>有资质的单位</w:t>
            </w:r>
            <w:r>
              <w:rPr>
                <w:rFonts w:hint="eastAsia"/>
                <w:color w:val="000000" w:themeColor="text1"/>
                <w:sz w:val="24"/>
                <w14:textFill>
                  <w14:solidFill>
                    <w14:schemeClr w14:val="tx1"/>
                  </w14:solidFill>
                </w14:textFill>
              </w:rPr>
              <w:t>处理。</w:t>
            </w:r>
          </w:p>
          <w:p w14:paraId="2A0768FA">
            <w:pPr>
              <w:keepNext w:val="0"/>
              <w:keepLines w:val="0"/>
              <w:pageBreakBefore w:val="0"/>
              <w:widowControl w:val="0"/>
              <w:suppressLineNumbers w:val="0"/>
              <w:shd w:val="clear" w:color="auto" w:fill="auto"/>
              <w:kinsoku/>
              <w:wordWrap/>
              <w:overflowPunct/>
              <w:topLinePunct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废水性漆S2：</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根据业主提供资料，废漆产生量约为0.1t/a。</w:t>
            </w:r>
          </w:p>
          <w:p w14:paraId="5E96075D">
            <w:pPr>
              <w:keepNext w:val="0"/>
              <w:keepLines w:val="0"/>
              <w:pageBreakBefore w:val="0"/>
              <w:widowControl w:val="0"/>
              <w:suppressLineNumbers w:val="0"/>
              <w:shd w:val="clear" w:color="auto" w:fill="auto"/>
              <w:kinsoku/>
              <w:wordWrap/>
              <w:overflowPunct/>
              <w:topLinePunct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废水性漆桶S3：</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本项目水性漆均为桶装，单个空桶按0.3kg计，共计约</w:t>
            </w:r>
            <w:r>
              <w:rPr>
                <w:rFonts w:hint="eastAsia" w:cs="Times New Roman"/>
                <w:b w:val="0"/>
                <w:bCs w:val="0"/>
                <w:color w:val="000000" w:themeColor="text1"/>
                <w:sz w:val="24"/>
                <w:szCs w:val="24"/>
                <w:lang w:val="en-US" w:eastAsia="zh-CN"/>
                <w14:textFill>
                  <w14:solidFill>
                    <w14:schemeClr w14:val="tx1"/>
                  </w14:solidFill>
                </w14:textFill>
              </w:rPr>
              <w:t>980</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个（全年水性漆消耗量共计</w:t>
            </w:r>
            <w:r>
              <w:rPr>
                <w:rFonts w:hint="eastAsia" w:cs="Times New Roman"/>
                <w:b w:val="0"/>
                <w:bCs w:val="0"/>
                <w:color w:val="000000" w:themeColor="text1"/>
                <w:sz w:val="24"/>
                <w:szCs w:val="24"/>
                <w:lang w:val="en-US" w:eastAsia="zh-CN"/>
                <w14:textFill>
                  <w14:solidFill>
                    <w14:schemeClr w14:val="tx1"/>
                  </w14:solidFill>
                </w14:textFill>
              </w:rPr>
              <w:t>24.48</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t，每桶25kg），则产生的废水性漆桶约0.2</w:t>
            </w:r>
            <w:r>
              <w:rPr>
                <w:rFonts w:hint="eastAsia" w:cs="Times New Roman"/>
                <w:b w:val="0"/>
                <w:bCs w:val="0"/>
                <w:color w:val="000000" w:themeColor="text1"/>
                <w:sz w:val="24"/>
                <w:szCs w:val="24"/>
                <w:lang w:val="en-US" w:eastAsia="zh-CN"/>
                <w14:textFill>
                  <w14:solidFill>
                    <w14:schemeClr w14:val="tx1"/>
                  </w14:solidFill>
                </w14:textFill>
              </w:rPr>
              <w:t>9</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4t/a。</w:t>
            </w:r>
          </w:p>
          <w:p w14:paraId="7AD739C5">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textAlignment w:val="auto"/>
              <w:rPr>
                <w:rFonts w:hint="default" w:ascii="Times New Roman" w:hAnsi="Times New Roman" w:cs="Times New Roman"/>
                <w:b w:val="0"/>
                <w:bCs w:val="0"/>
                <w:color w:val="000000" w:themeColor="text1"/>
                <w:kern w:val="0"/>
                <w:lang w:val="en-US" w:eastAsia="zh-CN"/>
                <w14:textFill>
                  <w14:solidFill>
                    <w14:schemeClr w14:val="tx1"/>
                  </w14:solidFill>
                </w14:textFill>
              </w:rPr>
            </w:pPr>
            <w:r>
              <w:rPr>
                <w:rFonts w:hint="default" w:ascii="Times New Roman" w:hAnsi="Times New Roman" w:cs="Times New Roman"/>
                <w:b/>
                <w:bCs/>
                <w:color w:val="000000" w:themeColor="text1"/>
                <w:kern w:val="0"/>
                <w14:textFill>
                  <w14:solidFill>
                    <w14:schemeClr w14:val="tx1"/>
                  </w14:solidFill>
                </w14:textFill>
              </w:rPr>
              <w:t>水性漆渣S4</w:t>
            </w:r>
            <w:r>
              <w:rPr>
                <w:rFonts w:hint="default" w:ascii="Times New Roman" w:hAnsi="Times New Roman" w:cs="Times New Roman"/>
                <w:b/>
                <w:bCs/>
                <w:color w:val="000000" w:themeColor="text1"/>
                <w:kern w:val="0"/>
                <w:lang w:val="en-US" w:eastAsia="zh-CN"/>
                <w14:textFill>
                  <w14:solidFill>
                    <w14:schemeClr w14:val="tx1"/>
                  </w14:solidFill>
                </w14:textFill>
              </w:rPr>
              <w:t>：</w:t>
            </w:r>
            <w:r>
              <w:rPr>
                <w:rFonts w:hint="default" w:ascii="Times New Roman" w:hAnsi="Times New Roman" w:cs="Times New Roman"/>
                <w:b w:val="0"/>
                <w:bCs w:val="0"/>
                <w:color w:val="000000" w:themeColor="text1"/>
                <w:kern w:val="0"/>
                <w:lang w:val="en-US" w:eastAsia="zh-CN"/>
                <w14:textFill>
                  <w14:solidFill>
                    <w14:schemeClr w14:val="tx1"/>
                  </w14:solidFill>
                </w14:textFill>
              </w:rPr>
              <w:t>项目喷漆</w:t>
            </w:r>
            <w:r>
              <w:rPr>
                <w:rFonts w:hint="eastAsia" w:ascii="Times New Roman" w:cs="Times New Roman"/>
                <w:b w:val="0"/>
                <w:bCs w:val="0"/>
                <w:color w:val="000000" w:themeColor="text1"/>
                <w:kern w:val="0"/>
                <w:lang w:val="en-US" w:eastAsia="zh-CN"/>
                <w14:textFill>
                  <w14:solidFill>
                    <w14:schemeClr w14:val="tx1"/>
                  </w14:solidFill>
                </w14:textFill>
              </w:rPr>
              <w:t>水帘柜</w:t>
            </w:r>
            <w:r>
              <w:rPr>
                <w:rFonts w:hint="default" w:ascii="Times New Roman" w:hAnsi="Times New Roman" w:cs="Times New Roman"/>
                <w:b w:val="0"/>
                <w:bCs w:val="0"/>
                <w:color w:val="000000" w:themeColor="text1"/>
                <w:kern w:val="0"/>
                <w:lang w:val="en-US" w:eastAsia="zh-CN"/>
                <w14:textFill>
                  <w14:solidFill>
                    <w14:schemeClr w14:val="tx1"/>
                  </w14:solidFill>
                </w14:textFill>
              </w:rPr>
              <w:t>、</w:t>
            </w:r>
            <w:r>
              <w:rPr>
                <w:rFonts w:hint="eastAsia" w:ascii="Times New Roman" w:cs="Times New Roman"/>
                <w:b w:val="0"/>
                <w:bCs w:val="0"/>
                <w:color w:val="000000" w:themeColor="text1"/>
                <w:kern w:val="0"/>
                <w:lang w:val="en-US" w:eastAsia="zh-CN"/>
                <w14:textFill>
                  <w14:solidFill>
                    <w14:schemeClr w14:val="tx1"/>
                  </w14:solidFill>
                </w14:textFill>
              </w:rPr>
              <w:t>一体化生产废水处理站</w:t>
            </w:r>
            <w:r>
              <w:rPr>
                <w:rFonts w:hint="default" w:ascii="Times New Roman" w:hAnsi="Times New Roman" w:cs="Times New Roman"/>
                <w:b w:val="0"/>
                <w:bCs w:val="0"/>
                <w:color w:val="000000" w:themeColor="text1"/>
                <w:kern w:val="0"/>
                <w:lang w:val="en-US" w:eastAsia="zh-CN"/>
                <w14:textFill>
                  <w14:solidFill>
                    <w14:schemeClr w14:val="tx1"/>
                  </w14:solidFill>
                </w14:textFill>
              </w:rPr>
              <w:t>会产生废漆渣，产生量约为</w:t>
            </w:r>
            <w:r>
              <w:rPr>
                <w:rFonts w:hint="eastAsia" w:ascii="Times New Roman" w:cs="Times New Roman"/>
                <w:b w:val="0"/>
                <w:bCs w:val="0"/>
                <w:color w:val="000000" w:themeColor="text1"/>
                <w:kern w:val="0"/>
                <w:lang w:val="en-US" w:eastAsia="zh-CN"/>
                <w14:textFill>
                  <w14:solidFill>
                    <w14:schemeClr w14:val="tx1"/>
                  </w14:solidFill>
                </w14:textFill>
              </w:rPr>
              <w:t>5.29</w:t>
            </w:r>
            <w:r>
              <w:rPr>
                <w:rFonts w:hint="default" w:ascii="Times New Roman" w:hAnsi="Times New Roman" w:cs="Times New Roman"/>
                <w:b w:val="0"/>
                <w:bCs w:val="0"/>
                <w:color w:val="000000" w:themeColor="text1"/>
                <w:kern w:val="0"/>
                <w:lang w:val="en-US" w:eastAsia="zh-CN"/>
                <w14:textFill>
                  <w14:solidFill>
                    <w14:schemeClr w14:val="tx1"/>
                  </w14:solidFill>
                </w14:textFill>
              </w:rPr>
              <w:t>t/a。</w:t>
            </w:r>
          </w:p>
          <w:p w14:paraId="2D86E176">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2" w:firstLineChars="200"/>
              <w:textAlignment w:val="auto"/>
              <w:rPr>
                <w:rFonts w:hint="default" w:ascii="Times New Roman" w:hAnsi="Times New Roman" w:cs="Times New Roman"/>
                <w:b w:val="0"/>
                <w:bCs w:val="0"/>
                <w:color w:val="000000" w:themeColor="text1"/>
                <w:spacing w:val="8"/>
                <w:sz w:val="24"/>
                <w:szCs w:val="24"/>
                <w14:textFill>
                  <w14:solidFill>
                    <w14:schemeClr w14:val="tx1"/>
                  </w14:solidFill>
                </w14:textFill>
              </w:rPr>
            </w:pPr>
            <w:r>
              <w:rPr>
                <w:rFonts w:hint="default" w:ascii="Times New Roman" w:hAnsi="Times New Roman" w:cs="Times New Roman"/>
                <w:b/>
                <w:bCs/>
                <w:color w:val="000000" w:themeColor="text1"/>
                <w:kern w:val="0"/>
                <w:lang w:val="en-US" w:eastAsia="zh-CN"/>
                <w14:textFill>
                  <w14:solidFill>
                    <w14:schemeClr w14:val="tx1"/>
                  </w14:solidFill>
                </w14:textFill>
              </w:rPr>
              <w:t>废遮蔽纸S9：</w:t>
            </w:r>
            <w:r>
              <w:rPr>
                <w:rFonts w:hint="default" w:ascii="Times New Roman" w:hAnsi="Times New Roman" w:cs="Times New Roman"/>
                <w:b w:val="0"/>
                <w:bCs w:val="0"/>
                <w:color w:val="000000" w:themeColor="text1"/>
                <w:kern w:val="0"/>
                <w:lang w:val="en-US" w:eastAsia="zh-CN"/>
                <w14:textFill>
                  <w14:solidFill>
                    <w14:schemeClr w14:val="tx1"/>
                  </w14:solidFill>
                </w14:textFill>
              </w:rPr>
              <w:t>项目灯壳工件在喷面漆前均需进行遮蔽处理，在涂装完成后需撕下工件上的遮蔽纸，此过程将会产生废遮蔽纸，产生量约为0.5t/a，集中收集后贮存于厂区</w:t>
            </w:r>
            <w:r>
              <w:rPr>
                <w:rFonts w:hint="eastAsia" w:ascii="Times New Roman" w:hAnsi="Times New Roman" w:cs="Times New Roman"/>
                <w:b w:val="0"/>
                <w:bCs w:val="0"/>
                <w:color w:val="000000" w:themeColor="text1"/>
                <w:kern w:val="0"/>
                <w:lang w:val="en-US" w:eastAsia="zh-CN"/>
                <w14:textFill>
                  <w14:solidFill>
                    <w14:schemeClr w14:val="tx1"/>
                  </w14:solidFill>
                </w14:textFill>
              </w:rPr>
              <w:t>危废贮存库</w:t>
            </w:r>
            <w:r>
              <w:rPr>
                <w:rFonts w:hint="default" w:ascii="Times New Roman" w:hAnsi="Times New Roman" w:cs="Times New Roman"/>
                <w:b w:val="0"/>
                <w:bCs w:val="0"/>
                <w:color w:val="000000" w:themeColor="text1"/>
                <w:kern w:val="0"/>
                <w:lang w:val="en-US" w:eastAsia="zh-CN"/>
                <w14:textFill>
                  <w14:solidFill>
                    <w14:schemeClr w14:val="tx1"/>
                  </w14:solidFill>
                </w14:textFill>
              </w:rPr>
              <w:t>，定期交给有危废处理资质的单位处理。</w:t>
            </w:r>
          </w:p>
          <w:p w14:paraId="2994D340">
            <w:pPr>
              <w:pStyle w:val="19"/>
              <w:keepNext w:val="0"/>
              <w:keepLines w:val="0"/>
              <w:suppressLineNumbers w:val="0"/>
              <w:spacing w:before="0" w:beforeAutospacing="0" w:after="0" w:afterAutospacing="0" w:line="360" w:lineRule="auto"/>
              <w:ind w:left="0" w:right="0" w:firstLine="512" w:firstLineChars="200"/>
              <w:jc w:val="both"/>
              <w:outlineLvl w:val="0"/>
              <w:rPr>
                <w:rFonts w:hint="default" w:ascii="Times New Roman" w:hAnsi="Times New Roman" w:cs="Times New Roman"/>
                <w:b/>
                <w:bCs/>
                <w:color w:val="000000" w:themeColor="text1"/>
                <w:spacing w:val="8"/>
                <w:sz w:val="24"/>
                <w:szCs w:val="24"/>
                <w:lang w:eastAsia="zh-CN"/>
                <w14:textFill>
                  <w14:solidFill>
                    <w14:schemeClr w14:val="tx1"/>
                  </w14:solidFill>
                </w14:textFill>
              </w:rPr>
            </w:pPr>
            <w:r>
              <w:rPr>
                <w:rFonts w:hint="default" w:ascii="Times New Roman" w:hAnsi="Times New Roman" w:cs="Times New Roman"/>
                <w:b w:val="0"/>
                <w:bCs w:val="0"/>
                <w:color w:val="000000" w:themeColor="text1"/>
                <w:spacing w:val="8"/>
                <w:sz w:val="24"/>
                <w:szCs w:val="24"/>
                <w14:textFill>
                  <w14:solidFill>
                    <w14:schemeClr w14:val="tx1"/>
                  </w14:solidFill>
                </w14:textFill>
              </w:rPr>
              <w:t>本项目固体废物核算结果详见表</w:t>
            </w:r>
            <w:r>
              <w:rPr>
                <w:rFonts w:hint="default" w:ascii="Times New Roman" w:hAnsi="Times New Roman" w:cs="Times New Roman"/>
                <w:b w:val="0"/>
                <w:bCs w:val="0"/>
                <w:color w:val="000000" w:themeColor="text1"/>
                <w:spacing w:val="8"/>
                <w:sz w:val="24"/>
                <w:szCs w:val="24"/>
                <w:lang w:val="en-US" w:eastAsia="zh-CN"/>
                <w14:textFill>
                  <w14:solidFill>
                    <w14:schemeClr w14:val="tx1"/>
                  </w14:solidFill>
                </w14:textFill>
              </w:rPr>
              <w:t>4-14。</w:t>
            </w:r>
          </w:p>
          <w:p w14:paraId="377D2B20">
            <w:pPr>
              <w:keepNext w:val="0"/>
              <w:keepLines w:val="0"/>
              <w:suppressLineNumbers w:val="0"/>
              <w:adjustRightInd w:val="0"/>
              <w:snapToGrid w:val="0"/>
              <w:spacing w:before="0" w:beforeAutospacing="0" w:after="0" w:afterAutospacing="0" w:line="360" w:lineRule="auto"/>
              <w:ind w:left="0" w:right="0" w:firstLine="422" w:firstLineChars="200"/>
              <w:rPr>
                <w:rFonts w:hint="default" w:ascii="Times New Roman" w:hAnsi="Times New Roman" w:cs="Times New Roman"/>
                <w:b/>
                <w:bCs/>
                <w:color w:val="000000" w:themeColor="text1"/>
                <w:szCs w:val="21"/>
                <w14:textFill>
                  <w14:solidFill>
                    <w14:schemeClr w14:val="tx1"/>
                  </w14:solidFill>
                </w14:textFill>
              </w:rPr>
            </w:pPr>
          </w:p>
          <w:p w14:paraId="371C90F6">
            <w:pPr>
              <w:keepNext w:val="0"/>
              <w:keepLines w:val="0"/>
              <w:suppressLineNumbers w:val="0"/>
              <w:spacing w:before="0" w:beforeAutospacing="0" w:after="0" w:afterAutospacing="0"/>
              <w:ind w:left="0" w:right="0"/>
              <w:rPr>
                <w:rFonts w:hint="default" w:ascii="Times New Roman" w:hAnsi="Times New Roman" w:cs="Times New Roman"/>
                <w:color w:val="000000" w:themeColor="text1"/>
                <w14:textFill>
                  <w14:solidFill>
                    <w14:schemeClr w14:val="tx1"/>
                  </w14:solidFill>
                </w14:textFill>
              </w:rPr>
            </w:pPr>
          </w:p>
        </w:tc>
      </w:tr>
    </w:tbl>
    <w:p w14:paraId="4CF5DF8E">
      <w:pPr>
        <w:pStyle w:val="4"/>
        <w:rPr>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13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13125"/>
      </w:tblGrid>
      <w:tr w14:paraId="219C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6" w:hRule="atLeast"/>
          <w:jc w:val="center"/>
        </w:trPr>
        <w:tc>
          <w:tcPr>
            <w:tcW w:w="177" w:type="pct"/>
            <w:vAlign w:val="center"/>
          </w:tcPr>
          <w:p w14:paraId="450794BF">
            <w:pPr>
              <w:keepNext w:val="0"/>
              <w:keepLines w:val="0"/>
              <w:suppressLineNumbers w:val="0"/>
              <w:adjustRightInd w:val="0"/>
              <w:snapToGrid w:val="0"/>
              <w:spacing w:before="0" w:beforeAutospacing="0" w:after="0" w:afterAutospacing="0"/>
              <w:ind w:left="0" w:right="0"/>
              <w:jc w:val="center"/>
              <w:rPr>
                <w:rFonts w:hint="default"/>
                <w:bCs/>
                <w:color w:val="000000" w:themeColor="text1"/>
                <w:szCs w:val="21"/>
                <w14:textFill>
                  <w14:solidFill>
                    <w14:schemeClr w14:val="tx1"/>
                  </w14:solidFill>
                </w14:textFill>
              </w:rPr>
            </w:pPr>
            <w:r>
              <w:rPr>
                <w:rFonts w:hint="default"/>
                <w:bCs/>
                <w:color w:val="000000" w:themeColor="text1"/>
                <w:sz w:val="24"/>
                <w:szCs w:val="24"/>
                <w14:textFill>
                  <w14:solidFill>
                    <w14:schemeClr w14:val="tx1"/>
                  </w14:solidFill>
                </w14:textFill>
              </w:rPr>
              <w:t>运营期环境影响和保护措施</w:t>
            </w:r>
          </w:p>
        </w:tc>
        <w:tc>
          <w:tcPr>
            <w:tcW w:w="4822" w:type="pct"/>
            <w:vAlign w:val="center"/>
          </w:tcPr>
          <w:p w14:paraId="51A5E927">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4"/>
                <w:szCs w:val="24"/>
                <w14:textFill>
                  <w14:solidFill>
                    <w14:schemeClr w14:val="tx1"/>
                  </w14:solidFill>
                </w14:textFill>
              </w:rPr>
            </w:pPr>
            <w:r>
              <w:rPr>
                <w:rFonts w:hint="default"/>
                <w:b/>
                <w:color w:val="000000" w:themeColor="text1"/>
                <w:kern w:val="0"/>
                <w:sz w:val="24"/>
                <w:szCs w:val="24"/>
                <w14:textFill>
                  <w14:solidFill>
                    <w14:schemeClr w14:val="tx1"/>
                  </w14:solidFill>
                </w14:textFill>
              </w:rPr>
              <w:t>表4-</w:t>
            </w:r>
            <w:r>
              <w:rPr>
                <w:rFonts w:hint="eastAsia"/>
                <w:b/>
                <w:color w:val="000000" w:themeColor="text1"/>
                <w:kern w:val="0"/>
                <w:sz w:val="24"/>
                <w:szCs w:val="24"/>
                <w14:textFill>
                  <w14:solidFill>
                    <w14:schemeClr w14:val="tx1"/>
                  </w14:solidFill>
                </w14:textFill>
              </w:rPr>
              <w:t>1</w:t>
            </w:r>
            <w:r>
              <w:rPr>
                <w:rFonts w:hint="eastAsia"/>
                <w:b/>
                <w:color w:val="000000" w:themeColor="text1"/>
                <w:kern w:val="0"/>
                <w:sz w:val="24"/>
                <w:szCs w:val="24"/>
                <w:lang w:val="en-US" w:eastAsia="zh-CN"/>
                <w14:textFill>
                  <w14:solidFill>
                    <w14:schemeClr w14:val="tx1"/>
                  </w14:solidFill>
                </w14:textFill>
              </w:rPr>
              <w:t xml:space="preserve">4 </w:t>
            </w:r>
            <w:r>
              <w:rPr>
                <w:rFonts w:hint="default"/>
                <w:b/>
                <w:color w:val="000000" w:themeColor="text1"/>
                <w:kern w:val="0"/>
                <w:sz w:val="24"/>
                <w:szCs w:val="24"/>
                <w14:textFill>
                  <w14:solidFill>
                    <w14:schemeClr w14:val="tx1"/>
                  </w14:solidFill>
                </w14:textFill>
              </w:rPr>
              <w:t>项目固体废物产生及处置情况汇总表</w:t>
            </w:r>
          </w:p>
          <w:tbl>
            <w:tblPr>
              <w:tblStyle w:val="21"/>
              <w:tblW w:w="12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1289"/>
              <w:gridCol w:w="1526"/>
              <w:gridCol w:w="760"/>
              <w:gridCol w:w="1317"/>
              <w:gridCol w:w="708"/>
              <w:gridCol w:w="975"/>
              <w:gridCol w:w="803"/>
              <w:gridCol w:w="1834"/>
              <w:gridCol w:w="952"/>
              <w:gridCol w:w="930"/>
            </w:tblGrid>
            <w:tr w14:paraId="6A6F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8" w:type="dxa"/>
                  <w:vAlign w:val="center"/>
                </w:tcPr>
                <w:p w14:paraId="79206FF6">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r>
                    <w:rPr>
                      <w:rFonts w:hint="default"/>
                      <w:b/>
                      <w:color w:val="000000" w:themeColor="text1"/>
                      <w:kern w:val="0"/>
                      <w:sz w:val="21"/>
                      <w:szCs w:val="21"/>
                      <w14:textFill>
                        <w14:solidFill>
                          <w14:schemeClr w14:val="tx1"/>
                        </w14:solidFill>
                      </w14:textFill>
                    </w:rPr>
                    <w:t>产生环节</w:t>
                  </w:r>
                </w:p>
              </w:tc>
              <w:tc>
                <w:tcPr>
                  <w:tcW w:w="1289" w:type="dxa"/>
                  <w:vAlign w:val="center"/>
                </w:tcPr>
                <w:p w14:paraId="083EDA90">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r>
                    <w:rPr>
                      <w:rFonts w:hint="default"/>
                      <w:b/>
                      <w:color w:val="000000" w:themeColor="text1"/>
                      <w:kern w:val="0"/>
                      <w:sz w:val="21"/>
                      <w:szCs w:val="21"/>
                      <w14:textFill>
                        <w14:solidFill>
                          <w14:schemeClr w14:val="tx1"/>
                        </w14:solidFill>
                      </w14:textFill>
                    </w:rPr>
                    <w:t>名称</w:t>
                  </w:r>
                </w:p>
              </w:tc>
              <w:tc>
                <w:tcPr>
                  <w:tcW w:w="1526" w:type="dxa"/>
                  <w:vAlign w:val="center"/>
                </w:tcPr>
                <w:p w14:paraId="228ED175">
                  <w:pPr>
                    <w:keepNext w:val="0"/>
                    <w:keepLines w:val="0"/>
                    <w:suppressLineNumbers w:val="0"/>
                    <w:adjustRightInd w:val="0"/>
                    <w:snapToGrid w:val="0"/>
                    <w:spacing w:before="0" w:beforeAutospacing="0" w:after="0" w:afterAutospacing="0"/>
                    <w:ind w:left="0" w:right="0"/>
                    <w:jc w:val="center"/>
                    <w:rPr>
                      <w:rFonts w:hint="default" w:eastAsia="宋体"/>
                      <w:b/>
                      <w:color w:val="000000" w:themeColor="text1"/>
                      <w:kern w:val="0"/>
                      <w:sz w:val="21"/>
                      <w:szCs w:val="21"/>
                      <w:lang w:val="en-US" w:eastAsia="zh-CN"/>
                      <w14:textFill>
                        <w14:solidFill>
                          <w14:schemeClr w14:val="tx1"/>
                        </w14:solidFill>
                      </w14:textFill>
                    </w:rPr>
                  </w:pPr>
                  <w:r>
                    <w:rPr>
                      <w:rFonts w:hint="eastAsia"/>
                      <w:b/>
                      <w:color w:val="000000" w:themeColor="text1"/>
                      <w:kern w:val="0"/>
                      <w:sz w:val="21"/>
                      <w:szCs w:val="21"/>
                      <w:lang w:val="en-US" w:eastAsia="zh-CN"/>
                      <w14:textFill>
                        <w14:solidFill>
                          <w14:schemeClr w14:val="tx1"/>
                        </w14:solidFill>
                      </w14:textFill>
                    </w:rPr>
                    <w:t>属性</w:t>
                  </w:r>
                </w:p>
              </w:tc>
              <w:tc>
                <w:tcPr>
                  <w:tcW w:w="760" w:type="dxa"/>
                  <w:vAlign w:val="center"/>
                </w:tcPr>
                <w:p w14:paraId="708F762F">
                  <w:pPr>
                    <w:keepNext w:val="0"/>
                    <w:keepLines w:val="0"/>
                    <w:suppressLineNumbers w:val="0"/>
                    <w:adjustRightInd w:val="0"/>
                    <w:snapToGrid w:val="0"/>
                    <w:spacing w:before="0" w:beforeAutospacing="0" w:after="0" w:afterAutospacing="0"/>
                    <w:ind w:left="0" w:right="0"/>
                    <w:jc w:val="center"/>
                    <w:rPr>
                      <w:rFonts w:hint="eastAsia" w:eastAsia="宋体"/>
                      <w:b/>
                      <w:color w:val="000000" w:themeColor="text1"/>
                      <w:kern w:val="0"/>
                      <w:sz w:val="21"/>
                      <w:szCs w:val="2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类别</w:t>
                  </w:r>
                </w:p>
              </w:tc>
              <w:tc>
                <w:tcPr>
                  <w:tcW w:w="1317" w:type="dxa"/>
                  <w:vAlign w:val="center"/>
                </w:tcPr>
                <w:p w14:paraId="1CF903DE">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r>
                    <w:rPr>
                      <w:rFonts w:hint="default"/>
                      <w:b/>
                      <w:color w:val="000000" w:themeColor="text1"/>
                      <w:kern w:val="0"/>
                      <w:sz w:val="21"/>
                      <w:szCs w:val="21"/>
                      <w14:textFill>
                        <w14:solidFill>
                          <w14:schemeClr w14:val="tx1"/>
                        </w14:solidFill>
                      </w14:textFill>
                    </w:rPr>
                    <w:t>主要有毒有害物质名称</w:t>
                  </w:r>
                </w:p>
              </w:tc>
              <w:tc>
                <w:tcPr>
                  <w:tcW w:w="708" w:type="dxa"/>
                  <w:vAlign w:val="center"/>
                </w:tcPr>
                <w:p w14:paraId="79CC1144">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default"/>
                      <w:b/>
                      <w:color w:val="000000" w:themeColor="text1"/>
                      <w:kern w:val="0"/>
                      <w:sz w:val="21"/>
                      <w:szCs w:val="21"/>
                      <w14:textFill>
                        <w14:solidFill>
                          <w14:schemeClr w14:val="tx1"/>
                        </w14:solidFill>
                      </w14:textFill>
                    </w:rPr>
                    <w:t>物理性状</w:t>
                  </w:r>
                </w:p>
              </w:tc>
              <w:tc>
                <w:tcPr>
                  <w:tcW w:w="975" w:type="dxa"/>
                  <w:vAlign w:val="center"/>
                </w:tcPr>
                <w:p w14:paraId="2CA9BD77">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r>
                    <w:rPr>
                      <w:rFonts w:hint="default"/>
                      <w:b/>
                      <w:color w:val="000000" w:themeColor="text1"/>
                      <w:kern w:val="0"/>
                      <w:sz w:val="21"/>
                      <w:szCs w:val="21"/>
                      <w14:textFill>
                        <w14:solidFill>
                          <w14:schemeClr w14:val="tx1"/>
                        </w14:solidFill>
                      </w14:textFill>
                    </w:rPr>
                    <w:t>环境危险特性</w:t>
                  </w:r>
                </w:p>
              </w:tc>
              <w:tc>
                <w:tcPr>
                  <w:tcW w:w="803" w:type="dxa"/>
                  <w:vAlign w:val="center"/>
                </w:tcPr>
                <w:p w14:paraId="0DDA64D7">
                  <w:pPr>
                    <w:keepNext w:val="0"/>
                    <w:keepLines w:val="0"/>
                    <w:suppressLineNumbers w:val="0"/>
                    <w:adjustRightInd w:val="0"/>
                    <w:snapToGrid w:val="0"/>
                    <w:spacing w:before="0" w:beforeAutospacing="0" w:after="0" w:afterAutospacing="0"/>
                    <w:ind w:left="0" w:right="0"/>
                    <w:jc w:val="center"/>
                    <w:rPr>
                      <w:rFonts w:hint="eastAsia" w:eastAsia="宋体"/>
                      <w:b/>
                      <w:color w:val="000000" w:themeColor="text1"/>
                      <w:kern w:val="0"/>
                      <w:sz w:val="21"/>
                      <w:szCs w:val="21"/>
                      <w:lang w:val="en-US" w:eastAsia="zh-CN"/>
                      <w14:textFill>
                        <w14:solidFill>
                          <w14:schemeClr w14:val="tx1"/>
                        </w14:solidFill>
                      </w14:textFill>
                    </w:rPr>
                  </w:pPr>
                  <w:r>
                    <w:rPr>
                      <w:rFonts w:hint="default"/>
                      <w:b/>
                      <w:color w:val="000000" w:themeColor="text1"/>
                      <w:kern w:val="0"/>
                      <w:sz w:val="21"/>
                      <w:szCs w:val="21"/>
                      <w14:textFill>
                        <w14:solidFill>
                          <w14:schemeClr w14:val="tx1"/>
                        </w14:solidFill>
                      </w14:textFill>
                    </w:rPr>
                    <w:t>年产生量</w:t>
                  </w:r>
                  <w:r>
                    <w:rPr>
                      <w:rFonts w:hint="eastAsia"/>
                      <w:b/>
                      <w:color w:val="000000" w:themeColor="text1"/>
                      <w:kern w:val="0"/>
                      <w:sz w:val="21"/>
                      <w:szCs w:val="21"/>
                      <w:lang w:val="en-US" w:eastAsia="zh-CN"/>
                      <w14:textFill>
                        <w14:solidFill>
                          <w14:schemeClr w14:val="tx1"/>
                        </w14:solidFill>
                      </w14:textFill>
                    </w:rPr>
                    <w:t>t</w:t>
                  </w:r>
                </w:p>
              </w:tc>
              <w:tc>
                <w:tcPr>
                  <w:tcW w:w="1834" w:type="dxa"/>
                  <w:vAlign w:val="center"/>
                </w:tcPr>
                <w:p w14:paraId="181BB255">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r>
                    <w:rPr>
                      <w:rFonts w:hint="default"/>
                      <w:b/>
                      <w:color w:val="000000" w:themeColor="text1"/>
                      <w:kern w:val="0"/>
                      <w:sz w:val="21"/>
                      <w:szCs w:val="21"/>
                      <w14:textFill>
                        <w14:solidFill>
                          <w14:schemeClr w14:val="tx1"/>
                        </w14:solidFill>
                      </w14:textFill>
                    </w:rPr>
                    <w:t>利用处置方式和去向</w:t>
                  </w:r>
                </w:p>
              </w:tc>
              <w:tc>
                <w:tcPr>
                  <w:tcW w:w="952" w:type="dxa"/>
                  <w:vAlign w:val="center"/>
                </w:tcPr>
                <w:p w14:paraId="2160BEE9">
                  <w:pPr>
                    <w:keepNext w:val="0"/>
                    <w:keepLines w:val="0"/>
                    <w:suppressLineNumbers w:val="0"/>
                    <w:adjustRightInd w:val="0"/>
                    <w:snapToGrid w:val="0"/>
                    <w:spacing w:before="0" w:beforeAutospacing="0" w:after="0" w:afterAutospacing="0"/>
                    <w:ind w:left="0" w:right="0"/>
                    <w:jc w:val="center"/>
                    <w:rPr>
                      <w:rFonts w:hint="eastAsia" w:eastAsia="宋体"/>
                      <w:b/>
                      <w:color w:val="000000" w:themeColor="text1"/>
                      <w:kern w:val="0"/>
                      <w:sz w:val="21"/>
                      <w:szCs w:val="21"/>
                      <w:lang w:val="en-US" w:eastAsia="zh-CN"/>
                      <w14:textFill>
                        <w14:solidFill>
                          <w14:schemeClr w14:val="tx1"/>
                        </w14:solidFill>
                      </w14:textFill>
                    </w:rPr>
                  </w:pPr>
                  <w:r>
                    <w:rPr>
                      <w:rFonts w:hint="default"/>
                      <w:b/>
                      <w:color w:val="000000" w:themeColor="text1"/>
                      <w:kern w:val="0"/>
                      <w:sz w:val="21"/>
                      <w:szCs w:val="21"/>
                      <w14:textFill>
                        <w14:solidFill>
                          <w14:schemeClr w14:val="tx1"/>
                        </w14:solidFill>
                      </w14:textFill>
                    </w:rPr>
                    <w:t>利用或处置量</w:t>
                  </w:r>
                  <w:r>
                    <w:rPr>
                      <w:rFonts w:hint="eastAsia"/>
                      <w:b/>
                      <w:color w:val="000000" w:themeColor="text1"/>
                      <w:kern w:val="0"/>
                      <w:sz w:val="21"/>
                      <w:szCs w:val="21"/>
                      <w:lang w:val="en-US" w:eastAsia="zh-CN"/>
                      <w14:textFill>
                        <w14:solidFill>
                          <w14:schemeClr w14:val="tx1"/>
                        </w14:solidFill>
                      </w14:textFill>
                    </w:rPr>
                    <w:t>t</w:t>
                  </w:r>
                </w:p>
              </w:tc>
              <w:tc>
                <w:tcPr>
                  <w:tcW w:w="930" w:type="dxa"/>
                  <w:vAlign w:val="center"/>
                </w:tcPr>
                <w:p w14:paraId="38D3DB8B">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r>
                    <w:rPr>
                      <w:rFonts w:hint="default"/>
                      <w:b/>
                      <w:color w:val="000000" w:themeColor="text1"/>
                      <w:kern w:val="0"/>
                      <w:sz w:val="21"/>
                      <w:szCs w:val="21"/>
                      <w14:textFill>
                        <w14:solidFill>
                          <w14:schemeClr w14:val="tx1"/>
                        </w14:solidFill>
                      </w14:textFill>
                    </w:rPr>
                    <w:t>环境管理要求</w:t>
                  </w:r>
                </w:p>
              </w:tc>
            </w:tr>
            <w:tr w14:paraId="7F98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378" w:type="dxa"/>
                  <w:vAlign w:val="center"/>
                </w:tcPr>
                <w:p w14:paraId="00C4FF41">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生活</w:t>
                  </w:r>
                </w:p>
              </w:tc>
              <w:tc>
                <w:tcPr>
                  <w:tcW w:w="1289" w:type="dxa"/>
                  <w:vAlign w:val="center"/>
                </w:tcPr>
                <w:p w14:paraId="0FC3D8D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生活垃圾</w:t>
                  </w:r>
                </w:p>
              </w:tc>
              <w:tc>
                <w:tcPr>
                  <w:tcW w:w="1526" w:type="dxa"/>
                  <w:vAlign w:val="center"/>
                </w:tcPr>
                <w:p w14:paraId="02BB2133">
                  <w:pPr>
                    <w:keepNext w:val="0"/>
                    <w:keepLines w:val="0"/>
                    <w:suppressLineNumbers w:val="0"/>
                    <w:adjustRightInd w:val="0"/>
                    <w:snapToGrid w:val="0"/>
                    <w:spacing w:before="0" w:beforeAutospacing="0" w:after="0" w:afterAutospacing="0"/>
                    <w:ind w:left="0" w:right="0"/>
                    <w:jc w:val="center"/>
                    <w:rPr>
                      <w:rFonts w:hint="default"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900-099-S64</w:t>
                  </w:r>
                </w:p>
              </w:tc>
              <w:tc>
                <w:tcPr>
                  <w:tcW w:w="760" w:type="dxa"/>
                  <w:vAlign w:val="center"/>
                </w:tcPr>
                <w:p w14:paraId="67527BFC">
                  <w:pPr>
                    <w:keepNext w:val="0"/>
                    <w:keepLines w:val="0"/>
                    <w:suppressLineNumbers w:val="0"/>
                    <w:adjustRightInd w:val="0"/>
                    <w:snapToGrid w:val="0"/>
                    <w:spacing w:before="0" w:beforeAutospacing="0" w:after="0" w:afterAutospacing="0"/>
                    <w:ind w:left="0" w:right="0"/>
                    <w:jc w:val="center"/>
                    <w:rPr>
                      <w:rFonts w:hint="eastAsia"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生活垃圾</w:t>
                  </w:r>
                </w:p>
              </w:tc>
              <w:tc>
                <w:tcPr>
                  <w:tcW w:w="1317" w:type="dxa"/>
                  <w:vAlign w:val="center"/>
                </w:tcPr>
                <w:p w14:paraId="5358C87A">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w:t>
                  </w:r>
                </w:p>
              </w:tc>
              <w:tc>
                <w:tcPr>
                  <w:tcW w:w="708" w:type="dxa"/>
                  <w:vAlign w:val="center"/>
                </w:tcPr>
                <w:p w14:paraId="61C8E0B5">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固态</w:t>
                  </w:r>
                </w:p>
              </w:tc>
              <w:tc>
                <w:tcPr>
                  <w:tcW w:w="975" w:type="dxa"/>
                  <w:vAlign w:val="center"/>
                </w:tcPr>
                <w:p w14:paraId="0357225B">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w:t>
                  </w:r>
                </w:p>
              </w:tc>
              <w:tc>
                <w:tcPr>
                  <w:tcW w:w="803" w:type="dxa"/>
                  <w:vAlign w:val="center"/>
                </w:tcPr>
                <w:p w14:paraId="0564754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w:t>
                  </w:r>
                </w:p>
              </w:tc>
              <w:tc>
                <w:tcPr>
                  <w:tcW w:w="1834" w:type="dxa"/>
                  <w:vAlign w:val="center"/>
                </w:tcPr>
                <w:p w14:paraId="6140804A">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交环卫部门统一收运处理</w:t>
                  </w:r>
                </w:p>
              </w:tc>
              <w:tc>
                <w:tcPr>
                  <w:tcW w:w="952" w:type="dxa"/>
                  <w:vAlign w:val="center"/>
                </w:tcPr>
                <w:p w14:paraId="775E101F">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3</w:t>
                  </w:r>
                </w:p>
              </w:tc>
              <w:tc>
                <w:tcPr>
                  <w:tcW w:w="930" w:type="dxa"/>
                  <w:vAlign w:val="center"/>
                </w:tcPr>
                <w:p w14:paraId="64F4C8B5">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r>
                    <w:rPr>
                      <w:rFonts w:hint="default"/>
                      <w:b/>
                      <w:color w:val="000000" w:themeColor="text1"/>
                      <w:kern w:val="0"/>
                      <w:sz w:val="21"/>
                      <w:szCs w:val="21"/>
                      <w14:textFill>
                        <w14:solidFill>
                          <w14:schemeClr w14:val="tx1"/>
                        </w14:solidFill>
                      </w14:textFill>
                    </w:rPr>
                    <w:t>/</w:t>
                  </w:r>
                </w:p>
              </w:tc>
            </w:tr>
            <w:tr w14:paraId="5540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378" w:type="dxa"/>
                  <w:vAlign w:val="center"/>
                </w:tcPr>
                <w:p w14:paraId="68990E6E">
                  <w:pPr>
                    <w:keepNext w:val="0"/>
                    <w:keepLines w:val="0"/>
                    <w:suppressLineNumbers w:val="0"/>
                    <w:adjustRightInd w:val="0"/>
                    <w:snapToGrid w:val="0"/>
                    <w:spacing w:before="0" w:beforeAutospacing="0" w:after="0" w:afterAutospacing="0"/>
                    <w:ind w:left="0" w:right="0"/>
                    <w:jc w:val="center"/>
                    <w:rPr>
                      <w:rFonts w:hint="eastAsia" w:eastAsia="宋体"/>
                      <w:bCs/>
                      <w:color w:val="000000" w:themeColor="text1"/>
                      <w:kern w:val="0"/>
                      <w:sz w:val="21"/>
                      <w:szCs w:val="21"/>
                      <w:lang w:val="en-US" w:eastAsia="zh-CN"/>
                      <w14:textFill>
                        <w14:solidFill>
                          <w14:schemeClr w14:val="tx1"/>
                        </w14:solidFill>
                      </w14:textFill>
                    </w:rPr>
                  </w:pPr>
                  <w:r>
                    <w:rPr>
                      <w:rFonts w:hint="eastAsia" w:eastAsia="宋体"/>
                      <w:color w:val="000000" w:themeColor="text1"/>
                      <w:kern w:val="0"/>
                      <w:sz w:val="21"/>
                      <w:szCs w:val="21"/>
                      <w:lang w:val="en-US" w:eastAsia="zh-CN"/>
                      <w14:textFill>
                        <w14:solidFill>
                          <w14:schemeClr w14:val="tx1"/>
                        </w14:solidFill>
                      </w14:textFill>
                    </w:rPr>
                    <w:t>打磨</w:t>
                  </w:r>
                </w:p>
              </w:tc>
              <w:tc>
                <w:tcPr>
                  <w:tcW w:w="1289" w:type="dxa"/>
                  <w:vAlign w:val="center"/>
                </w:tcPr>
                <w:p w14:paraId="70BB9AC3">
                  <w:pPr>
                    <w:keepNext w:val="0"/>
                    <w:keepLines w:val="0"/>
                    <w:suppressLineNumbers w:val="0"/>
                    <w:adjustRightInd w:val="0"/>
                    <w:snapToGrid w:val="0"/>
                    <w:spacing w:before="0" w:beforeAutospacing="0" w:after="0" w:afterAutospacing="0"/>
                    <w:ind w:left="0" w:right="0"/>
                    <w:jc w:val="center"/>
                    <w:rPr>
                      <w:rFonts w:hint="eastAsia" w:eastAsiaTheme="minorEastAsia"/>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废砂纸</w:t>
                  </w:r>
                </w:p>
              </w:tc>
              <w:tc>
                <w:tcPr>
                  <w:tcW w:w="1526" w:type="dxa"/>
                  <w:vAlign w:val="center"/>
                </w:tcPr>
                <w:p w14:paraId="6D4802FA">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900-099-S59</w:t>
                  </w:r>
                </w:p>
              </w:tc>
              <w:tc>
                <w:tcPr>
                  <w:tcW w:w="760" w:type="dxa"/>
                  <w:vMerge w:val="restart"/>
                  <w:vAlign w:val="center"/>
                </w:tcPr>
                <w:p w14:paraId="77973156">
                  <w:pPr>
                    <w:keepNext w:val="0"/>
                    <w:keepLines w:val="0"/>
                    <w:suppressLineNumbers w:val="0"/>
                    <w:adjustRightInd w:val="0"/>
                    <w:snapToGrid w:val="0"/>
                    <w:spacing w:before="0" w:beforeAutospacing="0" w:after="0" w:afterAutospacing="0"/>
                    <w:ind w:left="0" w:right="0"/>
                    <w:jc w:val="center"/>
                    <w:rPr>
                      <w:rFonts w:hint="default"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一般工业固体废物</w:t>
                  </w:r>
                </w:p>
              </w:tc>
              <w:tc>
                <w:tcPr>
                  <w:tcW w:w="1317" w:type="dxa"/>
                  <w:vAlign w:val="center"/>
                </w:tcPr>
                <w:p w14:paraId="0B362754">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w:t>
                  </w:r>
                </w:p>
              </w:tc>
              <w:tc>
                <w:tcPr>
                  <w:tcW w:w="708" w:type="dxa"/>
                  <w:vAlign w:val="center"/>
                </w:tcPr>
                <w:p w14:paraId="5D2C9B9D">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固态</w:t>
                  </w:r>
                </w:p>
              </w:tc>
              <w:tc>
                <w:tcPr>
                  <w:tcW w:w="975" w:type="dxa"/>
                  <w:vAlign w:val="center"/>
                </w:tcPr>
                <w:p w14:paraId="31C4E3DD">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w:t>
                  </w:r>
                </w:p>
              </w:tc>
              <w:tc>
                <w:tcPr>
                  <w:tcW w:w="803" w:type="dxa"/>
                  <w:vAlign w:val="center"/>
                </w:tcPr>
                <w:p w14:paraId="5928D41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0.5</w:t>
                  </w:r>
                </w:p>
              </w:tc>
              <w:tc>
                <w:tcPr>
                  <w:tcW w:w="1834" w:type="dxa"/>
                  <w:vMerge w:val="restart"/>
                  <w:vAlign w:val="center"/>
                </w:tcPr>
                <w:p w14:paraId="3107DE35">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交</w:t>
                  </w:r>
                  <w:r>
                    <w:rPr>
                      <w:rFonts w:hint="eastAsia"/>
                      <w:color w:val="000000" w:themeColor="text1"/>
                      <w:sz w:val="21"/>
                      <w:szCs w:val="21"/>
                      <w14:textFill>
                        <w14:solidFill>
                          <w14:schemeClr w14:val="tx1"/>
                        </w14:solidFill>
                      </w14:textFill>
                    </w:rPr>
                    <w:t>物资回收单位回收</w:t>
                  </w:r>
                </w:p>
              </w:tc>
              <w:tc>
                <w:tcPr>
                  <w:tcW w:w="952" w:type="dxa"/>
                  <w:vAlign w:val="center"/>
                </w:tcPr>
                <w:p w14:paraId="0976B01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0.5</w:t>
                  </w:r>
                </w:p>
              </w:tc>
              <w:tc>
                <w:tcPr>
                  <w:tcW w:w="930" w:type="dxa"/>
                  <w:vMerge w:val="restart"/>
                  <w:vAlign w:val="center"/>
                </w:tcPr>
                <w:p w14:paraId="130EF6BA">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防渗漏、防雨淋、防扬尘</w:t>
                  </w:r>
                </w:p>
              </w:tc>
            </w:tr>
            <w:tr w14:paraId="5301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378" w:type="dxa"/>
                  <w:vAlign w:val="center"/>
                </w:tcPr>
                <w:p w14:paraId="4E4FF0AF">
                  <w:pPr>
                    <w:keepNext w:val="0"/>
                    <w:keepLines w:val="0"/>
                    <w:suppressLineNumbers w:val="0"/>
                    <w:adjustRightInd w:val="0"/>
                    <w:snapToGrid w:val="0"/>
                    <w:spacing w:before="0" w:beforeAutospacing="0" w:after="0" w:afterAutospacing="0"/>
                    <w:ind w:left="0" w:right="0"/>
                    <w:jc w:val="center"/>
                    <w:rPr>
                      <w:rFonts w:hint="eastAsia" w:eastAsia="宋体"/>
                      <w:bCs/>
                      <w:color w:val="000000" w:themeColor="text1"/>
                      <w:kern w:val="0"/>
                      <w:sz w:val="21"/>
                      <w:szCs w:val="21"/>
                      <w:lang w:eastAsia="zh-CN"/>
                      <w14:textFill>
                        <w14:solidFill>
                          <w14:schemeClr w14:val="tx1"/>
                        </w14:solidFill>
                      </w14:textFill>
                    </w:rPr>
                  </w:pPr>
                  <w:r>
                    <w:rPr>
                      <w:rFonts w:hint="eastAsia"/>
                      <w:bCs/>
                      <w:color w:val="000000" w:themeColor="text1"/>
                      <w:kern w:val="0"/>
                      <w:sz w:val="21"/>
                      <w:szCs w:val="21"/>
                      <w14:textFill>
                        <w14:solidFill>
                          <w14:schemeClr w14:val="tx1"/>
                        </w14:solidFill>
                      </w14:textFill>
                    </w:rPr>
                    <w:t>贴花</w:t>
                  </w:r>
                </w:p>
              </w:tc>
              <w:tc>
                <w:tcPr>
                  <w:tcW w:w="1289" w:type="dxa"/>
                  <w:vAlign w:val="center"/>
                </w:tcPr>
                <w:p w14:paraId="3D2EA1B6">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废贴花纸</w:t>
                  </w:r>
                </w:p>
              </w:tc>
              <w:tc>
                <w:tcPr>
                  <w:tcW w:w="1526" w:type="dxa"/>
                  <w:vAlign w:val="center"/>
                </w:tcPr>
                <w:p w14:paraId="7F2BEB0E">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900-005-S17</w:t>
                  </w:r>
                </w:p>
              </w:tc>
              <w:tc>
                <w:tcPr>
                  <w:tcW w:w="760" w:type="dxa"/>
                  <w:vMerge w:val="continue"/>
                  <w:vAlign w:val="center"/>
                </w:tcPr>
                <w:p w14:paraId="3EB98B7C">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p>
              </w:tc>
              <w:tc>
                <w:tcPr>
                  <w:tcW w:w="1317" w:type="dxa"/>
                  <w:vAlign w:val="center"/>
                </w:tcPr>
                <w:p w14:paraId="071848CB">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w:t>
                  </w:r>
                </w:p>
              </w:tc>
              <w:tc>
                <w:tcPr>
                  <w:tcW w:w="708" w:type="dxa"/>
                  <w:vAlign w:val="center"/>
                </w:tcPr>
                <w:p w14:paraId="79DD239A">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固态</w:t>
                  </w:r>
                </w:p>
              </w:tc>
              <w:tc>
                <w:tcPr>
                  <w:tcW w:w="975" w:type="dxa"/>
                  <w:vAlign w:val="center"/>
                </w:tcPr>
                <w:p w14:paraId="322AC3C1">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w:t>
                  </w:r>
                </w:p>
              </w:tc>
              <w:tc>
                <w:tcPr>
                  <w:tcW w:w="803" w:type="dxa"/>
                  <w:vAlign w:val="center"/>
                </w:tcPr>
                <w:p w14:paraId="6F197AE0">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0.2</w:t>
                  </w:r>
                </w:p>
              </w:tc>
              <w:tc>
                <w:tcPr>
                  <w:tcW w:w="1834" w:type="dxa"/>
                  <w:vMerge w:val="continue"/>
                  <w:vAlign w:val="center"/>
                </w:tcPr>
                <w:p w14:paraId="3357F06A">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952" w:type="dxa"/>
                  <w:vAlign w:val="center"/>
                </w:tcPr>
                <w:p w14:paraId="743D6A65">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0.2</w:t>
                  </w:r>
                </w:p>
              </w:tc>
              <w:tc>
                <w:tcPr>
                  <w:tcW w:w="930" w:type="dxa"/>
                  <w:vMerge w:val="continue"/>
                  <w:vAlign w:val="center"/>
                </w:tcPr>
                <w:p w14:paraId="436D8702">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p>
              </w:tc>
            </w:tr>
            <w:tr w14:paraId="20A3A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378" w:type="dxa"/>
                  <w:vAlign w:val="center"/>
                </w:tcPr>
                <w:p w14:paraId="3ACFA3EA">
                  <w:pPr>
                    <w:keepNext w:val="0"/>
                    <w:keepLines w:val="0"/>
                    <w:suppressLineNumbers w:val="0"/>
                    <w:adjustRightInd w:val="0"/>
                    <w:snapToGrid w:val="0"/>
                    <w:spacing w:before="0" w:beforeAutospacing="0" w:after="0" w:afterAutospacing="0"/>
                    <w:ind w:left="0" w:right="0"/>
                    <w:jc w:val="center"/>
                    <w:rPr>
                      <w:rFonts w:hint="eastAsia" w:eastAsia="宋体"/>
                      <w:bCs/>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检验</w:t>
                  </w:r>
                </w:p>
              </w:tc>
              <w:tc>
                <w:tcPr>
                  <w:tcW w:w="1289" w:type="dxa"/>
                  <w:vAlign w:val="center"/>
                </w:tcPr>
                <w:p w14:paraId="17FF1A31">
                  <w:pPr>
                    <w:keepNext w:val="0"/>
                    <w:keepLines w:val="0"/>
                    <w:suppressLineNumbers w:val="0"/>
                    <w:adjustRightInd w:val="0"/>
                    <w:snapToGrid w:val="0"/>
                    <w:spacing w:before="0" w:beforeAutospacing="0" w:after="0" w:afterAutospacing="0"/>
                    <w:ind w:left="0" w:right="0"/>
                    <w:jc w:val="center"/>
                    <w:rPr>
                      <w:rFonts w:hint="eastAsia" w:eastAsiaTheme="minorEastAsia"/>
                      <w:color w:val="000000" w:themeColor="text1"/>
                      <w:kern w:val="0"/>
                      <w:sz w:val="21"/>
                      <w:szCs w:val="21"/>
                      <w:lang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不合格品</w:t>
                  </w:r>
                </w:p>
              </w:tc>
              <w:tc>
                <w:tcPr>
                  <w:tcW w:w="1526" w:type="dxa"/>
                  <w:vAlign w:val="center"/>
                </w:tcPr>
                <w:p w14:paraId="6F78C169">
                  <w:pPr>
                    <w:keepNext w:val="0"/>
                    <w:keepLines w:val="0"/>
                    <w:suppressLineNumbers w:val="0"/>
                    <w:adjustRightInd w:val="0"/>
                    <w:snapToGrid w:val="0"/>
                    <w:spacing w:before="0" w:beforeAutospacing="0" w:after="0" w:afterAutospacing="0"/>
                    <w:ind w:left="0" w:right="0"/>
                    <w:jc w:val="center"/>
                    <w:rPr>
                      <w:rFonts w:hint="default" w:eastAsia="宋体"/>
                      <w:bCs/>
                      <w:color w:val="000000" w:themeColor="text1"/>
                      <w:kern w:val="0"/>
                      <w:sz w:val="21"/>
                      <w:szCs w:val="21"/>
                      <w:lang w:val="en-US" w:eastAsia="zh-CN"/>
                      <w14:textFill>
                        <w14:solidFill>
                          <w14:schemeClr w14:val="tx1"/>
                        </w14:solidFill>
                      </w14:textFill>
                    </w:rPr>
                  </w:pPr>
                  <w:r>
                    <w:rPr>
                      <w:rFonts w:hint="eastAsia" w:ascii="TimesNewRomanPSMT" w:hAnsi="TimesNewRomanPSMT" w:cs="TimesNewRomanPSMT"/>
                      <w:color w:val="000000" w:themeColor="text1"/>
                      <w:kern w:val="0"/>
                      <w:sz w:val="21"/>
                      <w:szCs w:val="21"/>
                      <w14:textFill>
                        <w14:solidFill>
                          <w14:schemeClr w14:val="tx1"/>
                        </w14:solidFill>
                      </w14:textFill>
                    </w:rPr>
                    <w:t>900-099-S17</w:t>
                  </w:r>
                </w:p>
              </w:tc>
              <w:tc>
                <w:tcPr>
                  <w:tcW w:w="760" w:type="dxa"/>
                  <w:vMerge w:val="continue"/>
                  <w:shd w:val="clear" w:color="auto" w:fill="auto"/>
                  <w:vAlign w:val="center"/>
                </w:tcPr>
                <w:p w14:paraId="17D383C7">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p>
              </w:tc>
              <w:tc>
                <w:tcPr>
                  <w:tcW w:w="1317" w:type="dxa"/>
                  <w:shd w:val="clear" w:color="auto" w:fill="auto"/>
                  <w:vAlign w:val="center"/>
                </w:tcPr>
                <w:p w14:paraId="61F3C4BF">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w:t>
                  </w:r>
                </w:p>
              </w:tc>
              <w:tc>
                <w:tcPr>
                  <w:tcW w:w="708" w:type="dxa"/>
                  <w:shd w:val="clear" w:color="auto" w:fill="auto"/>
                  <w:vAlign w:val="center"/>
                </w:tcPr>
                <w:p w14:paraId="003B5917">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固态</w:t>
                  </w:r>
                </w:p>
              </w:tc>
              <w:tc>
                <w:tcPr>
                  <w:tcW w:w="975" w:type="dxa"/>
                  <w:shd w:val="clear" w:color="auto" w:fill="auto"/>
                  <w:vAlign w:val="center"/>
                </w:tcPr>
                <w:p w14:paraId="5044661E">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w:t>
                  </w:r>
                </w:p>
              </w:tc>
              <w:tc>
                <w:tcPr>
                  <w:tcW w:w="803" w:type="dxa"/>
                  <w:vAlign w:val="center"/>
                </w:tcPr>
                <w:p w14:paraId="5DE3989A">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w:t>
                  </w:r>
                </w:p>
              </w:tc>
              <w:tc>
                <w:tcPr>
                  <w:tcW w:w="1834" w:type="dxa"/>
                  <w:vMerge w:val="continue"/>
                  <w:vAlign w:val="center"/>
                </w:tcPr>
                <w:p w14:paraId="3AB98B67">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952" w:type="dxa"/>
                  <w:vAlign w:val="center"/>
                </w:tcPr>
                <w:p w14:paraId="5B969088">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w:t>
                  </w:r>
                </w:p>
              </w:tc>
              <w:tc>
                <w:tcPr>
                  <w:tcW w:w="930" w:type="dxa"/>
                  <w:vMerge w:val="continue"/>
                  <w:vAlign w:val="center"/>
                </w:tcPr>
                <w:p w14:paraId="76E8C4AE">
                  <w:pPr>
                    <w:keepNext w:val="0"/>
                    <w:keepLines w:val="0"/>
                    <w:suppressLineNumbers w:val="0"/>
                    <w:adjustRightInd w:val="0"/>
                    <w:snapToGrid w:val="0"/>
                    <w:spacing w:before="0" w:beforeAutospacing="0" w:after="0" w:afterAutospacing="0"/>
                    <w:ind w:left="0" w:right="0"/>
                    <w:jc w:val="both"/>
                    <w:rPr>
                      <w:rFonts w:hint="default"/>
                      <w:b/>
                      <w:color w:val="000000" w:themeColor="text1"/>
                      <w:kern w:val="0"/>
                      <w:sz w:val="21"/>
                      <w:szCs w:val="21"/>
                      <w14:textFill>
                        <w14:solidFill>
                          <w14:schemeClr w14:val="tx1"/>
                        </w14:solidFill>
                      </w14:textFill>
                    </w:rPr>
                  </w:pPr>
                </w:p>
              </w:tc>
            </w:tr>
            <w:tr w14:paraId="2410B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378" w:type="dxa"/>
                  <w:shd w:val="clear" w:color="auto" w:fill="auto"/>
                  <w:vAlign w:val="center"/>
                </w:tcPr>
                <w:p w14:paraId="7FE53A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入库</w:t>
                  </w:r>
                </w:p>
              </w:tc>
              <w:tc>
                <w:tcPr>
                  <w:tcW w:w="1289" w:type="dxa"/>
                  <w:shd w:val="clear" w:color="auto" w:fill="auto"/>
                  <w:vAlign w:val="center"/>
                </w:tcPr>
                <w:p w14:paraId="70972A0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eastAsia="宋体"/>
                      <w:color w:val="000000" w:themeColor="text1"/>
                      <w:kern w:val="0"/>
                      <w:sz w:val="21"/>
                      <w:szCs w:val="21"/>
                      <w:lang w:val="en-US" w:eastAsia="zh-CN"/>
                      <w14:textFill>
                        <w14:solidFill>
                          <w14:schemeClr w14:val="tx1"/>
                        </w14:solidFill>
                      </w14:textFill>
                    </w:rPr>
                    <w:t>未沾染危化品和危险废物的包装物</w:t>
                  </w:r>
                </w:p>
              </w:tc>
              <w:tc>
                <w:tcPr>
                  <w:tcW w:w="1526" w:type="dxa"/>
                  <w:vAlign w:val="center"/>
                </w:tcPr>
                <w:p w14:paraId="0CCA5C24">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900-099-S59</w:t>
                  </w:r>
                </w:p>
              </w:tc>
              <w:tc>
                <w:tcPr>
                  <w:tcW w:w="760" w:type="dxa"/>
                  <w:vMerge w:val="continue"/>
                  <w:shd w:val="clear" w:color="auto" w:fill="auto"/>
                  <w:vAlign w:val="center"/>
                </w:tcPr>
                <w:p w14:paraId="631EA319">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p>
              </w:tc>
              <w:tc>
                <w:tcPr>
                  <w:tcW w:w="1317" w:type="dxa"/>
                  <w:shd w:val="clear" w:color="auto" w:fill="auto"/>
                  <w:vAlign w:val="center"/>
                </w:tcPr>
                <w:p w14:paraId="78E133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bCs/>
                      <w:color w:val="000000" w:themeColor="text1"/>
                      <w:kern w:val="0"/>
                      <w:sz w:val="21"/>
                      <w:szCs w:val="21"/>
                      <w14:textFill>
                        <w14:solidFill>
                          <w14:schemeClr w14:val="tx1"/>
                        </w14:solidFill>
                      </w14:textFill>
                    </w:rPr>
                    <w:t>/</w:t>
                  </w:r>
                </w:p>
              </w:tc>
              <w:tc>
                <w:tcPr>
                  <w:tcW w:w="708" w:type="dxa"/>
                  <w:shd w:val="clear" w:color="auto" w:fill="auto"/>
                  <w:vAlign w:val="center"/>
                </w:tcPr>
                <w:p w14:paraId="620887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bCs/>
                      <w:color w:val="000000" w:themeColor="text1"/>
                      <w:kern w:val="0"/>
                      <w:sz w:val="21"/>
                      <w:szCs w:val="21"/>
                      <w14:textFill>
                        <w14:solidFill>
                          <w14:schemeClr w14:val="tx1"/>
                        </w14:solidFill>
                      </w14:textFill>
                    </w:rPr>
                    <w:t>固态</w:t>
                  </w:r>
                </w:p>
              </w:tc>
              <w:tc>
                <w:tcPr>
                  <w:tcW w:w="975" w:type="dxa"/>
                  <w:shd w:val="clear" w:color="auto" w:fill="auto"/>
                  <w:vAlign w:val="center"/>
                </w:tcPr>
                <w:p w14:paraId="51C633CA">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w:t>
                  </w:r>
                </w:p>
              </w:tc>
              <w:tc>
                <w:tcPr>
                  <w:tcW w:w="803" w:type="dxa"/>
                  <w:vAlign w:val="center"/>
                </w:tcPr>
                <w:p w14:paraId="0937AB1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0.2</w:t>
                  </w:r>
                </w:p>
              </w:tc>
              <w:tc>
                <w:tcPr>
                  <w:tcW w:w="1834" w:type="dxa"/>
                  <w:vMerge w:val="continue"/>
                  <w:vAlign w:val="center"/>
                </w:tcPr>
                <w:p w14:paraId="0EE9FF5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952" w:type="dxa"/>
                  <w:vAlign w:val="center"/>
                </w:tcPr>
                <w:p w14:paraId="4958D145">
                  <w:pPr>
                    <w:keepNext w:val="0"/>
                    <w:keepLines w:val="0"/>
                    <w:suppressLineNumbers w:val="0"/>
                    <w:adjustRightInd w:val="0"/>
                    <w:snapToGrid w:val="0"/>
                    <w:spacing w:before="0" w:beforeAutospacing="0" w:after="0" w:afterAutospacing="0"/>
                    <w:ind w:left="0" w:leftChars="0" w:right="0" w:right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0.2</w:t>
                  </w:r>
                </w:p>
              </w:tc>
              <w:tc>
                <w:tcPr>
                  <w:tcW w:w="930" w:type="dxa"/>
                  <w:vMerge w:val="continue"/>
                  <w:vAlign w:val="center"/>
                </w:tcPr>
                <w:p w14:paraId="368105B2">
                  <w:pPr>
                    <w:keepNext w:val="0"/>
                    <w:keepLines w:val="0"/>
                    <w:suppressLineNumbers w:val="0"/>
                    <w:adjustRightInd w:val="0"/>
                    <w:snapToGrid w:val="0"/>
                    <w:spacing w:before="0" w:beforeAutospacing="0" w:after="0" w:afterAutospacing="0"/>
                    <w:ind w:left="0" w:right="0"/>
                    <w:jc w:val="both"/>
                    <w:rPr>
                      <w:rFonts w:hint="default"/>
                      <w:b/>
                      <w:color w:val="000000" w:themeColor="text1"/>
                      <w:kern w:val="0"/>
                      <w:sz w:val="21"/>
                      <w:szCs w:val="21"/>
                      <w14:textFill>
                        <w14:solidFill>
                          <w14:schemeClr w14:val="tx1"/>
                        </w14:solidFill>
                      </w14:textFill>
                    </w:rPr>
                  </w:pPr>
                </w:p>
              </w:tc>
            </w:tr>
            <w:tr w14:paraId="48A35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378" w:type="dxa"/>
                  <w:shd w:val="clear" w:color="auto" w:fill="auto"/>
                  <w:vAlign w:val="center"/>
                </w:tcPr>
                <w:p w14:paraId="6F692A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除尘</w:t>
                  </w:r>
                </w:p>
              </w:tc>
              <w:tc>
                <w:tcPr>
                  <w:tcW w:w="1289" w:type="dxa"/>
                  <w:shd w:val="clear" w:color="auto" w:fill="auto"/>
                  <w:vAlign w:val="center"/>
                </w:tcPr>
                <w:p w14:paraId="263938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含尘过滤棉</w:t>
                  </w:r>
                </w:p>
              </w:tc>
              <w:tc>
                <w:tcPr>
                  <w:tcW w:w="1526" w:type="dxa"/>
                  <w:shd w:val="clear" w:color="auto" w:fill="auto"/>
                  <w:vAlign w:val="center"/>
                </w:tcPr>
                <w:p w14:paraId="2854ED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14:textFill>
                        <w14:solidFill>
                          <w14:schemeClr w14:val="tx1"/>
                        </w14:solidFill>
                      </w14:textFill>
                    </w:rPr>
                    <w:t>900-099-S59</w:t>
                  </w:r>
                </w:p>
              </w:tc>
              <w:tc>
                <w:tcPr>
                  <w:tcW w:w="760" w:type="dxa"/>
                  <w:vMerge w:val="continue"/>
                  <w:shd w:val="clear" w:color="auto" w:fill="auto"/>
                  <w:vAlign w:val="center"/>
                </w:tcPr>
                <w:p w14:paraId="11D60FE6">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p>
              </w:tc>
              <w:tc>
                <w:tcPr>
                  <w:tcW w:w="1317" w:type="dxa"/>
                  <w:shd w:val="clear" w:color="auto" w:fill="auto"/>
                  <w:vAlign w:val="center"/>
                </w:tcPr>
                <w:p w14:paraId="23B38D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bCs/>
                      <w:color w:val="000000" w:themeColor="text1"/>
                      <w:kern w:val="0"/>
                      <w:sz w:val="21"/>
                      <w:szCs w:val="21"/>
                      <w14:textFill>
                        <w14:solidFill>
                          <w14:schemeClr w14:val="tx1"/>
                        </w14:solidFill>
                      </w14:textFill>
                    </w:rPr>
                    <w:t>/</w:t>
                  </w:r>
                </w:p>
              </w:tc>
              <w:tc>
                <w:tcPr>
                  <w:tcW w:w="708" w:type="dxa"/>
                  <w:shd w:val="clear" w:color="auto" w:fill="auto"/>
                  <w:vAlign w:val="center"/>
                </w:tcPr>
                <w:p w14:paraId="7C856D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bCs/>
                      <w:color w:val="000000" w:themeColor="text1"/>
                      <w:kern w:val="0"/>
                      <w:sz w:val="21"/>
                      <w:szCs w:val="21"/>
                      <w14:textFill>
                        <w14:solidFill>
                          <w14:schemeClr w14:val="tx1"/>
                        </w14:solidFill>
                      </w14:textFill>
                    </w:rPr>
                    <w:t>固态</w:t>
                  </w:r>
                </w:p>
              </w:tc>
              <w:tc>
                <w:tcPr>
                  <w:tcW w:w="975" w:type="dxa"/>
                  <w:shd w:val="clear" w:color="auto" w:fill="auto"/>
                  <w:vAlign w:val="center"/>
                </w:tcPr>
                <w:p w14:paraId="40CA8D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bCs/>
                      <w:color w:val="000000" w:themeColor="text1"/>
                      <w:kern w:val="0"/>
                      <w:sz w:val="21"/>
                      <w:szCs w:val="21"/>
                      <w14:textFill>
                        <w14:solidFill>
                          <w14:schemeClr w14:val="tx1"/>
                        </w14:solidFill>
                      </w14:textFill>
                    </w:rPr>
                    <w:t>/</w:t>
                  </w:r>
                </w:p>
              </w:tc>
              <w:tc>
                <w:tcPr>
                  <w:tcW w:w="803" w:type="dxa"/>
                  <w:vAlign w:val="center"/>
                </w:tcPr>
                <w:p w14:paraId="3907A95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w:t>
                  </w:r>
                </w:p>
              </w:tc>
              <w:tc>
                <w:tcPr>
                  <w:tcW w:w="1834" w:type="dxa"/>
                  <w:vMerge w:val="continue"/>
                  <w:vAlign w:val="center"/>
                </w:tcPr>
                <w:p w14:paraId="65DAA174">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952" w:type="dxa"/>
                  <w:vAlign w:val="center"/>
                </w:tcPr>
                <w:p w14:paraId="16AEFC63">
                  <w:pPr>
                    <w:keepNext w:val="0"/>
                    <w:keepLines w:val="0"/>
                    <w:suppressLineNumbers w:val="0"/>
                    <w:adjustRightInd w:val="0"/>
                    <w:snapToGrid w:val="0"/>
                    <w:spacing w:before="0" w:beforeAutospacing="0" w:after="0" w:afterAutospacing="0"/>
                    <w:ind w:left="0" w:leftChars="0" w:right="0" w:rightChars="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w:t>
                  </w:r>
                </w:p>
              </w:tc>
              <w:tc>
                <w:tcPr>
                  <w:tcW w:w="930" w:type="dxa"/>
                  <w:vMerge w:val="continue"/>
                  <w:vAlign w:val="center"/>
                </w:tcPr>
                <w:p w14:paraId="75C5D0D2">
                  <w:pPr>
                    <w:keepNext w:val="0"/>
                    <w:keepLines w:val="0"/>
                    <w:suppressLineNumbers w:val="0"/>
                    <w:adjustRightInd w:val="0"/>
                    <w:snapToGrid w:val="0"/>
                    <w:spacing w:before="0" w:beforeAutospacing="0" w:after="0" w:afterAutospacing="0"/>
                    <w:ind w:left="0" w:right="0"/>
                    <w:jc w:val="both"/>
                    <w:rPr>
                      <w:rFonts w:hint="default"/>
                      <w:b/>
                      <w:color w:val="000000" w:themeColor="text1"/>
                      <w:kern w:val="0"/>
                      <w:sz w:val="21"/>
                      <w:szCs w:val="21"/>
                      <w14:textFill>
                        <w14:solidFill>
                          <w14:schemeClr w14:val="tx1"/>
                        </w14:solidFill>
                      </w14:textFill>
                    </w:rPr>
                  </w:pPr>
                </w:p>
              </w:tc>
            </w:tr>
            <w:tr w14:paraId="6B4B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378" w:type="dxa"/>
                  <w:shd w:val="clear" w:color="auto" w:fill="auto"/>
                  <w:vAlign w:val="center"/>
                </w:tcPr>
                <w:p w14:paraId="2A3FD9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喷漆</w:t>
                  </w:r>
                </w:p>
              </w:tc>
              <w:tc>
                <w:tcPr>
                  <w:tcW w:w="1289" w:type="dxa"/>
                  <w:vAlign w:val="center"/>
                </w:tcPr>
                <w:p w14:paraId="01F9DB5A">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废水性漆</w:t>
                  </w:r>
                </w:p>
              </w:tc>
              <w:tc>
                <w:tcPr>
                  <w:tcW w:w="1526" w:type="dxa"/>
                  <w:vAlign w:val="center"/>
                </w:tcPr>
                <w:p w14:paraId="2555BAF8">
                  <w:pPr>
                    <w:keepNext w:val="0"/>
                    <w:keepLines w:val="0"/>
                    <w:suppressLineNumbers w:val="0"/>
                    <w:adjustRightInd w:val="0"/>
                    <w:snapToGrid w:val="0"/>
                    <w:spacing w:before="0" w:beforeAutospacing="0" w:after="0" w:afterAutospacing="0"/>
                    <w:ind w:left="0" w:right="0"/>
                    <w:jc w:val="center"/>
                    <w:rPr>
                      <w:rFonts w:hint="eastAsia" w:eastAsia="宋体"/>
                      <w:bCs/>
                      <w:color w:val="000000" w:themeColor="text1"/>
                      <w:kern w:val="0"/>
                      <w:sz w:val="21"/>
                      <w:szCs w:val="21"/>
                      <w:lang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w:t>
                  </w:r>
                </w:p>
              </w:tc>
              <w:tc>
                <w:tcPr>
                  <w:tcW w:w="760" w:type="dxa"/>
                  <w:vMerge w:val="restart"/>
                  <w:vAlign w:val="center"/>
                </w:tcPr>
                <w:p w14:paraId="505CBBAA">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水性漆喷涂固废</w:t>
                  </w:r>
                </w:p>
              </w:tc>
              <w:tc>
                <w:tcPr>
                  <w:tcW w:w="1317" w:type="dxa"/>
                  <w:vAlign w:val="center"/>
                </w:tcPr>
                <w:p w14:paraId="0D21A06B">
                  <w:pPr>
                    <w:keepNext w:val="0"/>
                    <w:keepLines w:val="0"/>
                    <w:suppressLineNumbers w:val="0"/>
                    <w:adjustRightInd w:val="0"/>
                    <w:snapToGrid w:val="0"/>
                    <w:spacing w:before="0" w:beforeAutospacing="0" w:after="0" w:afterAutospacing="0"/>
                    <w:ind w:left="0" w:right="0"/>
                    <w:jc w:val="center"/>
                    <w:rPr>
                      <w:rFonts w:hint="eastAsia" w:eastAsia="宋体"/>
                      <w:bCs/>
                      <w:color w:val="000000" w:themeColor="text1"/>
                      <w:kern w:val="0"/>
                      <w:sz w:val="21"/>
                      <w:szCs w:val="21"/>
                      <w:lang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w:t>
                  </w:r>
                </w:p>
              </w:tc>
              <w:tc>
                <w:tcPr>
                  <w:tcW w:w="708" w:type="dxa"/>
                  <w:vAlign w:val="center"/>
                </w:tcPr>
                <w:p w14:paraId="20D74C5D">
                  <w:pPr>
                    <w:keepNext w:val="0"/>
                    <w:keepLines w:val="0"/>
                    <w:suppressLineNumbers w:val="0"/>
                    <w:adjustRightInd w:val="0"/>
                    <w:snapToGrid w:val="0"/>
                    <w:spacing w:before="0" w:beforeAutospacing="0" w:after="0" w:afterAutospacing="0"/>
                    <w:ind w:left="0" w:right="0"/>
                    <w:jc w:val="center"/>
                    <w:rPr>
                      <w:rFonts w:hint="default"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液态</w:t>
                  </w:r>
                </w:p>
              </w:tc>
              <w:tc>
                <w:tcPr>
                  <w:tcW w:w="975" w:type="dxa"/>
                  <w:vAlign w:val="center"/>
                </w:tcPr>
                <w:p w14:paraId="1AA3DFFD">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w:t>
                  </w:r>
                </w:p>
              </w:tc>
              <w:tc>
                <w:tcPr>
                  <w:tcW w:w="803" w:type="dxa"/>
                  <w:vAlign w:val="center"/>
                </w:tcPr>
                <w:p w14:paraId="4E38F9A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w:t>
                  </w:r>
                </w:p>
              </w:tc>
              <w:tc>
                <w:tcPr>
                  <w:tcW w:w="1834" w:type="dxa"/>
                  <w:vMerge w:val="restart"/>
                  <w:vAlign w:val="center"/>
                </w:tcPr>
                <w:p w14:paraId="0E0E40C0">
                  <w:pPr>
                    <w:keepNext w:val="0"/>
                    <w:keepLines w:val="0"/>
                    <w:suppressLineNumbers w:val="0"/>
                    <w:adjustRightInd w:val="0"/>
                    <w:snapToGrid w:val="0"/>
                    <w:spacing w:before="0" w:beforeAutospacing="0" w:after="0" w:afterAutospacing="0"/>
                    <w:ind w:left="0" w:right="0"/>
                    <w:jc w:val="both"/>
                    <w:rPr>
                      <w:rFonts w:hint="default"/>
                      <w:color w:val="000000" w:themeColor="text1"/>
                      <w:kern w:val="0"/>
                      <w:sz w:val="21"/>
                      <w:szCs w:val="21"/>
                      <w14:textFill>
                        <w14:solidFill>
                          <w14:schemeClr w14:val="tx1"/>
                        </w14:solidFill>
                      </w14:textFill>
                    </w:rPr>
                  </w:pPr>
                  <w:r>
                    <w:rPr>
                      <w:rFonts w:hint="eastAsia"/>
                      <w:color w:val="000000" w:themeColor="text1"/>
                      <w14:textFill>
                        <w14:solidFill>
                          <w14:schemeClr w14:val="tx1"/>
                        </w14:solidFill>
                      </w14:textFill>
                    </w:rPr>
                    <w:t>按当地环保相关要求，需进行危险废物属性鉴别，鉴别前暂按危废贮存与管理。未经危险废物属性鉴别，需交有相应危险废物处理资质的单位收运和处置</w:t>
                  </w:r>
                </w:p>
              </w:tc>
              <w:tc>
                <w:tcPr>
                  <w:tcW w:w="952" w:type="dxa"/>
                  <w:shd w:val="clear" w:color="auto" w:fill="auto"/>
                  <w:vAlign w:val="center"/>
                </w:tcPr>
                <w:p w14:paraId="3A00A545">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w:t>
                  </w:r>
                </w:p>
              </w:tc>
              <w:tc>
                <w:tcPr>
                  <w:tcW w:w="930" w:type="dxa"/>
                  <w:vMerge w:val="restart"/>
                  <w:vAlign w:val="center"/>
                </w:tcPr>
                <w:p w14:paraId="5377B65E">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r>
                    <w:rPr>
                      <w:rFonts w:hint="default"/>
                      <w:color w:val="000000" w:themeColor="text1"/>
                      <w:kern w:val="0"/>
                      <w:sz w:val="21"/>
                      <w:szCs w:val="21"/>
                      <w14:textFill>
                        <w14:solidFill>
                          <w14:schemeClr w14:val="tx1"/>
                        </w14:solidFill>
                      </w14:textFill>
                    </w:rPr>
                    <w:t>六防措施；记录危废台账</w:t>
                  </w:r>
                </w:p>
              </w:tc>
            </w:tr>
            <w:tr w14:paraId="364CA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378" w:type="dxa"/>
                  <w:shd w:val="clear" w:color="auto" w:fill="auto"/>
                  <w:vAlign w:val="center"/>
                </w:tcPr>
                <w:p w14:paraId="08AF7B1D">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调漆</w:t>
                  </w:r>
                </w:p>
              </w:tc>
              <w:tc>
                <w:tcPr>
                  <w:tcW w:w="1289" w:type="dxa"/>
                  <w:vAlign w:val="center"/>
                </w:tcPr>
                <w:p w14:paraId="5901C536">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废水性漆桶</w:t>
                  </w:r>
                </w:p>
              </w:tc>
              <w:tc>
                <w:tcPr>
                  <w:tcW w:w="1526" w:type="dxa"/>
                  <w:vAlign w:val="center"/>
                </w:tcPr>
                <w:p w14:paraId="01079310">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w:t>
                  </w:r>
                </w:p>
              </w:tc>
              <w:tc>
                <w:tcPr>
                  <w:tcW w:w="760" w:type="dxa"/>
                  <w:vMerge w:val="continue"/>
                  <w:vAlign w:val="center"/>
                </w:tcPr>
                <w:p w14:paraId="0B426961">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lang w:val="en-US" w:eastAsia="zh-CN"/>
                      <w14:textFill>
                        <w14:solidFill>
                          <w14:schemeClr w14:val="tx1"/>
                        </w14:solidFill>
                      </w14:textFill>
                    </w:rPr>
                  </w:pPr>
                </w:p>
              </w:tc>
              <w:tc>
                <w:tcPr>
                  <w:tcW w:w="1317" w:type="dxa"/>
                  <w:shd w:val="clear" w:color="auto" w:fill="auto"/>
                  <w:vAlign w:val="center"/>
                </w:tcPr>
                <w:p w14:paraId="09F2F65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w:t>
                  </w:r>
                </w:p>
              </w:tc>
              <w:tc>
                <w:tcPr>
                  <w:tcW w:w="708" w:type="dxa"/>
                  <w:shd w:val="clear" w:color="auto" w:fill="auto"/>
                  <w:vAlign w:val="center"/>
                </w:tcPr>
                <w:p w14:paraId="702D03E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bCs/>
                      <w:color w:val="000000" w:themeColor="text1"/>
                      <w:kern w:val="0"/>
                      <w:sz w:val="21"/>
                      <w:szCs w:val="21"/>
                      <w14:textFill>
                        <w14:solidFill>
                          <w14:schemeClr w14:val="tx1"/>
                        </w14:solidFill>
                      </w14:textFill>
                    </w:rPr>
                    <w:t>固态</w:t>
                  </w:r>
                </w:p>
              </w:tc>
              <w:tc>
                <w:tcPr>
                  <w:tcW w:w="975" w:type="dxa"/>
                  <w:shd w:val="clear" w:color="auto" w:fill="auto"/>
                  <w:vAlign w:val="center"/>
                </w:tcPr>
                <w:p w14:paraId="2331328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bCs/>
                      <w:color w:val="000000" w:themeColor="text1"/>
                      <w:kern w:val="0"/>
                      <w:sz w:val="21"/>
                      <w:szCs w:val="21"/>
                      <w14:textFill>
                        <w14:solidFill>
                          <w14:schemeClr w14:val="tx1"/>
                        </w14:solidFill>
                      </w14:textFill>
                    </w:rPr>
                    <w:t>/</w:t>
                  </w:r>
                </w:p>
              </w:tc>
              <w:tc>
                <w:tcPr>
                  <w:tcW w:w="803" w:type="dxa"/>
                  <w:vAlign w:val="center"/>
                </w:tcPr>
                <w:p w14:paraId="00A7E22F">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0.294</w:t>
                  </w:r>
                </w:p>
              </w:tc>
              <w:tc>
                <w:tcPr>
                  <w:tcW w:w="1834" w:type="dxa"/>
                  <w:vMerge w:val="continue"/>
                  <w:vAlign w:val="center"/>
                </w:tcPr>
                <w:p w14:paraId="6AD6F73A">
                  <w:pPr>
                    <w:keepNext w:val="0"/>
                    <w:keepLines w:val="0"/>
                    <w:suppressLineNumbers w:val="0"/>
                    <w:adjustRightInd w:val="0"/>
                    <w:snapToGrid w:val="0"/>
                    <w:spacing w:before="0" w:beforeAutospacing="0" w:after="0" w:afterAutospacing="0"/>
                    <w:ind w:left="0" w:right="0"/>
                    <w:jc w:val="both"/>
                    <w:rPr>
                      <w:rFonts w:hint="eastAsia"/>
                      <w:color w:val="000000" w:themeColor="text1"/>
                      <w14:textFill>
                        <w14:solidFill>
                          <w14:schemeClr w14:val="tx1"/>
                        </w14:solidFill>
                      </w14:textFill>
                    </w:rPr>
                  </w:pPr>
                </w:p>
              </w:tc>
              <w:tc>
                <w:tcPr>
                  <w:tcW w:w="952" w:type="dxa"/>
                  <w:shd w:val="clear" w:color="auto" w:fill="auto"/>
                  <w:vAlign w:val="center"/>
                </w:tcPr>
                <w:p w14:paraId="13FAEE1C">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0.294</w:t>
                  </w:r>
                </w:p>
              </w:tc>
              <w:tc>
                <w:tcPr>
                  <w:tcW w:w="930" w:type="dxa"/>
                  <w:vMerge w:val="continue"/>
                  <w:vAlign w:val="center"/>
                </w:tcPr>
                <w:p w14:paraId="2D5D0546">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03AFA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378" w:type="dxa"/>
                  <w:shd w:val="clear" w:color="auto" w:fill="auto"/>
                  <w:vAlign w:val="center"/>
                </w:tcPr>
                <w:p w14:paraId="5430BE64">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喷漆、喷漆废水处理</w:t>
                  </w:r>
                </w:p>
              </w:tc>
              <w:tc>
                <w:tcPr>
                  <w:tcW w:w="1289" w:type="dxa"/>
                  <w:shd w:val="clear" w:color="auto" w:fill="auto"/>
                  <w:vAlign w:val="center"/>
                </w:tcPr>
                <w:p w14:paraId="33C3E0DF">
                  <w:pPr>
                    <w:keepNext w:val="0"/>
                    <w:keepLines w:val="0"/>
                    <w:suppressLineNumbers w:val="0"/>
                    <w:adjustRightInd w:val="0"/>
                    <w:snapToGrid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水性漆渣</w:t>
                  </w:r>
                </w:p>
              </w:tc>
              <w:tc>
                <w:tcPr>
                  <w:tcW w:w="1526" w:type="dxa"/>
                  <w:shd w:val="clear" w:color="auto" w:fill="auto"/>
                  <w:vAlign w:val="center"/>
                </w:tcPr>
                <w:p w14:paraId="7ED77E9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w:t>
                  </w:r>
                </w:p>
              </w:tc>
              <w:tc>
                <w:tcPr>
                  <w:tcW w:w="760" w:type="dxa"/>
                  <w:vMerge w:val="continue"/>
                  <w:vAlign w:val="center"/>
                </w:tcPr>
                <w:p w14:paraId="02FFF3E1">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lang w:val="en-US" w:eastAsia="zh-CN"/>
                      <w14:textFill>
                        <w14:solidFill>
                          <w14:schemeClr w14:val="tx1"/>
                        </w14:solidFill>
                      </w14:textFill>
                    </w:rPr>
                  </w:pPr>
                </w:p>
              </w:tc>
              <w:tc>
                <w:tcPr>
                  <w:tcW w:w="1317" w:type="dxa"/>
                  <w:shd w:val="clear" w:color="auto" w:fill="auto"/>
                  <w:vAlign w:val="center"/>
                </w:tcPr>
                <w:p w14:paraId="31D0AB7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w:t>
                  </w:r>
                </w:p>
              </w:tc>
              <w:tc>
                <w:tcPr>
                  <w:tcW w:w="708" w:type="dxa"/>
                  <w:shd w:val="clear" w:color="auto" w:fill="auto"/>
                  <w:vAlign w:val="center"/>
                </w:tcPr>
                <w:p w14:paraId="10CFB79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bCs/>
                      <w:color w:val="000000" w:themeColor="text1"/>
                      <w:kern w:val="0"/>
                      <w:sz w:val="21"/>
                      <w:szCs w:val="21"/>
                      <w14:textFill>
                        <w14:solidFill>
                          <w14:schemeClr w14:val="tx1"/>
                        </w14:solidFill>
                      </w14:textFill>
                    </w:rPr>
                    <w:t>固态</w:t>
                  </w:r>
                </w:p>
              </w:tc>
              <w:tc>
                <w:tcPr>
                  <w:tcW w:w="975" w:type="dxa"/>
                  <w:shd w:val="clear" w:color="auto" w:fill="auto"/>
                  <w:vAlign w:val="center"/>
                </w:tcPr>
                <w:p w14:paraId="12931C9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bCs/>
                      <w:color w:val="000000" w:themeColor="text1"/>
                      <w:kern w:val="0"/>
                      <w:sz w:val="21"/>
                      <w:szCs w:val="21"/>
                      <w14:textFill>
                        <w14:solidFill>
                          <w14:schemeClr w14:val="tx1"/>
                        </w14:solidFill>
                      </w14:textFill>
                    </w:rPr>
                    <w:t>/</w:t>
                  </w:r>
                </w:p>
              </w:tc>
              <w:tc>
                <w:tcPr>
                  <w:tcW w:w="803" w:type="dxa"/>
                  <w:shd w:val="clear" w:color="auto" w:fill="auto"/>
                  <w:vAlign w:val="center"/>
                </w:tcPr>
                <w:p w14:paraId="0C11BEA2">
                  <w:pPr>
                    <w:keepNext w:val="0"/>
                    <w:keepLines w:val="0"/>
                    <w:suppressLineNumbers w:val="0"/>
                    <w:adjustRightInd w:val="0"/>
                    <w:snapToGrid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9</w:t>
                  </w:r>
                </w:p>
              </w:tc>
              <w:tc>
                <w:tcPr>
                  <w:tcW w:w="1834" w:type="dxa"/>
                  <w:vMerge w:val="continue"/>
                  <w:vAlign w:val="center"/>
                </w:tcPr>
                <w:p w14:paraId="41EBE9DB">
                  <w:pPr>
                    <w:keepNext w:val="0"/>
                    <w:keepLines w:val="0"/>
                    <w:suppressLineNumbers w:val="0"/>
                    <w:adjustRightInd w:val="0"/>
                    <w:snapToGrid w:val="0"/>
                    <w:spacing w:before="0" w:beforeAutospacing="0" w:after="0" w:afterAutospacing="0"/>
                    <w:ind w:left="0" w:right="0"/>
                    <w:jc w:val="both"/>
                    <w:rPr>
                      <w:rFonts w:hint="eastAsia"/>
                      <w:color w:val="000000" w:themeColor="text1"/>
                      <w14:textFill>
                        <w14:solidFill>
                          <w14:schemeClr w14:val="tx1"/>
                        </w14:solidFill>
                      </w14:textFill>
                    </w:rPr>
                  </w:pPr>
                </w:p>
              </w:tc>
              <w:tc>
                <w:tcPr>
                  <w:tcW w:w="952" w:type="dxa"/>
                  <w:shd w:val="clear" w:color="auto" w:fill="auto"/>
                  <w:vAlign w:val="center"/>
                </w:tcPr>
                <w:p w14:paraId="3114700F">
                  <w:pPr>
                    <w:keepNext w:val="0"/>
                    <w:keepLines w:val="0"/>
                    <w:suppressLineNumbers w:val="0"/>
                    <w:adjustRightInd w:val="0"/>
                    <w:snapToGrid w:val="0"/>
                    <w:spacing w:before="0" w:beforeAutospacing="0" w:after="0" w:afterAutospacing="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9</w:t>
                  </w:r>
                </w:p>
              </w:tc>
              <w:tc>
                <w:tcPr>
                  <w:tcW w:w="930" w:type="dxa"/>
                  <w:vMerge w:val="continue"/>
                  <w:vAlign w:val="center"/>
                </w:tcPr>
                <w:p w14:paraId="78D0C5A1">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r>
            <w:tr w14:paraId="7939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8" w:type="dxa"/>
                  <w:shd w:val="clear" w:color="auto" w:fill="auto"/>
                  <w:vAlign w:val="center"/>
                </w:tcPr>
                <w:p w14:paraId="706889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灯壳喷面漆遮蔽</w:t>
                  </w:r>
                </w:p>
              </w:tc>
              <w:tc>
                <w:tcPr>
                  <w:tcW w:w="1289" w:type="dxa"/>
                  <w:vAlign w:val="center"/>
                </w:tcPr>
                <w:p w14:paraId="1544A113">
                  <w:pPr>
                    <w:keepNext w:val="0"/>
                    <w:keepLines w:val="0"/>
                    <w:suppressLineNumbers w:val="0"/>
                    <w:adjustRightInd w:val="0"/>
                    <w:snapToGrid w:val="0"/>
                    <w:spacing w:before="0" w:beforeAutospacing="0" w:after="0" w:afterAutospacing="0"/>
                    <w:ind w:left="0" w:right="0"/>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废遮蔽纸</w:t>
                  </w:r>
                </w:p>
              </w:tc>
              <w:tc>
                <w:tcPr>
                  <w:tcW w:w="1526" w:type="dxa"/>
                  <w:shd w:val="clear" w:color="auto" w:fill="auto"/>
                  <w:vAlign w:val="center"/>
                </w:tcPr>
                <w:p w14:paraId="5D37D1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w:t>
                  </w:r>
                </w:p>
              </w:tc>
              <w:tc>
                <w:tcPr>
                  <w:tcW w:w="760" w:type="dxa"/>
                  <w:vMerge w:val="continue"/>
                  <w:shd w:val="clear" w:color="auto" w:fill="auto"/>
                  <w:vAlign w:val="center"/>
                </w:tcPr>
                <w:p w14:paraId="6265FC5B">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lang w:val="en-US" w:eastAsia="zh-CN"/>
                      <w14:textFill>
                        <w14:solidFill>
                          <w14:schemeClr w14:val="tx1"/>
                        </w14:solidFill>
                      </w14:textFill>
                    </w:rPr>
                  </w:pPr>
                </w:p>
              </w:tc>
              <w:tc>
                <w:tcPr>
                  <w:tcW w:w="1317" w:type="dxa"/>
                  <w:shd w:val="clear" w:color="auto" w:fill="auto"/>
                  <w:vAlign w:val="center"/>
                </w:tcPr>
                <w:p w14:paraId="0CF23B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w:t>
                  </w:r>
                </w:p>
              </w:tc>
              <w:tc>
                <w:tcPr>
                  <w:tcW w:w="708" w:type="dxa"/>
                  <w:shd w:val="clear" w:color="auto" w:fill="auto"/>
                  <w:vAlign w:val="center"/>
                </w:tcPr>
                <w:p w14:paraId="67218DD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bCs/>
                      <w:color w:val="000000" w:themeColor="text1"/>
                      <w:kern w:val="0"/>
                      <w:sz w:val="21"/>
                      <w:szCs w:val="21"/>
                      <w14:textFill>
                        <w14:solidFill>
                          <w14:schemeClr w14:val="tx1"/>
                        </w14:solidFill>
                      </w14:textFill>
                    </w:rPr>
                    <w:t>固态</w:t>
                  </w:r>
                </w:p>
              </w:tc>
              <w:tc>
                <w:tcPr>
                  <w:tcW w:w="975" w:type="dxa"/>
                  <w:shd w:val="clear" w:color="auto" w:fill="auto"/>
                  <w:vAlign w:val="center"/>
                </w:tcPr>
                <w:p w14:paraId="1FE446A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bCs/>
                      <w:color w:val="000000" w:themeColor="text1"/>
                      <w:kern w:val="0"/>
                      <w:sz w:val="21"/>
                      <w:szCs w:val="21"/>
                      <w14:textFill>
                        <w14:solidFill>
                          <w14:schemeClr w14:val="tx1"/>
                        </w14:solidFill>
                      </w14:textFill>
                    </w:rPr>
                    <w:t>/</w:t>
                  </w:r>
                </w:p>
              </w:tc>
              <w:tc>
                <w:tcPr>
                  <w:tcW w:w="803" w:type="dxa"/>
                  <w:vAlign w:val="center"/>
                </w:tcPr>
                <w:p w14:paraId="72D82546">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0.5</w:t>
                  </w:r>
                </w:p>
              </w:tc>
              <w:tc>
                <w:tcPr>
                  <w:tcW w:w="1834" w:type="dxa"/>
                  <w:vMerge w:val="continue"/>
                  <w:vAlign w:val="center"/>
                </w:tcPr>
                <w:p w14:paraId="53A3A73B">
                  <w:pPr>
                    <w:keepNext w:val="0"/>
                    <w:keepLines w:val="0"/>
                    <w:suppressLineNumbers w:val="0"/>
                    <w:adjustRightInd w:val="0"/>
                    <w:snapToGrid w:val="0"/>
                    <w:spacing w:before="0" w:beforeAutospacing="0" w:after="0" w:afterAutospacing="0"/>
                    <w:ind w:left="0" w:right="0"/>
                    <w:jc w:val="both"/>
                    <w:rPr>
                      <w:rFonts w:hint="default"/>
                      <w:color w:val="000000" w:themeColor="text1"/>
                      <w:kern w:val="0"/>
                      <w:sz w:val="21"/>
                      <w:szCs w:val="21"/>
                      <w14:textFill>
                        <w14:solidFill>
                          <w14:schemeClr w14:val="tx1"/>
                        </w14:solidFill>
                      </w14:textFill>
                    </w:rPr>
                  </w:pPr>
                </w:p>
              </w:tc>
              <w:tc>
                <w:tcPr>
                  <w:tcW w:w="952" w:type="dxa"/>
                  <w:shd w:val="clear" w:color="auto" w:fill="auto"/>
                  <w:vAlign w:val="center"/>
                </w:tcPr>
                <w:p w14:paraId="4EF52948">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0.5</w:t>
                  </w:r>
                </w:p>
              </w:tc>
              <w:tc>
                <w:tcPr>
                  <w:tcW w:w="930" w:type="dxa"/>
                  <w:vMerge w:val="continue"/>
                  <w:vAlign w:val="center"/>
                </w:tcPr>
                <w:p w14:paraId="6CC61934">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p>
              </w:tc>
            </w:tr>
            <w:tr w14:paraId="113F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378" w:type="dxa"/>
                  <w:shd w:val="clear" w:color="auto" w:fill="auto"/>
                  <w:vAlign w:val="center"/>
                </w:tcPr>
                <w:p w14:paraId="2E1D085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喷涂废气处理</w:t>
                  </w:r>
                </w:p>
              </w:tc>
              <w:tc>
                <w:tcPr>
                  <w:tcW w:w="1289" w:type="dxa"/>
                  <w:shd w:val="clear" w:color="auto" w:fill="auto"/>
                  <w:vAlign w:val="center"/>
                </w:tcPr>
                <w:p w14:paraId="0D6104D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废过滤棉</w:t>
                  </w:r>
                </w:p>
              </w:tc>
              <w:tc>
                <w:tcPr>
                  <w:tcW w:w="1526" w:type="dxa"/>
                  <w:shd w:val="clear" w:color="auto" w:fill="auto"/>
                  <w:vAlign w:val="center"/>
                </w:tcPr>
                <w:p w14:paraId="78202D69">
                  <w:pPr>
                    <w:keepNext w:val="0"/>
                    <w:keepLines w:val="0"/>
                    <w:suppressLineNumbers w:val="0"/>
                    <w:adjustRightInd w:val="0"/>
                    <w:snapToGrid w:val="0"/>
                    <w:spacing w:before="0" w:beforeAutospacing="0" w:after="0" w:afterAutospacing="0"/>
                    <w:ind w:left="0" w:right="0"/>
                    <w:jc w:val="center"/>
                    <w:rPr>
                      <w:rFonts w:hint="default" w:ascii="TimesNewRomanPSMT" w:hAnsi="TimesNewRomanPSMT" w:eastAsia="宋体" w:cs="TimesNewRomanPSMT"/>
                      <w:color w:val="000000" w:themeColor="text1"/>
                      <w:kern w:val="0"/>
                      <w:sz w:val="21"/>
                      <w:szCs w:val="21"/>
                      <w:lang w:val="en-US" w:eastAsia="zh-CN"/>
                      <w14:textFill>
                        <w14:solidFill>
                          <w14:schemeClr w14:val="tx1"/>
                        </w14:solidFill>
                      </w14:textFill>
                    </w:rPr>
                  </w:pPr>
                  <w:r>
                    <w:rPr>
                      <w:rFonts w:hint="eastAsia" w:ascii="TimesNewRomanPSMT" w:hAnsi="TimesNewRomanPSMT" w:cs="TimesNewRomanPSMT"/>
                      <w:color w:val="000000" w:themeColor="text1"/>
                      <w:kern w:val="0"/>
                      <w:sz w:val="21"/>
                      <w:szCs w:val="21"/>
                      <w14:textFill>
                        <w14:solidFill>
                          <w14:schemeClr w14:val="tx1"/>
                        </w14:solidFill>
                      </w14:textFill>
                    </w:rPr>
                    <w:t>HW</w:t>
                  </w:r>
                  <w:r>
                    <w:rPr>
                      <w:rFonts w:hint="eastAsia" w:ascii="TimesNewRomanPSMT" w:hAnsi="TimesNewRomanPSMT" w:cs="TimesNewRomanPSMT"/>
                      <w:color w:val="000000" w:themeColor="text1"/>
                      <w:kern w:val="0"/>
                      <w:sz w:val="21"/>
                      <w:szCs w:val="21"/>
                      <w:lang w:val="en-US" w:eastAsia="zh-CN"/>
                      <w14:textFill>
                        <w14:solidFill>
                          <w14:schemeClr w14:val="tx1"/>
                        </w14:solidFill>
                      </w14:textFill>
                    </w:rPr>
                    <w:t>49</w:t>
                  </w:r>
                </w:p>
                <w:p w14:paraId="05F1E137">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NewRomanPSMT" w:hAnsi="TimesNewRomanPSMT" w:cs="TimesNewRomanPSMT"/>
                      <w:color w:val="000000" w:themeColor="text1"/>
                      <w:kern w:val="0"/>
                      <w:sz w:val="21"/>
                      <w:szCs w:val="21"/>
                      <w14:textFill>
                        <w14:solidFill>
                          <w14:schemeClr w14:val="tx1"/>
                        </w14:solidFill>
                      </w14:textFill>
                    </w:rPr>
                    <w:t>900-041-49</w:t>
                  </w:r>
                </w:p>
              </w:tc>
              <w:tc>
                <w:tcPr>
                  <w:tcW w:w="760" w:type="dxa"/>
                  <w:vMerge w:val="restart"/>
                  <w:shd w:val="clear" w:color="auto" w:fill="auto"/>
                  <w:vAlign w:val="center"/>
                </w:tcPr>
                <w:p w14:paraId="756D0523">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危险废物</w:t>
                  </w:r>
                </w:p>
              </w:tc>
              <w:tc>
                <w:tcPr>
                  <w:tcW w:w="1317" w:type="dxa"/>
                  <w:shd w:val="clear" w:color="auto" w:fill="auto"/>
                  <w:vAlign w:val="center"/>
                </w:tcPr>
                <w:p w14:paraId="09BB84E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eastAsia="宋体"/>
                      <w:bCs/>
                      <w:color w:val="000000" w:themeColor="text1"/>
                      <w:kern w:val="0"/>
                      <w:sz w:val="21"/>
                      <w:szCs w:val="21"/>
                      <w:lang w:val="en-US" w:eastAsia="zh-CN"/>
                      <w14:textFill>
                        <w14:solidFill>
                          <w14:schemeClr w14:val="tx1"/>
                        </w14:solidFill>
                      </w14:textFill>
                    </w:rPr>
                    <w:t>有机废物</w:t>
                  </w:r>
                </w:p>
              </w:tc>
              <w:tc>
                <w:tcPr>
                  <w:tcW w:w="708" w:type="dxa"/>
                  <w:shd w:val="clear" w:color="auto" w:fill="auto"/>
                  <w:vAlign w:val="center"/>
                </w:tcPr>
                <w:p w14:paraId="3FB667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bCs/>
                      <w:color w:val="000000" w:themeColor="text1"/>
                      <w:kern w:val="0"/>
                      <w:sz w:val="21"/>
                      <w:szCs w:val="21"/>
                      <w14:textFill>
                        <w14:solidFill>
                          <w14:schemeClr w14:val="tx1"/>
                        </w14:solidFill>
                      </w14:textFill>
                    </w:rPr>
                    <w:t>固态</w:t>
                  </w:r>
                </w:p>
              </w:tc>
              <w:tc>
                <w:tcPr>
                  <w:tcW w:w="975" w:type="dxa"/>
                  <w:shd w:val="clear" w:color="auto" w:fill="auto"/>
                  <w:vAlign w:val="center"/>
                </w:tcPr>
                <w:p w14:paraId="4E177E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T，I</w:t>
                  </w:r>
                  <w:r>
                    <w:rPr>
                      <w:rFonts w:hint="eastAsia"/>
                      <w:color w:val="000000" w:themeColor="text1"/>
                      <w:sz w:val="21"/>
                      <w:szCs w:val="21"/>
                      <w:lang w:val="en-US" w:eastAsia="zh-CN"/>
                      <w14:textFill>
                        <w14:solidFill>
                          <w14:schemeClr w14:val="tx1"/>
                        </w14:solidFill>
                      </w14:textFill>
                    </w:rPr>
                    <w:t>n</w:t>
                  </w:r>
                </w:p>
              </w:tc>
              <w:tc>
                <w:tcPr>
                  <w:tcW w:w="803" w:type="dxa"/>
                  <w:shd w:val="clear" w:color="auto" w:fill="auto"/>
                  <w:vAlign w:val="center"/>
                </w:tcPr>
                <w:p w14:paraId="090A36F0">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0.6</w:t>
                  </w:r>
                </w:p>
              </w:tc>
              <w:tc>
                <w:tcPr>
                  <w:tcW w:w="1834" w:type="dxa"/>
                  <w:vMerge w:val="restart"/>
                  <w:shd w:val="clear" w:color="auto" w:fill="auto"/>
                  <w:vAlign w:val="center"/>
                </w:tcPr>
                <w:p w14:paraId="07D946CA">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暂存于危废贮存库，交由有资质的单位处置</w:t>
                  </w:r>
                </w:p>
              </w:tc>
              <w:tc>
                <w:tcPr>
                  <w:tcW w:w="952" w:type="dxa"/>
                  <w:shd w:val="clear" w:color="auto" w:fill="auto"/>
                  <w:vAlign w:val="center"/>
                </w:tcPr>
                <w:p w14:paraId="3CCF5CBB">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0.6</w:t>
                  </w:r>
                </w:p>
              </w:tc>
              <w:tc>
                <w:tcPr>
                  <w:tcW w:w="930" w:type="dxa"/>
                  <w:vMerge w:val="continue"/>
                  <w:shd w:val="clear" w:color="auto" w:fill="auto"/>
                  <w:vAlign w:val="center"/>
                </w:tcPr>
                <w:p w14:paraId="0A3BDB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kern w:val="0"/>
                      <w:sz w:val="21"/>
                      <w:szCs w:val="21"/>
                      <w:lang w:val="en-US" w:eastAsia="zh-CN" w:bidi="ar-SA"/>
                      <w14:textFill>
                        <w14:solidFill>
                          <w14:schemeClr w14:val="tx1"/>
                        </w14:solidFill>
                      </w14:textFill>
                    </w:rPr>
                  </w:pPr>
                </w:p>
              </w:tc>
            </w:tr>
            <w:tr w14:paraId="2D12D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378" w:type="dxa"/>
                  <w:shd w:val="clear" w:color="auto" w:fill="auto"/>
                  <w:vAlign w:val="center"/>
                </w:tcPr>
                <w:p w14:paraId="37F43AF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喷涂废气处理</w:t>
                  </w:r>
                </w:p>
              </w:tc>
              <w:tc>
                <w:tcPr>
                  <w:tcW w:w="1289" w:type="dxa"/>
                  <w:shd w:val="clear" w:color="auto" w:fill="auto"/>
                  <w:vAlign w:val="center"/>
                </w:tcPr>
                <w:p w14:paraId="27373FE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废</w:t>
                  </w:r>
                  <w:r>
                    <w:rPr>
                      <w:rFonts w:hint="eastAsia"/>
                      <w:color w:val="000000" w:themeColor="text1"/>
                      <w:kern w:val="0"/>
                      <w:sz w:val="21"/>
                      <w:szCs w:val="21"/>
                      <w:lang w:val="en-US" w:eastAsia="zh-CN"/>
                      <w14:textFill>
                        <w14:solidFill>
                          <w14:schemeClr w14:val="tx1"/>
                        </w14:solidFill>
                      </w14:textFill>
                    </w:rPr>
                    <w:t>活性炭</w:t>
                  </w:r>
                </w:p>
              </w:tc>
              <w:tc>
                <w:tcPr>
                  <w:tcW w:w="1526" w:type="dxa"/>
                  <w:shd w:val="clear" w:color="auto" w:fill="auto"/>
                  <w:vAlign w:val="center"/>
                </w:tcPr>
                <w:p w14:paraId="0AFA93B8">
                  <w:pPr>
                    <w:keepNext w:val="0"/>
                    <w:keepLines w:val="0"/>
                    <w:suppressLineNumbers w:val="0"/>
                    <w:adjustRightInd w:val="0"/>
                    <w:snapToGrid w:val="0"/>
                    <w:spacing w:before="0" w:beforeAutospacing="0" w:after="0" w:afterAutospacing="0"/>
                    <w:ind w:left="0" w:right="0"/>
                    <w:jc w:val="center"/>
                    <w:rPr>
                      <w:rFonts w:hint="default" w:ascii="TimesNewRomanPSMT" w:hAnsi="TimesNewRomanPSMT" w:eastAsia="宋体" w:cs="TimesNewRomanPSMT"/>
                      <w:color w:val="000000" w:themeColor="text1"/>
                      <w:kern w:val="0"/>
                      <w:sz w:val="21"/>
                      <w:szCs w:val="21"/>
                      <w:lang w:val="en-US" w:eastAsia="zh-CN"/>
                      <w14:textFill>
                        <w14:solidFill>
                          <w14:schemeClr w14:val="tx1"/>
                        </w14:solidFill>
                      </w14:textFill>
                    </w:rPr>
                  </w:pPr>
                  <w:r>
                    <w:rPr>
                      <w:rFonts w:hint="eastAsia" w:ascii="TimesNewRomanPSMT" w:hAnsi="TimesNewRomanPSMT" w:cs="TimesNewRomanPSMT"/>
                      <w:color w:val="000000" w:themeColor="text1"/>
                      <w:kern w:val="0"/>
                      <w:sz w:val="21"/>
                      <w:szCs w:val="21"/>
                      <w14:textFill>
                        <w14:solidFill>
                          <w14:schemeClr w14:val="tx1"/>
                        </w14:solidFill>
                      </w14:textFill>
                    </w:rPr>
                    <w:t>HW</w:t>
                  </w:r>
                  <w:r>
                    <w:rPr>
                      <w:rFonts w:hint="eastAsia" w:ascii="TimesNewRomanPSMT" w:hAnsi="TimesNewRomanPSMT" w:cs="TimesNewRomanPSMT"/>
                      <w:color w:val="000000" w:themeColor="text1"/>
                      <w:kern w:val="0"/>
                      <w:sz w:val="21"/>
                      <w:szCs w:val="21"/>
                      <w:lang w:val="en-US" w:eastAsia="zh-CN"/>
                      <w14:textFill>
                        <w14:solidFill>
                          <w14:schemeClr w14:val="tx1"/>
                        </w14:solidFill>
                      </w14:textFill>
                    </w:rPr>
                    <w:t>49</w:t>
                  </w:r>
                </w:p>
                <w:p w14:paraId="6B37D3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NewRomanPSMT" w:hAnsi="TimesNewRomanPSMT" w:eastAsia="TimesNewRomanPSMT" w:cs="TimesNewRomanPSMT"/>
                      <w:color w:val="000000" w:themeColor="text1"/>
                      <w:kern w:val="0"/>
                      <w:sz w:val="21"/>
                      <w:szCs w:val="21"/>
                      <w14:textFill>
                        <w14:solidFill>
                          <w14:schemeClr w14:val="tx1"/>
                        </w14:solidFill>
                      </w14:textFill>
                    </w:rPr>
                    <w:t>900-039-49</w:t>
                  </w:r>
                </w:p>
              </w:tc>
              <w:tc>
                <w:tcPr>
                  <w:tcW w:w="760" w:type="dxa"/>
                  <w:vMerge w:val="continue"/>
                  <w:shd w:val="clear" w:color="auto" w:fill="auto"/>
                  <w:vAlign w:val="center"/>
                </w:tcPr>
                <w:p w14:paraId="6AC2ACF3">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lang w:val="en-US" w:eastAsia="zh-CN"/>
                      <w14:textFill>
                        <w14:solidFill>
                          <w14:schemeClr w14:val="tx1"/>
                        </w14:solidFill>
                      </w14:textFill>
                    </w:rPr>
                  </w:pPr>
                </w:p>
              </w:tc>
              <w:tc>
                <w:tcPr>
                  <w:tcW w:w="1317" w:type="dxa"/>
                  <w:shd w:val="clear" w:color="auto" w:fill="auto"/>
                  <w:vAlign w:val="center"/>
                </w:tcPr>
                <w:p w14:paraId="42D5E7EA">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eastAsia="宋体"/>
                      <w:bCs/>
                      <w:color w:val="000000" w:themeColor="text1"/>
                      <w:kern w:val="0"/>
                      <w:sz w:val="21"/>
                      <w:szCs w:val="21"/>
                      <w:lang w:val="en-US" w:eastAsia="zh-CN"/>
                      <w14:textFill>
                        <w14:solidFill>
                          <w14:schemeClr w14:val="tx1"/>
                        </w14:solidFill>
                      </w14:textFill>
                    </w:rPr>
                    <w:t>有机废物</w:t>
                  </w:r>
                </w:p>
              </w:tc>
              <w:tc>
                <w:tcPr>
                  <w:tcW w:w="708" w:type="dxa"/>
                  <w:shd w:val="clear" w:color="auto" w:fill="auto"/>
                  <w:vAlign w:val="center"/>
                </w:tcPr>
                <w:p w14:paraId="378837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bCs/>
                      <w:color w:val="000000" w:themeColor="text1"/>
                      <w:kern w:val="0"/>
                      <w:sz w:val="21"/>
                      <w:szCs w:val="21"/>
                      <w14:textFill>
                        <w14:solidFill>
                          <w14:schemeClr w14:val="tx1"/>
                        </w14:solidFill>
                      </w14:textFill>
                    </w:rPr>
                    <w:t>固</w:t>
                  </w:r>
                  <w:r>
                    <w:rPr>
                      <w:rFonts w:hint="eastAsia"/>
                      <w:bCs/>
                      <w:color w:val="000000" w:themeColor="text1"/>
                      <w:kern w:val="0"/>
                      <w:sz w:val="21"/>
                      <w:szCs w:val="21"/>
                      <w14:textFill>
                        <w14:solidFill>
                          <w14:schemeClr w14:val="tx1"/>
                        </w14:solidFill>
                      </w14:textFill>
                    </w:rPr>
                    <w:t>态</w:t>
                  </w:r>
                </w:p>
              </w:tc>
              <w:tc>
                <w:tcPr>
                  <w:tcW w:w="975" w:type="dxa"/>
                  <w:shd w:val="clear" w:color="auto" w:fill="auto"/>
                  <w:vAlign w:val="center"/>
                </w:tcPr>
                <w:p w14:paraId="1FBF86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T</w:t>
                  </w:r>
                </w:p>
              </w:tc>
              <w:tc>
                <w:tcPr>
                  <w:tcW w:w="803" w:type="dxa"/>
                  <w:shd w:val="clear" w:color="auto" w:fill="auto"/>
                  <w:vAlign w:val="center"/>
                </w:tcPr>
                <w:p w14:paraId="04709F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12.73</w:t>
                  </w:r>
                </w:p>
              </w:tc>
              <w:tc>
                <w:tcPr>
                  <w:tcW w:w="1834" w:type="dxa"/>
                  <w:vMerge w:val="continue"/>
                  <w:shd w:val="clear" w:color="auto" w:fill="auto"/>
                  <w:vAlign w:val="center"/>
                </w:tcPr>
                <w:p w14:paraId="2831E208">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p>
              </w:tc>
              <w:tc>
                <w:tcPr>
                  <w:tcW w:w="952" w:type="dxa"/>
                  <w:shd w:val="clear" w:color="auto" w:fill="auto"/>
                  <w:vAlign w:val="center"/>
                </w:tcPr>
                <w:p w14:paraId="35BDB0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12.73</w:t>
                  </w:r>
                </w:p>
              </w:tc>
              <w:tc>
                <w:tcPr>
                  <w:tcW w:w="930" w:type="dxa"/>
                  <w:vMerge w:val="continue"/>
                  <w:vAlign w:val="center"/>
                </w:tcPr>
                <w:p w14:paraId="55E154B8">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p>
              </w:tc>
            </w:tr>
            <w:tr w14:paraId="3219F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378" w:type="dxa"/>
                  <w:shd w:val="clear" w:color="auto" w:fill="auto"/>
                  <w:vAlign w:val="center"/>
                </w:tcPr>
                <w:p w14:paraId="5A653648">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喷涂废气处理</w:t>
                  </w:r>
                </w:p>
              </w:tc>
              <w:tc>
                <w:tcPr>
                  <w:tcW w:w="1289" w:type="dxa"/>
                  <w:shd w:val="clear" w:color="auto" w:fill="auto"/>
                  <w:vAlign w:val="center"/>
                </w:tcPr>
                <w:p w14:paraId="7CBC79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废</w:t>
                  </w:r>
                  <w:r>
                    <w:rPr>
                      <w:rFonts w:hint="eastAsia"/>
                      <w:color w:val="000000" w:themeColor="text1"/>
                      <w:kern w:val="0"/>
                      <w:sz w:val="21"/>
                      <w:szCs w:val="21"/>
                      <w:lang w:val="en-US" w:eastAsia="zh-CN"/>
                      <w14:textFill>
                        <w14:solidFill>
                          <w14:schemeClr w14:val="tx1"/>
                        </w14:solidFill>
                      </w14:textFill>
                    </w:rPr>
                    <w:t>高分子过滤棉</w:t>
                  </w:r>
                </w:p>
              </w:tc>
              <w:tc>
                <w:tcPr>
                  <w:tcW w:w="1526" w:type="dxa"/>
                  <w:shd w:val="clear" w:color="auto" w:fill="auto"/>
                  <w:vAlign w:val="center"/>
                </w:tcPr>
                <w:p w14:paraId="39AAC2E6">
                  <w:pPr>
                    <w:keepNext w:val="0"/>
                    <w:keepLines w:val="0"/>
                    <w:suppressLineNumbers w:val="0"/>
                    <w:adjustRightInd w:val="0"/>
                    <w:snapToGrid w:val="0"/>
                    <w:spacing w:before="0" w:beforeAutospacing="0" w:after="0" w:afterAutospacing="0"/>
                    <w:ind w:left="0" w:right="0"/>
                    <w:jc w:val="center"/>
                    <w:rPr>
                      <w:rFonts w:hint="eastAsia" w:ascii="TimesNewRomanPSMT" w:hAnsi="TimesNewRomanPSMT" w:cs="TimesNewRomanPSMT"/>
                      <w:color w:val="000000" w:themeColor="text1"/>
                      <w:kern w:val="0"/>
                      <w:sz w:val="21"/>
                      <w:szCs w:val="21"/>
                      <w14:textFill>
                        <w14:solidFill>
                          <w14:schemeClr w14:val="tx1"/>
                        </w14:solidFill>
                      </w14:textFill>
                    </w:rPr>
                  </w:pPr>
                  <w:r>
                    <w:rPr>
                      <w:rFonts w:hint="eastAsia" w:ascii="TimesNewRomanPSMT" w:hAnsi="TimesNewRomanPSMT" w:cs="TimesNewRomanPSMT"/>
                      <w:color w:val="000000" w:themeColor="text1"/>
                      <w:kern w:val="0"/>
                      <w:sz w:val="21"/>
                      <w:szCs w:val="21"/>
                      <w14:textFill>
                        <w14:solidFill>
                          <w14:schemeClr w14:val="tx1"/>
                        </w14:solidFill>
                      </w14:textFill>
                    </w:rPr>
                    <w:t>HW49</w:t>
                  </w:r>
                </w:p>
                <w:p w14:paraId="608F15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NewRomanPSMT" w:hAnsi="TimesNewRomanPSMT" w:cs="TimesNewRomanPSMT"/>
                      <w:color w:val="000000" w:themeColor="text1"/>
                      <w:kern w:val="0"/>
                      <w:sz w:val="21"/>
                      <w:szCs w:val="21"/>
                      <w14:textFill>
                        <w14:solidFill>
                          <w14:schemeClr w14:val="tx1"/>
                        </w14:solidFill>
                      </w14:textFill>
                    </w:rPr>
                    <w:t>900-041-49</w:t>
                  </w:r>
                </w:p>
              </w:tc>
              <w:tc>
                <w:tcPr>
                  <w:tcW w:w="760" w:type="dxa"/>
                  <w:vMerge w:val="continue"/>
                  <w:shd w:val="clear" w:color="auto" w:fill="auto"/>
                  <w:vAlign w:val="center"/>
                </w:tcPr>
                <w:p w14:paraId="333235A3">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14:textFill>
                        <w14:solidFill>
                          <w14:schemeClr w14:val="tx1"/>
                        </w14:solidFill>
                      </w14:textFill>
                    </w:rPr>
                  </w:pPr>
                </w:p>
              </w:tc>
              <w:tc>
                <w:tcPr>
                  <w:tcW w:w="1317" w:type="dxa"/>
                  <w:shd w:val="clear" w:color="auto" w:fill="auto"/>
                  <w:vAlign w:val="center"/>
                </w:tcPr>
                <w:p w14:paraId="6E4DDD5F">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eastAsia="宋体"/>
                      <w:bCs/>
                      <w:color w:val="000000" w:themeColor="text1"/>
                      <w:kern w:val="0"/>
                      <w:sz w:val="21"/>
                      <w:szCs w:val="21"/>
                      <w:lang w:val="en-US" w:eastAsia="zh-CN"/>
                      <w14:textFill>
                        <w14:solidFill>
                          <w14:schemeClr w14:val="tx1"/>
                        </w14:solidFill>
                      </w14:textFill>
                    </w:rPr>
                    <w:t>有机废物</w:t>
                  </w:r>
                </w:p>
              </w:tc>
              <w:tc>
                <w:tcPr>
                  <w:tcW w:w="708" w:type="dxa"/>
                  <w:shd w:val="clear" w:color="auto" w:fill="auto"/>
                  <w:vAlign w:val="center"/>
                </w:tcPr>
                <w:p w14:paraId="32612F1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bCs/>
                      <w:color w:val="000000" w:themeColor="text1"/>
                      <w:kern w:val="0"/>
                      <w:sz w:val="21"/>
                      <w:szCs w:val="21"/>
                      <w14:textFill>
                        <w14:solidFill>
                          <w14:schemeClr w14:val="tx1"/>
                        </w14:solidFill>
                      </w14:textFill>
                    </w:rPr>
                    <w:t>固态</w:t>
                  </w:r>
                </w:p>
              </w:tc>
              <w:tc>
                <w:tcPr>
                  <w:tcW w:w="975" w:type="dxa"/>
                  <w:shd w:val="clear" w:color="auto" w:fill="auto"/>
                  <w:vAlign w:val="center"/>
                </w:tcPr>
                <w:p w14:paraId="079A395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T，I</w:t>
                  </w:r>
                  <w:r>
                    <w:rPr>
                      <w:rFonts w:hint="eastAsia"/>
                      <w:color w:val="000000" w:themeColor="text1"/>
                      <w:sz w:val="21"/>
                      <w:szCs w:val="21"/>
                      <w:lang w:val="en-US" w:eastAsia="zh-CN"/>
                      <w14:textFill>
                        <w14:solidFill>
                          <w14:schemeClr w14:val="tx1"/>
                        </w14:solidFill>
                      </w14:textFill>
                    </w:rPr>
                    <w:t>n</w:t>
                  </w:r>
                </w:p>
              </w:tc>
              <w:tc>
                <w:tcPr>
                  <w:tcW w:w="803" w:type="dxa"/>
                  <w:shd w:val="clear" w:color="auto" w:fill="auto"/>
                  <w:vAlign w:val="center"/>
                </w:tcPr>
                <w:p w14:paraId="50721D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0.42</w:t>
                  </w:r>
                </w:p>
              </w:tc>
              <w:tc>
                <w:tcPr>
                  <w:tcW w:w="1834" w:type="dxa"/>
                  <w:vMerge w:val="continue"/>
                  <w:vAlign w:val="center"/>
                </w:tcPr>
                <w:p w14:paraId="58DAA58A">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p>
              </w:tc>
              <w:tc>
                <w:tcPr>
                  <w:tcW w:w="952" w:type="dxa"/>
                  <w:vAlign w:val="center"/>
                </w:tcPr>
                <w:p w14:paraId="6065409F">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eastAsia="宋体"/>
                      <w:color w:val="000000" w:themeColor="text1"/>
                      <w:kern w:val="0"/>
                      <w:sz w:val="21"/>
                      <w:szCs w:val="21"/>
                      <w:lang w:val="en-US" w:eastAsia="zh-CN"/>
                      <w14:textFill>
                        <w14:solidFill>
                          <w14:schemeClr w14:val="tx1"/>
                        </w14:solidFill>
                      </w14:textFill>
                    </w:rPr>
                    <w:t>0.</w:t>
                  </w:r>
                  <w:r>
                    <w:rPr>
                      <w:rFonts w:hint="eastAsia"/>
                      <w:color w:val="000000" w:themeColor="text1"/>
                      <w:kern w:val="0"/>
                      <w:sz w:val="21"/>
                      <w:szCs w:val="21"/>
                      <w:lang w:val="en-US" w:eastAsia="zh-CN"/>
                      <w14:textFill>
                        <w14:solidFill>
                          <w14:schemeClr w14:val="tx1"/>
                        </w14:solidFill>
                      </w14:textFill>
                    </w:rPr>
                    <w:t>12</w:t>
                  </w:r>
                </w:p>
              </w:tc>
              <w:tc>
                <w:tcPr>
                  <w:tcW w:w="930" w:type="dxa"/>
                  <w:vMerge w:val="continue"/>
                  <w:vAlign w:val="center"/>
                </w:tcPr>
                <w:p w14:paraId="7CA7C13C">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p>
              </w:tc>
            </w:tr>
            <w:tr w14:paraId="6D6D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78" w:type="dxa"/>
                  <w:shd w:val="clear" w:color="auto" w:fill="auto"/>
                  <w:vAlign w:val="center"/>
                </w:tcPr>
                <w:p w14:paraId="6109BA62">
                  <w:pPr>
                    <w:keepNext w:val="0"/>
                    <w:keepLines w:val="0"/>
                    <w:suppressLineNumbers w:val="0"/>
                    <w:autoSpaceDE w:val="0"/>
                    <w:autoSpaceDN w:val="0"/>
                    <w:adjustRightIn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设备维护保养</w:t>
                  </w:r>
                </w:p>
              </w:tc>
              <w:tc>
                <w:tcPr>
                  <w:tcW w:w="1289" w:type="dxa"/>
                  <w:vAlign w:val="center"/>
                </w:tcPr>
                <w:p w14:paraId="300677B4">
                  <w:pPr>
                    <w:keepNext w:val="0"/>
                    <w:keepLines w:val="0"/>
                    <w:suppressLineNumbers w:val="0"/>
                    <w:adjustRightInd w:val="0"/>
                    <w:snapToGrid w:val="0"/>
                    <w:spacing w:before="0" w:beforeAutospacing="0" w:after="0" w:afterAutospacing="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含油棉纱、手套</w:t>
                  </w:r>
                </w:p>
              </w:tc>
              <w:tc>
                <w:tcPr>
                  <w:tcW w:w="1526" w:type="dxa"/>
                  <w:vAlign w:val="center"/>
                </w:tcPr>
                <w:p w14:paraId="1C480279">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HW49</w:t>
                  </w:r>
                </w:p>
                <w:p w14:paraId="4CD46609">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900-041-49</w:t>
                  </w:r>
                </w:p>
              </w:tc>
              <w:tc>
                <w:tcPr>
                  <w:tcW w:w="760" w:type="dxa"/>
                  <w:vMerge w:val="continue"/>
                  <w:vAlign w:val="center"/>
                </w:tcPr>
                <w:p w14:paraId="382230A3">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14:textFill>
                        <w14:solidFill>
                          <w14:schemeClr w14:val="tx1"/>
                        </w14:solidFill>
                      </w14:textFill>
                    </w:rPr>
                  </w:pPr>
                </w:p>
              </w:tc>
              <w:tc>
                <w:tcPr>
                  <w:tcW w:w="1317" w:type="dxa"/>
                  <w:vAlign w:val="center"/>
                </w:tcPr>
                <w:p w14:paraId="2AEAA8EE">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矿物油</w:t>
                  </w:r>
                </w:p>
              </w:tc>
              <w:tc>
                <w:tcPr>
                  <w:tcW w:w="708" w:type="dxa"/>
                  <w:vAlign w:val="center"/>
                </w:tcPr>
                <w:p w14:paraId="5D72D336">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固态</w:t>
                  </w:r>
                </w:p>
              </w:tc>
              <w:tc>
                <w:tcPr>
                  <w:tcW w:w="975" w:type="dxa"/>
                  <w:vAlign w:val="center"/>
                </w:tcPr>
                <w:p w14:paraId="1D8AA16B">
                  <w:pPr>
                    <w:keepNext w:val="0"/>
                    <w:keepLines w:val="0"/>
                    <w:suppressLineNumbers w:val="0"/>
                    <w:adjustRightInd w:val="0"/>
                    <w:snapToGri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T，I</w:t>
                  </w:r>
                  <w:r>
                    <w:rPr>
                      <w:rFonts w:hint="eastAsia"/>
                      <w:color w:val="000000" w:themeColor="text1"/>
                      <w:sz w:val="21"/>
                      <w:szCs w:val="21"/>
                      <w:lang w:val="en-US" w:eastAsia="zh-CN"/>
                      <w14:textFill>
                        <w14:solidFill>
                          <w14:schemeClr w14:val="tx1"/>
                        </w14:solidFill>
                      </w14:textFill>
                    </w:rPr>
                    <w:t>n</w:t>
                  </w:r>
                </w:p>
              </w:tc>
              <w:tc>
                <w:tcPr>
                  <w:tcW w:w="803" w:type="dxa"/>
                  <w:vAlign w:val="center"/>
                </w:tcPr>
                <w:p w14:paraId="24036BBD">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0.02</w:t>
                  </w:r>
                </w:p>
              </w:tc>
              <w:tc>
                <w:tcPr>
                  <w:tcW w:w="1834" w:type="dxa"/>
                  <w:vMerge w:val="continue"/>
                  <w:vAlign w:val="center"/>
                </w:tcPr>
                <w:p w14:paraId="60F10C47">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952" w:type="dxa"/>
                  <w:vAlign w:val="center"/>
                </w:tcPr>
                <w:p w14:paraId="706FCBC3">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0.02</w:t>
                  </w:r>
                </w:p>
              </w:tc>
              <w:tc>
                <w:tcPr>
                  <w:tcW w:w="930" w:type="dxa"/>
                  <w:vMerge w:val="continue"/>
                  <w:vAlign w:val="center"/>
                </w:tcPr>
                <w:p w14:paraId="0D7EABFD">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p>
              </w:tc>
            </w:tr>
            <w:tr w14:paraId="56FC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78" w:type="dxa"/>
                  <w:shd w:val="clear" w:color="auto" w:fill="auto"/>
                  <w:vAlign w:val="center"/>
                </w:tcPr>
                <w:p w14:paraId="566A4172">
                  <w:pPr>
                    <w:keepNext w:val="0"/>
                    <w:keepLines w:val="0"/>
                    <w:suppressLineNumbers w:val="0"/>
                    <w:autoSpaceDE w:val="0"/>
                    <w:autoSpaceDN w:val="0"/>
                    <w:adjustRightInd w:val="0"/>
                    <w:spacing w:before="0" w:beforeAutospacing="0" w:after="0" w:afterAutospacing="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设备维护保养</w:t>
                  </w:r>
                </w:p>
              </w:tc>
              <w:tc>
                <w:tcPr>
                  <w:tcW w:w="1289" w:type="dxa"/>
                  <w:vAlign w:val="center"/>
                </w:tcPr>
                <w:p w14:paraId="64B3004B">
                  <w:pPr>
                    <w:keepNext w:val="0"/>
                    <w:keepLines w:val="0"/>
                    <w:suppressLineNumbers w:val="0"/>
                    <w:adjustRightInd w:val="0"/>
                    <w:snapToGrid w:val="0"/>
                    <w:spacing w:before="0" w:beforeAutospacing="0" w:after="0" w:afterAutospacing="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废油桶</w:t>
                  </w:r>
                </w:p>
              </w:tc>
              <w:tc>
                <w:tcPr>
                  <w:tcW w:w="1526" w:type="dxa"/>
                  <w:vAlign w:val="center"/>
                </w:tcPr>
                <w:p w14:paraId="0DB7B420">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HW08</w:t>
                  </w:r>
                </w:p>
                <w:p w14:paraId="1C4FAF65">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900-249-08</w:t>
                  </w:r>
                </w:p>
              </w:tc>
              <w:tc>
                <w:tcPr>
                  <w:tcW w:w="760" w:type="dxa"/>
                  <w:vMerge w:val="continue"/>
                  <w:vAlign w:val="center"/>
                </w:tcPr>
                <w:p w14:paraId="0F9597FA">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14:textFill>
                        <w14:solidFill>
                          <w14:schemeClr w14:val="tx1"/>
                        </w14:solidFill>
                      </w14:textFill>
                    </w:rPr>
                  </w:pPr>
                </w:p>
              </w:tc>
              <w:tc>
                <w:tcPr>
                  <w:tcW w:w="1317" w:type="dxa"/>
                  <w:vAlign w:val="center"/>
                </w:tcPr>
                <w:p w14:paraId="02520A2B">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矿物油</w:t>
                  </w:r>
                </w:p>
              </w:tc>
              <w:tc>
                <w:tcPr>
                  <w:tcW w:w="708" w:type="dxa"/>
                  <w:vAlign w:val="center"/>
                </w:tcPr>
                <w:p w14:paraId="44B8390B">
                  <w:pPr>
                    <w:keepNext w:val="0"/>
                    <w:keepLines w:val="0"/>
                    <w:suppressLineNumbers w:val="0"/>
                    <w:adjustRightInd w:val="0"/>
                    <w:snapToGrid w:val="0"/>
                    <w:spacing w:before="0" w:beforeAutospacing="0" w:after="0" w:afterAutospacing="0"/>
                    <w:ind w:left="0" w:right="0"/>
                    <w:jc w:val="center"/>
                    <w:rPr>
                      <w:rFonts w:hint="default" w:eastAsiaTheme="minorEastAsia"/>
                      <w:bCs/>
                      <w:color w:val="000000" w:themeColor="text1"/>
                      <w:kern w:val="0"/>
                      <w:sz w:val="21"/>
                      <w:szCs w:val="21"/>
                      <w:lang w:val="en-US" w:eastAsia="zh-CN"/>
                      <w14:textFill>
                        <w14:solidFill>
                          <w14:schemeClr w14:val="tx1"/>
                        </w14:solidFill>
                      </w14:textFill>
                    </w:rPr>
                  </w:pPr>
                  <w:r>
                    <w:rPr>
                      <w:rFonts w:hint="default"/>
                      <w:bCs/>
                      <w:color w:val="000000" w:themeColor="text1"/>
                      <w:kern w:val="0"/>
                      <w:sz w:val="21"/>
                      <w:szCs w:val="21"/>
                      <w14:textFill>
                        <w14:solidFill>
                          <w14:schemeClr w14:val="tx1"/>
                        </w14:solidFill>
                      </w14:textFill>
                    </w:rPr>
                    <w:t>固态</w:t>
                  </w:r>
                </w:p>
              </w:tc>
              <w:tc>
                <w:tcPr>
                  <w:tcW w:w="975" w:type="dxa"/>
                  <w:vAlign w:val="center"/>
                </w:tcPr>
                <w:p w14:paraId="474D84C8">
                  <w:pPr>
                    <w:keepNext w:val="0"/>
                    <w:keepLines w:val="0"/>
                    <w:suppressLineNumbers w:val="0"/>
                    <w:adjustRightInd w:val="0"/>
                    <w:snapToGri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T，I</w:t>
                  </w:r>
                </w:p>
              </w:tc>
              <w:tc>
                <w:tcPr>
                  <w:tcW w:w="803" w:type="dxa"/>
                  <w:vAlign w:val="center"/>
                </w:tcPr>
                <w:p w14:paraId="1D60B89F">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w:t>
                  </w:r>
                </w:p>
              </w:tc>
              <w:tc>
                <w:tcPr>
                  <w:tcW w:w="1834" w:type="dxa"/>
                  <w:vMerge w:val="continue"/>
                  <w:vAlign w:val="center"/>
                </w:tcPr>
                <w:p w14:paraId="41363A56">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952" w:type="dxa"/>
                  <w:vAlign w:val="center"/>
                </w:tcPr>
                <w:p w14:paraId="4FB59F7F">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w:t>
                  </w:r>
                </w:p>
              </w:tc>
              <w:tc>
                <w:tcPr>
                  <w:tcW w:w="930" w:type="dxa"/>
                  <w:vMerge w:val="continue"/>
                  <w:vAlign w:val="center"/>
                </w:tcPr>
                <w:p w14:paraId="61FFA894">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p>
              </w:tc>
            </w:tr>
            <w:tr w14:paraId="29B2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78" w:type="dxa"/>
                  <w:shd w:val="clear" w:color="auto" w:fill="auto"/>
                  <w:vAlign w:val="center"/>
                </w:tcPr>
                <w:p w14:paraId="68C87C81">
                  <w:pPr>
                    <w:keepNext w:val="0"/>
                    <w:keepLines w:val="0"/>
                    <w:suppressLineNumbers w:val="0"/>
                    <w:autoSpaceDE w:val="0"/>
                    <w:autoSpaceDN w:val="0"/>
                    <w:adjustRightInd w:val="0"/>
                    <w:spacing w:before="0" w:beforeAutospacing="0" w:after="0" w:afterAutospacing="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设备维护保养</w:t>
                  </w:r>
                </w:p>
              </w:tc>
              <w:tc>
                <w:tcPr>
                  <w:tcW w:w="1289" w:type="dxa"/>
                  <w:vAlign w:val="center"/>
                </w:tcPr>
                <w:p w14:paraId="0DA62578">
                  <w:pPr>
                    <w:keepNext w:val="0"/>
                    <w:keepLines w:val="0"/>
                    <w:suppressLineNumbers w:val="0"/>
                    <w:adjustRightInd w:val="0"/>
                    <w:snapToGrid w:val="0"/>
                    <w:spacing w:before="0" w:beforeAutospacing="0" w:after="0" w:afterAutospacing="0"/>
                    <w:ind w:left="0" w:right="0"/>
                    <w:jc w:val="center"/>
                    <w:rPr>
                      <w:rFonts w:hint="eastAsia"/>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废机油</w:t>
                  </w:r>
                </w:p>
              </w:tc>
              <w:tc>
                <w:tcPr>
                  <w:tcW w:w="1526" w:type="dxa"/>
                  <w:vAlign w:val="center"/>
                </w:tcPr>
                <w:p w14:paraId="7EE9EC5B">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HW08</w:t>
                  </w:r>
                </w:p>
                <w:p w14:paraId="16580C72">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900-249-08</w:t>
                  </w:r>
                </w:p>
              </w:tc>
              <w:tc>
                <w:tcPr>
                  <w:tcW w:w="760" w:type="dxa"/>
                  <w:vMerge w:val="continue"/>
                  <w:vAlign w:val="center"/>
                </w:tcPr>
                <w:p w14:paraId="66B1B98F">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14:textFill>
                        <w14:solidFill>
                          <w14:schemeClr w14:val="tx1"/>
                        </w14:solidFill>
                      </w14:textFill>
                    </w:rPr>
                  </w:pPr>
                </w:p>
              </w:tc>
              <w:tc>
                <w:tcPr>
                  <w:tcW w:w="1317" w:type="dxa"/>
                  <w:vAlign w:val="center"/>
                </w:tcPr>
                <w:p w14:paraId="2D313150">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矿物油</w:t>
                  </w:r>
                </w:p>
              </w:tc>
              <w:tc>
                <w:tcPr>
                  <w:tcW w:w="708" w:type="dxa"/>
                  <w:vAlign w:val="center"/>
                </w:tcPr>
                <w:p w14:paraId="7543C3DE">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液态</w:t>
                  </w:r>
                </w:p>
              </w:tc>
              <w:tc>
                <w:tcPr>
                  <w:tcW w:w="975" w:type="dxa"/>
                  <w:vAlign w:val="center"/>
                </w:tcPr>
                <w:p w14:paraId="482D5D35">
                  <w:pPr>
                    <w:keepNext w:val="0"/>
                    <w:keepLines w:val="0"/>
                    <w:suppressLineNumbers w:val="0"/>
                    <w:adjustRightInd w:val="0"/>
                    <w:snapToGrid w:val="0"/>
                    <w:spacing w:before="0" w:beforeAutospacing="0" w:after="0" w:afterAutospacing="0"/>
                    <w:ind w:left="0" w:right="0"/>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T，I</w:t>
                  </w:r>
                </w:p>
              </w:tc>
              <w:tc>
                <w:tcPr>
                  <w:tcW w:w="803" w:type="dxa"/>
                  <w:vAlign w:val="center"/>
                </w:tcPr>
                <w:p w14:paraId="42C3FF2F">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0.01</w:t>
                  </w:r>
                </w:p>
              </w:tc>
              <w:tc>
                <w:tcPr>
                  <w:tcW w:w="1834" w:type="dxa"/>
                  <w:vMerge w:val="continue"/>
                  <w:vAlign w:val="center"/>
                </w:tcPr>
                <w:p w14:paraId="1FB8913E">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952" w:type="dxa"/>
                  <w:vAlign w:val="center"/>
                </w:tcPr>
                <w:p w14:paraId="685ED798">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0.01</w:t>
                  </w:r>
                </w:p>
              </w:tc>
              <w:tc>
                <w:tcPr>
                  <w:tcW w:w="930" w:type="dxa"/>
                  <w:vMerge w:val="continue"/>
                  <w:vAlign w:val="center"/>
                </w:tcPr>
                <w:p w14:paraId="4D64B528">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p>
              </w:tc>
            </w:tr>
            <w:tr w14:paraId="167C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378" w:type="dxa"/>
                  <w:shd w:val="clear" w:color="auto" w:fill="auto"/>
                  <w:vAlign w:val="center"/>
                </w:tcPr>
                <w:p w14:paraId="0B98C1EA">
                  <w:pPr>
                    <w:keepNext w:val="0"/>
                    <w:keepLines w:val="0"/>
                    <w:suppressLineNumbers w:val="0"/>
                    <w:autoSpaceDE w:val="0"/>
                    <w:autoSpaceDN w:val="0"/>
                    <w:adjustRightInd w:val="0"/>
                    <w:spacing w:before="0" w:beforeAutospacing="0" w:after="0" w:afterAutospacing="0"/>
                    <w:ind w:left="0" w:right="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空压机</w:t>
                  </w:r>
                </w:p>
              </w:tc>
              <w:tc>
                <w:tcPr>
                  <w:tcW w:w="1289" w:type="dxa"/>
                  <w:vAlign w:val="center"/>
                </w:tcPr>
                <w:p w14:paraId="0E395DAB">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空压机含油冷凝废液</w:t>
                  </w:r>
                </w:p>
              </w:tc>
              <w:tc>
                <w:tcPr>
                  <w:tcW w:w="1526" w:type="dxa"/>
                  <w:vAlign w:val="center"/>
                </w:tcPr>
                <w:p w14:paraId="36957439">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HW09</w:t>
                  </w:r>
                </w:p>
                <w:p w14:paraId="3A1C50E2">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900-007-09</w:t>
                  </w:r>
                </w:p>
              </w:tc>
              <w:tc>
                <w:tcPr>
                  <w:tcW w:w="760" w:type="dxa"/>
                  <w:vMerge w:val="continue"/>
                  <w:vAlign w:val="center"/>
                </w:tcPr>
                <w:p w14:paraId="50B17F66">
                  <w:pPr>
                    <w:keepNext w:val="0"/>
                    <w:keepLines w:val="0"/>
                    <w:suppressLineNumbers w:val="0"/>
                    <w:adjustRightInd w:val="0"/>
                    <w:snapToGrid w:val="0"/>
                    <w:spacing w:before="0" w:beforeAutospacing="0" w:after="0" w:afterAutospacing="0"/>
                    <w:ind w:left="0" w:right="0"/>
                    <w:jc w:val="center"/>
                    <w:rPr>
                      <w:rFonts w:hint="eastAsia"/>
                      <w:bCs/>
                      <w:color w:val="000000" w:themeColor="text1"/>
                      <w:kern w:val="0"/>
                      <w:sz w:val="21"/>
                      <w:szCs w:val="21"/>
                      <w:lang w:val="en-US" w:eastAsia="zh-CN"/>
                      <w14:textFill>
                        <w14:solidFill>
                          <w14:schemeClr w14:val="tx1"/>
                        </w14:solidFill>
                      </w14:textFill>
                    </w:rPr>
                  </w:pPr>
                </w:p>
              </w:tc>
              <w:tc>
                <w:tcPr>
                  <w:tcW w:w="1317" w:type="dxa"/>
                  <w:vAlign w:val="center"/>
                </w:tcPr>
                <w:p w14:paraId="342E6B2D">
                  <w:pPr>
                    <w:keepNext w:val="0"/>
                    <w:keepLines w:val="0"/>
                    <w:suppressLineNumbers w:val="0"/>
                    <w:adjustRightInd w:val="0"/>
                    <w:snapToGrid w:val="0"/>
                    <w:spacing w:before="0" w:beforeAutospacing="0" w:after="0" w:afterAutospacing="0"/>
                    <w:ind w:left="0" w:right="0"/>
                    <w:jc w:val="center"/>
                    <w:rPr>
                      <w:rFonts w:hint="default"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油/水混合物</w:t>
                  </w:r>
                </w:p>
              </w:tc>
              <w:tc>
                <w:tcPr>
                  <w:tcW w:w="708" w:type="dxa"/>
                  <w:vAlign w:val="center"/>
                </w:tcPr>
                <w:p w14:paraId="79CD458B">
                  <w:pPr>
                    <w:keepNext w:val="0"/>
                    <w:keepLines w:val="0"/>
                    <w:suppressLineNumbers w:val="0"/>
                    <w:adjustRightInd w:val="0"/>
                    <w:snapToGrid w:val="0"/>
                    <w:spacing w:before="0" w:beforeAutospacing="0" w:after="0" w:afterAutospacing="0"/>
                    <w:ind w:left="0" w:right="0"/>
                    <w:jc w:val="center"/>
                    <w:rPr>
                      <w:rFonts w:hint="default"/>
                      <w:bCs/>
                      <w:color w:val="000000" w:themeColor="text1"/>
                      <w:kern w:val="0"/>
                      <w:sz w:val="21"/>
                      <w:szCs w:val="21"/>
                      <w14:textFill>
                        <w14:solidFill>
                          <w14:schemeClr w14:val="tx1"/>
                        </w14:solidFill>
                      </w14:textFill>
                    </w:rPr>
                  </w:pPr>
                  <w:r>
                    <w:rPr>
                      <w:rFonts w:hint="default"/>
                      <w:bCs/>
                      <w:color w:val="000000" w:themeColor="text1"/>
                      <w:kern w:val="0"/>
                      <w:sz w:val="21"/>
                      <w:szCs w:val="21"/>
                      <w14:textFill>
                        <w14:solidFill>
                          <w14:schemeClr w14:val="tx1"/>
                        </w14:solidFill>
                      </w14:textFill>
                    </w:rPr>
                    <w:t>固态</w:t>
                  </w:r>
                </w:p>
              </w:tc>
              <w:tc>
                <w:tcPr>
                  <w:tcW w:w="975" w:type="dxa"/>
                  <w:vAlign w:val="center"/>
                </w:tcPr>
                <w:p w14:paraId="00014167">
                  <w:pPr>
                    <w:keepNext w:val="0"/>
                    <w:keepLines w:val="0"/>
                    <w:suppressLineNumbers w:val="0"/>
                    <w:adjustRightInd w:val="0"/>
                    <w:snapToGrid w:val="0"/>
                    <w:spacing w:before="0" w:beforeAutospacing="0" w:after="0" w:afterAutospacing="0"/>
                    <w:ind w:left="0" w:right="0"/>
                    <w:jc w:val="center"/>
                    <w:rPr>
                      <w:rFonts w:hint="eastAsia" w:eastAsia="宋体"/>
                      <w:bCs/>
                      <w:color w:val="000000" w:themeColor="text1"/>
                      <w:kern w:val="0"/>
                      <w:sz w:val="21"/>
                      <w:szCs w:val="21"/>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T，I</w:t>
                  </w:r>
                  <w:r>
                    <w:rPr>
                      <w:rFonts w:hint="eastAsia"/>
                      <w:color w:val="000000" w:themeColor="text1"/>
                      <w:sz w:val="21"/>
                      <w:szCs w:val="21"/>
                      <w:lang w:val="en-US" w:eastAsia="zh-CN"/>
                      <w14:textFill>
                        <w14:solidFill>
                          <w14:schemeClr w14:val="tx1"/>
                        </w14:solidFill>
                      </w14:textFill>
                    </w:rPr>
                    <w:t>n</w:t>
                  </w:r>
                </w:p>
              </w:tc>
              <w:tc>
                <w:tcPr>
                  <w:tcW w:w="803" w:type="dxa"/>
                  <w:vAlign w:val="center"/>
                </w:tcPr>
                <w:p w14:paraId="25C413EA">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0.05</w:t>
                  </w:r>
                </w:p>
              </w:tc>
              <w:tc>
                <w:tcPr>
                  <w:tcW w:w="1834" w:type="dxa"/>
                  <w:vMerge w:val="continue"/>
                  <w:vAlign w:val="center"/>
                </w:tcPr>
                <w:p w14:paraId="1FE0D761">
                  <w:pPr>
                    <w:keepNext w:val="0"/>
                    <w:keepLines w:val="0"/>
                    <w:suppressLineNumbers w:val="0"/>
                    <w:adjustRightInd w:val="0"/>
                    <w:snapToGrid w:val="0"/>
                    <w:spacing w:before="0" w:beforeAutospacing="0" w:after="0" w:afterAutospacing="0"/>
                    <w:ind w:left="0" w:right="0"/>
                    <w:jc w:val="center"/>
                    <w:rPr>
                      <w:rFonts w:hint="default"/>
                      <w:color w:val="000000" w:themeColor="text1"/>
                      <w:kern w:val="0"/>
                      <w:sz w:val="21"/>
                      <w:szCs w:val="21"/>
                      <w14:textFill>
                        <w14:solidFill>
                          <w14:schemeClr w14:val="tx1"/>
                        </w14:solidFill>
                      </w14:textFill>
                    </w:rPr>
                  </w:pPr>
                </w:p>
              </w:tc>
              <w:tc>
                <w:tcPr>
                  <w:tcW w:w="952" w:type="dxa"/>
                  <w:vAlign w:val="center"/>
                </w:tcPr>
                <w:p w14:paraId="2016E60C">
                  <w:pPr>
                    <w:keepNext w:val="0"/>
                    <w:keepLines w:val="0"/>
                    <w:suppressLineNumbers w:val="0"/>
                    <w:adjustRightInd w:val="0"/>
                    <w:snapToGrid w:val="0"/>
                    <w:spacing w:before="0" w:beforeAutospacing="0" w:after="0" w:afterAutospacing="0"/>
                    <w:ind w:left="0" w:right="0"/>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0.05</w:t>
                  </w:r>
                </w:p>
              </w:tc>
              <w:tc>
                <w:tcPr>
                  <w:tcW w:w="930" w:type="dxa"/>
                  <w:vMerge w:val="continue"/>
                  <w:vAlign w:val="center"/>
                </w:tcPr>
                <w:p w14:paraId="5035D9BC">
                  <w:pPr>
                    <w:keepNext w:val="0"/>
                    <w:keepLines w:val="0"/>
                    <w:suppressLineNumbers w:val="0"/>
                    <w:adjustRightInd w:val="0"/>
                    <w:snapToGrid w:val="0"/>
                    <w:spacing w:before="0" w:beforeAutospacing="0" w:after="0" w:afterAutospacing="0"/>
                    <w:ind w:left="0" w:right="0"/>
                    <w:jc w:val="center"/>
                    <w:rPr>
                      <w:rFonts w:hint="default"/>
                      <w:b/>
                      <w:color w:val="000000" w:themeColor="text1"/>
                      <w:kern w:val="0"/>
                      <w:sz w:val="21"/>
                      <w:szCs w:val="21"/>
                      <w14:textFill>
                        <w14:solidFill>
                          <w14:schemeClr w14:val="tx1"/>
                        </w14:solidFill>
                      </w14:textFill>
                    </w:rPr>
                  </w:pPr>
                </w:p>
              </w:tc>
            </w:tr>
          </w:tbl>
          <w:p w14:paraId="1AAE9B20">
            <w:pPr>
              <w:keepNext w:val="0"/>
              <w:keepLines w:val="0"/>
              <w:suppressLineNumbers w:val="0"/>
              <w:adjustRightInd w:val="0"/>
              <w:snapToGrid w:val="0"/>
              <w:spacing w:before="0" w:beforeLines="50" w:beforeAutospacing="0" w:after="0" w:afterAutospacing="0"/>
              <w:ind w:left="0" w:right="0"/>
              <w:jc w:val="center"/>
              <w:rPr>
                <w:rFonts w:hint="default"/>
                <w:b/>
                <w:color w:val="000000" w:themeColor="text1"/>
                <w:spacing w:val="-10"/>
                <w:sz w:val="24"/>
                <w:szCs w:val="24"/>
                <w14:textFill>
                  <w14:solidFill>
                    <w14:schemeClr w14:val="tx1"/>
                  </w14:solidFill>
                </w14:textFill>
              </w:rPr>
            </w:pPr>
            <w:r>
              <w:rPr>
                <w:rFonts w:hint="eastAsia"/>
                <w:b/>
                <w:color w:val="000000" w:themeColor="text1"/>
                <w:spacing w:val="-10"/>
                <w:sz w:val="24"/>
                <w:szCs w:val="24"/>
                <w14:textFill>
                  <w14:solidFill>
                    <w14:schemeClr w14:val="tx1"/>
                  </w14:solidFill>
                </w14:textFill>
              </w:rPr>
              <w:t>表4-1</w:t>
            </w:r>
            <w:r>
              <w:rPr>
                <w:rFonts w:hint="eastAsia"/>
                <w:b/>
                <w:color w:val="000000" w:themeColor="text1"/>
                <w:spacing w:val="-10"/>
                <w:sz w:val="24"/>
                <w:szCs w:val="24"/>
                <w:lang w:val="en-US" w:eastAsia="zh-CN"/>
                <w14:textFill>
                  <w14:solidFill>
                    <w14:schemeClr w14:val="tx1"/>
                  </w14:solidFill>
                </w14:textFill>
              </w:rPr>
              <w:t>5</w:t>
            </w:r>
            <w:r>
              <w:rPr>
                <w:rFonts w:hint="eastAsia"/>
                <w:b/>
                <w:color w:val="000000" w:themeColor="text1"/>
                <w:spacing w:val="-10"/>
                <w:sz w:val="24"/>
                <w:szCs w:val="24"/>
                <w14:textFill>
                  <w14:solidFill>
                    <w14:schemeClr w14:val="tx1"/>
                  </w14:solidFill>
                </w14:textFill>
              </w:rPr>
              <w:t xml:space="preserve"> 建设项目危险废物贮存场所（设施）基本情况表</w:t>
            </w:r>
          </w:p>
          <w:tbl>
            <w:tblPr>
              <w:tblStyle w:val="21"/>
              <w:tblW w:w="12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087"/>
              <w:gridCol w:w="659"/>
              <w:gridCol w:w="1201"/>
              <w:gridCol w:w="990"/>
              <w:gridCol w:w="1340"/>
              <w:gridCol w:w="1060"/>
              <w:gridCol w:w="1610"/>
              <w:gridCol w:w="770"/>
              <w:gridCol w:w="690"/>
              <w:gridCol w:w="2641"/>
            </w:tblGrid>
            <w:tr w14:paraId="3AB2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24" w:type="dxa"/>
                  <w:vAlign w:val="center"/>
                </w:tcPr>
                <w:p w14:paraId="421AC278">
                  <w:pPr>
                    <w:keepNext w:val="0"/>
                    <w:keepLines w:val="0"/>
                    <w:suppressLineNumbers w:val="0"/>
                    <w:topLinePunct/>
                    <w:adjustRightInd w:val="0"/>
                    <w:snapToGrid w:val="0"/>
                    <w:spacing w:before="0" w:beforeAutospacing="0" w:after="0" w:afterAutospacing="0"/>
                    <w:ind w:left="0" w:right="0"/>
                    <w:jc w:val="center"/>
                    <w:rPr>
                      <w:rFonts w:hint="default" w:ascii="宋体" w:hAnsi="宋体" w:cs="宋体"/>
                      <w:b/>
                      <w:bCs/>
                      <w:color w:val="000000" w:themeColor="text1"/>
                      <w:spacing w:val="-1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序号</w:t>
                  </w:r>
                </w:p>
              </w:tc>
              <w:tc>
                <w:tcPr>
                  <w:tcW w:w="1087" w:type="dxa"/>
                  <w:vAlign w:val="center"/>
                </w:tcPr>
                <w:p w14:paraId="227A99AC">
                  <w:pPr>
                    <w:keepNext w:val="0"/>
                    <w:keepLines w:val="0"/>
                    <w:suppressLineNumbers w:val="0"/>
                    <w:topLinePunct/>
                    <w:adjustRightInd w:val="0"/>
                    <w:snapToGrid w:val="0"/>
                    <w:spacing w:before="0" w:beforeAutospacing="0" w:after="0" w:afterAutospacing="0"/>
                    <w:ind w:left="0" w:right="0"/>
                    <w:jc w:val="center"/>
                    <w:rPr>
                      <w:rFonts w:hint="default" w:ascii="宋体" w:hAnsi="宋体" w:cs="宋体"/>
                      <w:b/>
                      <w:bCs/>
                      <w:color w:val="000000" w:themeColor="text1"/>
                      <w:kern w:val="0"/>
                      <w:sz w:val="21"/>
                      <w:szCs w:val="21"/>
                      <w14:textFill>
                        <w14:solidFill>
                          <w14:schemeClr w14:val="tx1"/>
                        </w14:solidFill>
                      </w14:textFill>
                    </w:rPr>
                  </w:pPr>
                  <w:r>
                    <w:rPr>
                      <w:rFonts w:hint="default"/>
                      <w:b/>
                      <w:color w:val="000000" w:themeColor="text1"/>
                      <w:spacing w:val="-10"/>
                      <w:sz w:val="21"/>
                      <w:szCs w:val="21"/>
                      <w14:textFill>
                        <w14:solidFill>
                          <w14:schemeClr w14:val="tx1"/>
                        </w14:solidFill>
                      </w14:textFill>
                    </w:rPr>
                    <w:t>贮存场所（设施）</w:t>
                  </w:r>
                  <w:r>
                    <w:rPr>
                      <w:rFonts w:hint="eastAsia"/>
                      <w:b/>
                      <w:color w:val="000000" w:themeColor="text1"/>
                      <w:spacing w:val="-10"/>
                      <w:sz w:val="21"/>
                      <w:szCs w:val="21"/>
                      <w14:textFill>
                        <w14:solidFill>
                          <w14:schemeClr w14:val="tx1"/>
                        </w14:solidFill>
                      </w14:textFill>
                    </w:rPr>
                    <w:t>名称</w:t>
                  </w:r>
                </w:p>
              </w:tc>
              <w:tc>
                <w:tcPr>
                  <w:tcW w:w="659" w:type="dxa"/>
                  <w:vAlign w:val="center"/>
                </w:tcPr>
                <w:p w14:paraId="17989691">
                  <w:pPr>
                    <w:keepNext w:val="0"/>
                    <w:keepLines w:val="0"/>
                    <w:suppressLineNumbers w:val="0"/>
                    <w:topLinePunct/>
                    <w:adjustRightInd w:val="0"/>
                    <w:snapToGrid w:val="0"/>
                    <w:spacing w:before="0" w:beforeAutospacing="0" w:after="0" w:afterAutospacing="0"/>
                    <w:ind w:left="0" w:right="0"/>
                    <w:jc w:val="center"/>
                    <w:rPr>
                      <w:rFonts w:hint="default" w:ascii="宋体" w:hAnsi="宋体" w:cs="宋体"/>
                      <w:b/>
                      <w:bCs/>
                      <w:color w:val="000000" w:themeColor="text1"/>
                      <w:kern w:val="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位置</w:t>
                  </w:r>
                </w:p>
              </w:tc>
              <w:tc>
                <w:tcPr>
                  <w:tcW w:w="1201" w:type="dxa"/>
                  <w:vAlign w:val="center"/>
                </w:tcPr>
                <w:p w14:paraId="4DF0FC94">
                  <w:pPr>
                    <w:keepNext w:val="0"/>
                    <w:keepLines w:val="0"/>
                    <w:suppressLineNumbers w:val="0"/>
                    <w:topLinePunct/>
                    <w:adjustRightInd w:val="0"/>
                    <w:snapToGrid w:val="0"/>
                    <w:spacing w:before="0" w:beforeAutospacing="0" w:after="0" w:afterAutospacing="0"/>
                    <w:ind w:left="0" w:right="0"/>
                    <w:jc w:val="center"/>
                    <w:rPr>
                      <w:rFonts w:hint="default" w:ascii="宋体" w:hAnsi="宋体" w:cs="宋体"/>
                      <w:b/>
                      <w:bCs/>
                      <w:color w:val="000000" w:themeColor="text1"/>
                      <w:spacing w:val="-1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危险废物名称</w:t>
                  </w:r>
                </w:p>
              </w:tc>
              <w:tc>
                <w:tcPr>
                  <w:tcW w:w="990" w:type="dxa"/>
                  <w:vAlign w:val="center"/>
                </w:tcPr>
                <w:p w14:paraId="7730C0F0">
                  <w:pPr>
                    <w:keepNext w:val="0"/>
                    <w:keepLines w:val="0"/>
                    <w:suppressLineNumbers w:val="0"/>
                    <w:topLinePunct/>
                    <w:adjustRightInd w:val="0"/>
                    <w:snapToGrid w:val="0"/>
                    <w:spacing w:before="0" w:beforeAutospacing="0" w:after="0" w:afterAutospacing="0"/>
                    <w:ind w:left="0" w:right="0"/>
                    <w:jc w:val="center"/>
                    <w:rPr>
                      <w:rFonts w:hint="default" w:ascii="宋体" w:hAnsi="宋体" w:cs="宋体"/>
                      <w:b/>
                      <w:bCs/>
                      <w:color w:val="000000" w:themeColor="text1"/>
                      <w:spacing w:val="-1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危险废物类别</w:t>
                  </w:r>
                </w:p>
              </w:tc>
              <w:tc>
                <w:tcPr>
                  <w:tcW w:w="1340" w:type="dxa"/>
                  <w:vAlign w:val="center"/>
                </w:tcPr>
                <w:p w14:paraId="4F0F8059">
                  <w:pPr>
                    <w:keepNext w:val="0"/>
                    <w:keepLines w:val="0"/>
                    <w:suppressLineNumbers w:val="0"/>
                    <w:topLinePunct/>
                    <w:adjustRightInd w:val="0"/>
                    <w:snapToGrid w:val="0"/>
                    <w:spacing w:before="0" w:beforeAutospacing="0" w:after="0" w:afterAutospacing="0"/>
                    <w:ind w:left="0" w:right="0"/>
                    <w:jc w:val="center"/>
                    <w:rPr>
                      <w:rFonts w:hint="default" w:ascii="宋体" w:hAnsi="宋体" w:cs="宋体"/>
                      <w:b/>
                      <w:bCs/>
                      <w:color w:val="000000" w:themeColor="text1"/>
                      <w:spacing w:val="-1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危险废物代码</w:t>
                  </w:r>
                </w:p>
              </w:tc>
              <w:tc>
                <w:tcPr>
                  <w:tcW w:w="1060" w:type="dxa"/>
                  <w:vAlign w:val="center"/>
                </w:tcPr>
                <w:p w14:paraId="04FB2327">
                  <w:pPr>
                    <w:keepNext w:val="0"/>
                    <w:keepLines w:val="0"/>
                    <w:suppressLineNumbers w:val="0"/>
                    <w:topLinePunct/>
                    <w:adjustRightInd w:val="0"/>
                    <w:snapToGrid w:val="0"/>
                    <w:spacing w:before="0" w:beforeAutospacing="0" w:after="0" w:afterAutospacing="0"/>
                    <w:ind w:left="0" w:right="0"/>
                    <w:jc w:val="center"/>
                    <w:rPr>
                      <w:rFonts w:hint="default"/>
                      <w:b/>
                      <w:bCs/>
                      <w:color w:val="000000" w:themeColor="text1"/>
                      <w:spacing w:val="-10"/>
                      <w:sz w:val="21"/>
                      <w:szCs w:val="21"/>
                      <w14:textFill>
                        <w14:solidFill>
                          <w14:schemeClr w14:val="tx1"/>
                        </w14:solidFill>
                      </w14:textFill>
                    </w:rPr>
                  </w:pPr>
                  <w:r>
                    <w:rPr>
                      <w:rFonts w:hint="default"/>
                      <w:b/>
                      <w:bCs/>
                      <w:color w:val="000000" w:themeColor="text1"/>
                      <w:kern w:val="0"/>
                      <w:sz w:val="21"/>
                      <w:szCs w:val="21"/>
                      <w14:textFill>
                        <w14:solidFill>
                          <w14:schemeClr w14:val="tx1"/>
                        </w14:solidFill>
                      </w14:textFill>
                    </w:rPr>
                    <w:t>产生量（吨/年）</w:t>
                  </w:r>
                </w:p>
              </w:tc>
              <w:tc>
                <w:tcPr>
                  <w:tcW w:w="1610" w:type="dxa"/>
                  <w:vAlign w:val="center"/>
                </w:tcPr>
                <w:p w14:paraId="31045C23">
                  <w:pPr>
                    <w:keepNext w:val="0"/>
                    <w:keepLines w:val="0"/>
                    <w:suppressLineNumbers w:val="0"/>
                    <w:topLinePunct/>
                    <w:adjustRightInd w:val="0"/>
                    <w:snapToGrid w:val="0"/>
                    <w:spacing w:before="0" w:beforeAutospacing="0" w:after="0" w:afterAutospacing="0"/>
                    <w:ind w:left="0" w:right="0"/>
                    <w:jc w:val="center"/>
                    <w:rPr>
                      <w:rFonts w:hint="default" w:ascii="宋体" w:hAnsi="宋体" w:cs="宋体"/>
                      <w:b/>
                      <w:bCs/>
                      <w:color w:val="000000" w:themeColor="text1"/>
                      <w:spacing w:val="-1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产生工序及装置</w:t>
                  </w:r>
                </w:p>
              </w:tc>
              <w:tc>
                <w:tcPr>
                  <w:tcW w:w="770" w:type="dxa"/>
                  <w:shd w:val="clear" w:color="auto" w:fill="auto"/>
                  <w:vAlign w:val="center"/>
                </w:tcPr>
                <w:p w14:paraId="5866F134">
                  <w:pPr>
                    <w:keepNext w:val="0"/>
                    <w:keepLines w:val="0"/>
                    <w:suppressLineNumbers w:val="0"/>
                    <w:topLinePunct/>
                    <w:adjustRightInd w:val="0"/>
                    <w:snapToGrid w:val="0"/>
                    <w:spacing w:before="0" w:beforeAutospacing="0" w:after="0" w:afterAutospacing="0"/>
                    <w:ind w:left="0" w:right="0"/>
                    <w:jc w:val="center"/>
                    <w:rPr>
                      <w:rFonts w:hint="default" w:ascii="宋体" w:hAnsi="宋体" w:cs="宋体"/>
                      <w:b/>
                      <w:bCs/>
                      <w:color w:val="000000" w:themeColor="text1"/>
                      <w:spacing w:val="-1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产废周期</w:t>
                  </w:r>
                </w:p>
              </w:tc>
              <w:tc>
                <w:tcPr>
                  <w:tcW w:w="690" w:type="dxa"/>
                  <w:vAlign w:val="center"/>
                </w:tcPr>
                <w:p w14:paraId="49B6355D">
                  <w:pPr>
                    <w:keepNext w:val="0"/>
                    <w:keepLines w:val="0"/>
                    <w:suppressLineNumbers w:val="0"/>
                    <w:topLinePunct/>
                    <w:adjustRightInd w:val="0"/>
                    <w:snapToGrid w:val="0"/>
                    <w:spacing w:before="0" w:beforeAutospacing="0" w:after="0" w:afterAutospacing="0"/>
                    <w:ind w:left="0" w:right="0"/>
                    <w:jc w:val="center"/>
                    <w:rPr>
                      <w:rFonts w:hint="default" w:ascii="宋体" w:hAnsi="宋体" w:cs="宋体"/>
                      <w:b/>
                      <w:bCs/>
                      <w:color w:val="000000" w:themeColor="text1"/>
                      <w:spacing w:val="-1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面积</w:t>
                  </w:r>
                  <w:r>
                    <w:rPr>
                      <w:rFonts w:hint="default"/>
                      <w:b/>
                      <w:bCs/>
                      <w:color w:val="000000" w:themeColor="text1"/>
                      <w:kern w:val="0"/>
                      <w:sz w:val="21"/>
                      <w:szCs w:val="21"/>
                      <w14:textFill>
                        <w14:solidFill>
                          <w14:schemeClr w14:val="tx1"/>
                        </w14:solidFill>
                      </w14:textFill>
                    </w:rPr>
                    <w:t>（m</w:t>
                  </w:r>
                  <w:r>
                    <w:rPr>
                      <w:rFonts w:hint="default"/>
                      <w:b/>
                      <w:bCs/>
                      <w:color w:val="000000" w:themeColor="text1"/>
                      <w:kern w:val="0"/>
                      <w:sz w:val="21"/>
                      <w:szCs w:val="21"/>
                      <w:vertAlign w:val="superscript"/>
                      <w14:textFill>
                        <w14:solidFill>
                          <w14:schemeClr w14:val="tx1"/>
                        </w14:solidFill>
                      </w14:textFill>
                    </w:rPr>
                    <w:t>2</w:t>
                  </w:r>
                  <w:r>
                    <w:rPr>
                      <w:rFonts w:hint="eastAsia" w:ascii="宋体" w:hAnsi="宋体" w:cs="宋体"/>
                      <w:b/>
                      <w:bCs/>
                      <w:color w:val="000000" w:themeColor="text1"/>
                      <w:kern w:val="0"/>
                      <w:sz w:val="21"/>
                      <w:szCs w:val="21"/>
                      <w14:textFill>
                        <w14:solidFill>
                          <w14:schemeClr w14:val="tx1"/>
                        </w14:solidFill>
                      </w14:textFill>
                    </w:rPr>
                    <w:t>）</w:t>
                  </w:r>
                </w:p>
              </w:tc>
              <w:tc>
                <w:tcPr>
                  <w:tcW w:w="2641" w:type="dxa"/>
                  <w:vAlign w:val="center"/>
                </w:tcPr>
                <w:p w14:paraId="5CD1DEB4">
                  <w:pPr>
                    <w:keepNext w:val="0"/>
                    <w:keepLines w:val="0"/>
                    <w:suppressLineNumbers w:val="0"/>
                    <w:topLinePunct/>
                    <w:adjustRightInd w:val="0"/>
                    <w:snapToGrid w:val="0"/>
                    <w:spacing w:before="0" w:beforeAutospacing="0" w:after="0" w:afterAutospacing="0"/>
                    <w:ind w:left="0" w:right="0"/>
                    <w:jc w:val="center"/>
                    <w:rPr>
                      <w:rFonts w:hint="default" w:ascii="宋体" w:hAnsi="宋体" w:cs="宋体"/>
                      <w:b/>
                      <w:bCs/>
                      <w:color w:val="000000" w:themeColor="text1"/>
                      <w:spacing w:val="-10"/>
                      <w:sz w:val="21"/>
                      <w:szCs w:val="21"/>
                      <w14:textFill>
                        <w14:solidFill>
                          <w14:schemeClr w14:val="tx1"/>
                        </w14:solidFill>
                      </w14:textFill>
                    </w:rPr>
                  </w:pPr>
                  <w:r>
                    <w:rPr>
                      <w:rFonts w:hint="eastAsia" w:ascii="宋体" w:hAnsi="宋体" w:cs="宋体"/>
                      <w:b/>
                      <w:bCs/>
                      <w:color w:val="000000" w:themeColor="text1"/>
                      <w:kern w:val="0"/>
                      <w:sz w:val="21"/>
                      <w:szCs w:val="21"/>
                      <w14:textFill>
                        <w14:solidFill>
                          <w14:schemeClr w14:val="tx1"/>
                        </w14:solidFill>
                      </w14:textFill>
                    </w:rPr>
                    <w:t>污染防治措施</w:t>
                  </w:r>
                </w:p>
              </w:tc>
            </w:tr>
            <w:tr w14:paraId="70279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4" w:type="dxa"/>
                  <w:vAlign w:val="center"/>
                </w:tcPr>
                <w:p w14:paraId="0BB72C84">
                  <w:pPr>
                    <w:keepNext w:val="0"/>
                    <w:keepLines w:val="0"/>
                    <w:suppressLineNumbers w:val="0"/>
                    <w:adjustRightInd w:val="0"/>
                    <w:snapToGrid w:val="0"/>
                    <w:spacing w:before="0" w:beforeAutospacing="0" w:after="0" w:afterAutospacing="0"/>
                    <w:ind w:left="0" w:right="0"/>
                    <w:jc w:val="center"/>
                    <w:rPr>
                      <w:rFonts w:hint="default"/>
                      <w:bCs/>
                      <w:color w:val="000000" w:themeColor="text1"/>
                      <w:spacing w:val="-10"/>
                      <w:sz w:val="21"/>
                      <w:szCs w:val="21"/>
                      <w14:textFill>
                        <w14:solidFill>
                          <w14:schemeClr w14:val="tx1"/>
                        </w14:solidFill>
                      </w14:textFill>
                    </w:rPr>
                  </w:pPr>
                  <w:r>
                    <w:rPr>
                      <w:rFonts w:hint="eastAsia"/>
                      <w:bCs/>
                      <w:color w:val="000000" w:themeColor="text1"/>
                      <w:spacing w:val="-10"/>
                      <w:sz w:val="21"/>
                      <w:szCs w:val="21"/>
                      <w14:textFill>
                        <w14:solidFill>
                          <w14:schemeClr w14:val="tx1"/>
                        </w14:solidFill>
                      </w14:textFill>
                    </w:rPr>
                    <w:t>1</w:t>
                  </w:r>
                </w:p>
              </w:tc>
              <w:tc>
                <w:tcPr>
                  <w:tcW w:w="1087" w:type="dxa"/>
                  <w:vMerge w:val="restart"/>
                  <w:vAlign w:val="center"/>
                </w:tcPr>
                <w:p w14:paraId="45FD7E4A">
                  <w:pPr>
                    <w:keepNext w:val="0"/>
                    <w:keepLines w:val="0"/>
                    <w:suppressLineNumbers w:val="0"/>
                    <w:adjustRightInd w:val="0"/>
                    <w:snapToGrid w:val="0"/>
                    <w:spacing w:before="0" w:beforeAutospacing="0" w:after="0" w:afterAutospacing="0"/>
                    <w:ind w:left="0" w:right="0"/>
                    <w:jc w:val="center"/>
                    <w:rPr>
                      <w:rFonts w:hint="eastAsia" w:eastAsia="宋体"/>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eastAsia="zh-CN"/>
                      <w14:textFill>
                        <w14:solidFill>
                          <w14:schemeClr w14:val="tx1"/>
                        </w14:solidFill>
                      </w14:textFill>
                    </w:rPr>
                    <w:t>危险废物贮存库</w:t>
                  </w:r>
                </w:p>
              </w:tc>
              <w:tc>
                <w:tcPr>
                  <w:tcW w:w="659" w:type="dxa"/>
                  <w:vMerge w:val="restart"/>
                  <w:vAlign w:val="center"/>
                </w:tcPr>
                <w:p w14:paraId="7A196C91">
                  <w:pPr>
                    <w:keepNext w:val="0"/>
                    <w:keepLines w:val="0"/>
                    <w:suppressLineNumbers w:val="0"/>
                    <w:adjustRightInd w:val="0"/>
                    <w:snapToGrid w:val="0"/>
                    <w:spacing w:before="0" w:beforeAutospacing="0" w:after="0" w:afterAutospacing="0"/>
                    <w:ind w:left="0" w:right="0"/>
                    <w:jc w:val="center"/>
                    <w:rPr>
                      <w:rFonts w:hint="default" w:eastAsia="宋体"/>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厂房内东南侧</w:t>
                  </w:r>
                </w:p>
              </w:tc>
              <w:tc>
                <w:tcPr>
                  <w:tcW w:w="1201" w:type="dxa"/>
                  <w:shd w:val="clear" w:color="auto" w:fill="auto"/>
                  <w:vAlign w:val="center"/>
                </w:tcPr>
                <w:p w14:paraId="263F6DC9">
                  <w:pPr>
                    <w:keepNext w:val="0"/>
                    <w:keepLines w:val="0"/>
                    <w:suppressLineNumbers w:val="0"/>
                    <w:adjustRightInd w:val="0"/>
                    <w:snapToGrid w:val="0"/>
                    <w:spacing w:before="0" w:beforeAutospacing="0" w:after="0" w:afterAutospacing="0"/>
                    <w:ind w:left="0" w:leftChars="0" w:right="0" w:rightChars="0"/>
                    <w:jc w:val="center"/>
                    <w:rPr>
                      <w:rFonts w:hint="eastAsia" w:eastAsia="宋体" w:asciiTheme="minorHAnsi" w:hAnsiTheme="minorHAnsi"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废水性漆</w:t>
                  </w:r>
                </w:p>
              </w:tc>
              <w:tc>
                <w:tcPr>
                  <w:tcW w:w="990" w:type="dxa"/>
                  <w:vAlign w:val="center"/>
                </w:tcPr>
                <w:p w14:paraId="5F8C1976">
                  <w:pPr>
                    <w:keepNext w:val="0"/>
                    <w:keepLines w:val="0"/>
                    <w:suppressLineNumbers w:val="0"/>
                    <w:adjustRightInd w:val="0"/>
                    <w:snapToGrid w:val="0"/>
                    <w:spacing w:before="0" w:beforeAutospacing="0" w:after="0" w:afterAutospacing="0"/>
                    <w:ind w:left="0" w:right="0"/>
                    <w:jc w:val="center"/>
                    <w:rPr>
                      <w:rFonts w:hint="eastAsia"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w:t>
                  </w:r>
                </w:p>
              </w:tc>
              <w:tc>
                <w:tcPr>
                  <w:tcW w:w="1340" w:type="dxa"/>
                  <w:vAlign w:val="center"/>
                </w:tcPr>
                <w:p w14:paraId="603730E9">
                  <w:pPr>
                    <w:keepNext w:val="0"/>
                    <w:keepLines w:val="0"/>
                    <w:suppressLineNumbers w:val="0"/>
                    <w:adjustRightInd w:val="0"/>
                    <w:snapToGrid w:val="0"/>
                    <w:spacing w:before="0" w:beforeAutospacing="0" w:after="0" w:afterAutospacing="0"/>
                    <w:ind w:left="0" w:leftChars="0" w:right="0" w:rightChars="0"/>
                    <w:jc w:val="center"/>
                    <w:rPr>
                      <w:rFonts w:hint="eastAsia"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w:t>
                  </w:r>
                </w:p>
              </w:tc>
              <w:tc>
                <w:tcPr>
                  <w:tcW w:w="1060" w:type="dxa"/>
                  <w:shd w:val="clear" w:color="auto" w:fill="auto"/>
                  <w:vAlign w:val="center"/>
                </w:tcPr>
                <w:p w14:paraId="7990DE59">
                  <w:pPr>
                    <w:keepNext w:val="0"/>
                    <w:keepLines w:val="0"/>
                    <w:suppressLineNumbers w:val="0"/>
                    <w:adjustRightInd w:val="0"/>
                    <w:snapToGrid w:val="0"/>
                    <w:spacing w:before="0" w:beforeAutospacing="0" w:after="0" w:afterAutospacing="0"/>
                    <w:ind w:left="0" w:leftChars="0" w:right="0" w:rightChars="0"/>
                    <w:jc w:val="center"/>
                    <w:rPr>
                      <w:rFonts w:hint="default"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w:t>
                  </w:r>
                </w:p>
              </w:tc>
              <w:tc>
                <w:tcPr>
                  <w:tcW w:w="1610" w:type="dxa"/>
                  <w:shd w:val="clear" w:color="auto" w:fill="auto"/>
                  <w:vAlign w:val="center"/>
                </w:tcPr>
                <w:p w14:paraId="6409EE1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备漆</w:t>
                  </w:r>
                </w:p>
              </w:tc>
              <w:tc>
                <w:tcPr>
                  <w:tcW w:w="770" w:type="dxa"/>
                  <w:shd w:val="clear" w:color="auto" w:fill="auto"/>
                  <w:vAlign w:val="center"/>
                </w:tcPr>
                <w:p w14:paraId="210B4386">
                  <w:pPr>
                    <w:keepNext w:val="0"/>
                    <w:keepLines w:val="0"/>
                    <w:suppressLineNumbers w:val="0"/>
                    <w:adjustRightInd w:val="0"/>
                    <w:snapToGrid w:val="0"/>
                    <w:spacing w:before="0" w:beforeAutospacing="0" w:after="0" w:afterAutospacing="0"/>
                    <w:ind w:left="0" w:right="0"/>
                    <w:jc w:val="center"/>
                    <w:rPr>
                      <w:rFonts w:hint="default" w:eastAsia="宋体"/>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不定</w:t>
                  </w:r>
                </w:p>
              </w:tc>
              <w:tc>
                <w:tcPr>
                  <w:tcW w:w="690" w:type="dxa"/>
                  <w:vMerge w:val="restart"/>
                  <w:vAlign w:val="center"/>
                </w:tcPr>
                <w:p w14:paraId="31355010">
                  <w:pPr>
                    <w:keepNext w:val="0"/>
                    <w:keepLines w:val="0"/>
                    <w:suppressLineNumbers w:val="0"/>
                    <w:adjustRightInd w:val="0"/>
                    <w:snapToGrid w:val="0"/>
                    <w:spacing w:before="0" w:beforeAutospacing="0" w:after="0" w:afterAutospacing="0"/>
                    <w:ind w:left="0" w:right="0"/>
                    <w:jc w:val="center"/>
                    <w:rPr>
                      <w:rFonts w:hint="default" w:eastAsia="宋体"/>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30</w:t>
                  </w:r>
                </w:p>
              </w:tc>
              <w:tc>
                <w:tcPr>
                  <w:tcW w:w="2641" w:type="dxa"/>
                  <w:vMerge w:val="restart"/>
                  <w:vAlign w:val="center"/>
                </w:tcPr>
                <w:p w14:paraId="64B42FB7">
                  <w:pPr>
                    <w:keepNext w:val="0"/>
                    <w:keepLines w:val="0"/>
                    <w:suppressLineNumbers w:val="0"/>
                    <w:adjustRightInd w:val="0"/>
                    <w:snapToGrid w:val="0"/>
                    <w:spacing w:before="0" w:beforeAutospacing="0" w:after="0" w:afterAutospacing="0"/>
                    <w:ind w:left="0" w:right="0"/>
                    <w:jc w:val="both"/>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14:textFill>
                        <w14:solidFill>
                          <w14:schemeClr w14:val="tx1"/>
                        </w14:solidFill>
                      </w14:textFill>
                    </w:rPr>
                    <w:t>按当地环保相关要求，需进行危险废物属性鉴别，鉴别前暂按危废贮存与管理。未经危险废物属性鉴别，需交有相应危险废物处理资质的单位收运和处置</w:t>
                  </w:r>
                </w:p>
              </w:tc>
            </w:tr>
            <w:tr w14:paraId="4761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4" w:type="dxa"/>
                  <w:vAlign w:val="center"/>
                </w:tcPr>
                <w:p w14:paraId="257F1C0F">
                  <w:pPr>
                    <w:keepNext w:val="0"/>
                    <w:keepLines w:val="0"/>
                    <w:suppressLineNumbers w:val="0"/>
                    <w:adjustRightInd w:val="0"/>
                    <w:snapToGrid w:val="0"/>
                    <w:spacing w:before="0" w:beforeAutospacing="0" w:after="0" w:afterAutospacing="0"/>
                    <w:ind w:left="0" w:right="0"/>
                    <w:jc w:val="center"/>
                    <w:rPr>
                      <w:rFonts w:hint="eastAsia" w:eastAsia="宋体"/>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2</w:t>
                  </w:r>
                </w:p>
              </w:tc>
              <w:tc>
                <w:tcPr>
                  <w:tcW w:w="1087" w:type="dxa"/>
                  <w:vMerge w:val="continue"/>
                  <w:vAlign w:val="center"/>
                </w:tcPr>
                <w:p w14:paraId="7FE7C5AA">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14:textFill>
                        <w14:solidFill>
                          <w14:schemeClr w14:val="tx1"/>
                        </w14:solidFill>
                      </w14:textFill>
                    </w:rPr>
                  </w:pPr>
                </w:p>
              </w:tc>
              <w:tc>
                <w:tcPr>
                  <w:tcW w:w="659" w:type="dxa"/>
                  <w:vMerge w:val="continue"/>
                  <w:vAlign w:val="center"/>
                </w:tcPr>
                <w:p w14:paraId="6A71D147">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p>
              </w:tc>
              <w:tc>
                <w:tcPr>
                  <w:tcW w:w="1201" w:type="dxa"/>
                  <w:shd w:val="clear" w:color="auto" w:fill="auto"/>
                  <w:vAlign w:val="center"/>
                </w:tcPr>
                <w:p w14:paraId="727B6D1F">
                  <w:pPr>
                    <w:keepNext w:val="0"/>
                    <w:keepLines w:val="0"/>
                    <w:suppressLineNumbers w:val="0"/>
                    <w:adjustRightInd w:val="0"/>
                    <w:snapToGrid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废水性漆桶</w:t>
                  </w:r>
                </w:p>
              </w:tc>
              <w:tc>
                <w:tcPr>
                  <w:tcW w:w="990" w:type="dxa"/>
                  <w:vAlign w:val="center"/>
                </w:tcPr>
                <w:p w14:paraId="610B34AF">
                  <w:pPr>
                    <w:keepNext w:val="0"/>
                    <w:keepLines w:val="0"/>
                    <w:suppressLineNumbers w:val="0"/>
                    <w:adjustRightInd w:val="0"/>
                    <w:snapToGrid w:val="0"/>
                    <w:spacing w:before="0" w:beforeAutospacing="0" w:after="0" w:afterAutospacing="0"/>
                    <w:ind w:left="0" w:leftChars="0" w:right="0" w:rightChars="0"/>
                    <w:jc w:val="center"/>
                    <w:rPr>
                      <w:rFonts w:hint="eastAsia"/>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w:t>
                  </w:r>
                </w:p>
              </w:tc>
              <w:tc>
                <w:tcPr>
                  <w:tcW w:w="1340" w:type="dxa"/>
                  <w:vAlign w:val="center"/>
                </w:tcPr>
                <w:p w14:paraId="1471B381">
                  <w:pPr>
                    <w:keepNext w:val="0"/>
                    <w:keepLines w:val="0"/>
                    <w:suppressLineNumbers w:val="0"/>
                    <w:adjustRightInd w:val="0"/>
                    <w:snapToGrid w:val="0"/>
                    <w:spacing w:before="0" w:beforeAutospacing="0" w:after="0" w:afterAutospacing="0"/>
                    <w:ind w:left="0" w:leftChars="0" w:right="0" w:rightChars="0"/>
                    <w:jc w:val="center"/>
                    <w:rPr>
                      <w:rFonts w:hint="eastAsia"/>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w:t>
                  </w:r>
                </w:p>
              </w:tc>
              <w:tc>
                <w:tcPr>
                  <w:tcW w:w="1060" w:type="dxa"/>
                  <w:shd w:val="clear" w:color="auto" w:fill="auto"/>
                  <w:vAlign w:val="center"/>
                </w:tcPr>
                <w:p w14:paraId="49A36679">
                  <w:pPr>
                    <w:keepNext w:val="0"/>
                    <w:keepLines w:val="0"/>
                    <w:suppressLineNumbers w:val="0"/>
                    <w:adjustRightInd w:val="0"/>
                    <w:snapToGrid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0.294</w:t>
                  </w:r>
                </w:p>
              </w:tc>
              <w:tc>
                <w:tcPr>
                  <w:tcW w:w="1610" w:type="dxa"/>
                  <w:shd w:val="clear" w:color="auto" w:fill="auto"/>
                  <w:vAlign w:val="center"/>
                </w:tcPr>
                <w:p w14:paraId="38C40C84">
                  <w:pPr>
                    <w:keepNext w:val="0"/>
                    <w:keepLines w:val="0"/>
                    <w:suppressLineNumbers w:val="0"/>
                    <w:adjustRightInd w:val="0"/>
                    <w:snapToGrid w:val="0"/>
                    <w:spacing w:before="0" w:beforeAutospacing="0" w:after="0" w:afterAutospacing="0"/>
                    <w:ind w:left="0" w:leftChars="0" w:right="0" w:rightChars="0"/>
                    <w:jc w:val="center"/>
                    <w:rPr>
                      <w:rFonts w:hint="eastAsia" w:asciiTheme="minorHAnsi" w:hAnsiTheme="minorHAnsi" w:eastAsiaTheme="minorEastAsia" w:cstheme="minorBidi"/>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备漆</w:t>
                  </w:r>
                </w:p>
              </w:tc>
              <w:tc>
                <w:tcPr>
                  <w:tcW w:w="770" w:type="dxa"/>
                  <w:shd w:val="clear" w:color="auto" w:fill="auto"/>
                  <w:vAlign w:val="center"/>
                </w:tcPr>
                <w:p w14:paraId="37A6355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000000" w:themeColor="text1"/>
                      <w:spacing w:val="-10"/>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10"/>
                      <w:kern w:val="2"/>
                      <w:sz w:val="21"/>
                      <w:szCs w:val="21"/>
                      <w:lang w:val="en-US" w:eastAsia="zh-CN" w:bidi="ar-SA"/>
                      <w14:textFill>
                        <w14:solidFill>
                          <w14:schemeClr w14:val="tx1"/>
                        </w14:solidFill>
                      </w14:textFill>
                    </w:rPr>
                    <w:t>每天</w:t>
                  </w:r>
                </w:p>
              </w:tc>
              <w:tc>
                <w:tcPr>
                  <w:tcW w:w="690" w:type="dxa"/>
                  <w:vMerge w:val="continue"/>
                  <w:vAlign w:val="center"/>
                </w:tcPr>
                <w:p w14:paraId="2782D99D">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p>
              </w:tc>
              <w:tc>
                <w:tcPr>
                  <w:tcW w:w="2641" w:type="dxa"/>
                  <w:vMerge w:val="continue"/>
                  <w:vAlign w:val="center"/>
                </w:tcPr>
                <w:p w14:paraId="007920DA">
                  <w:pPr>
                    <w:keepNext w:val="0"/>
                    <w:keepLines w:val="0"/>
                    <w:suppressLineNumbers w:val="0"/>
                    <w:adjustRightInd w:val="0"/>
                    <w:snapToGrid w:val="0"/>
                    <w:spacing w:before="0" w:beforeAutospacing="0" w:after="0" w:afterAutospacing="0"/>
                    <w:ind w:left="0" w:right="0"/>
                    <w:jc w:val="both"/>
                    <w:rPr>
                      <w:rFonts w:hint="eastAsia"/>
                      <w:color w:val="000000" w:themeColor="text1"/>
                      <w14:textFill>
                        <w14:solidFill>
                          <w14:schemeClr w14:val="tx1"/>
                        </w14:solidFill>
                      </w14:textFill>
                    </w:rPr>
                  </w:pPr>
                </w:p>
              </w:tc>
            </w:tr>
            <w:tr w14:paraId="7878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4" w:type="dxa"/>
                  <w:vAlign w:val="center"/>
                </w:tcPr>
                <w:p w14:paraId="535ED7F9">
                  <w:pPr>
                    <w:keepNext w:val="0"/>
                    <w:keepLines w:val="0"/>
                    <w:suppressLineNumbers w:val="0"/>
                    <w:adjustRightInd w:val="0"/>
                    <w:snapToGrid w:val="0"/>
                    <w:spacing w:before="0" w:beforeAutospacing="0" w:after="0" w:afterAutospacing="0"/>
                    <w:ind w:left="0" w:right="0"/>
                    <w:jc w:val="center"/>
                    <w:rPr>
                      <w:rFonts w:hint="eastAsia" w:eastAsia="宋体"/>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3</w:t>
                  </w:r>
                </w:p>
              </w:tc>
              <w:tc>
                <w:tcPr>
                  <w:tcW w:w="1087" w:type="dxa"/>
                  <w:vMerge w:val="continue"/>
                  <w:vAlign w:val="center"/>
                </w:tcPr>
                <w:p w14:paraId="3CDEF7D0">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14:textFill>
                        <w14:solidFill>
                          <w14:schemeClr w14:val="tx1"/>
                        </w14:solidFill>
                      </w14:textFill>
                    </w:rPr>
                  </w:pPr>
                </w:p>
              </w:tc>
              <w:tc>
                <w:tcPr>
                  <w:tcW w:w="659" w:type="dxa"/>
                  <w:vMerge w:val="continue"/>
                  <w:vAlign w:val="center"/>
                </w:tcPr>
                <w:p w14:paraId="5943DE4A">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p>
              </w:tc>
              <w:tc>
                <w:tcPr>
                  <w:tcW w:w="1201" w:type="dxa"/>
                  <w:shd w:val="clear" w:color="auto" w:fill="auto"/>
                  <w:vAlign w:val="center"/>
                </w:tcPr>
                <w:p w14:paraId="7A2E1191">
                  <w:pPr>
                    <w:keepNext w:val="0"/>
                    <w:keepLines w:val="0"/>
                    <w:suppressLineNumbers w:val="0"/>
                    <w:adjustRightInd w:val="0"/>
                    <w:snapToGrid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水性漆渣</w:t>
                  </w:r>
                </w:p>
              </w:tc>
              <w:tc>
                <w:tcPr>
                  <w:tcW w:w="990" w:type="dxa"/>
                  <w:shd w:val="clear" w:color="auto" w:fill="auto"/>
                  <w:vAlign w:val="center"/>
                </w:tcPr>
                <w:p w14:paraId="1983375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w:t>
                  </w:r>
                </w:p>
              </w:tc>
              <w:tc>
                <w:tcPr>
                  <w:tcW w:w="1340" w:type="dxa"/>
                  <w:shd w:val="clear" w:color="auto" w:fill="auto"/>
                  <w:vAlign w:val="center"/>
                </w:tcPr>
                <w:p w14:paraId="5D2A71BA">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w:t>
                  </w:r>
                </w:p>
              </w:tc>
              <w:tc>
                <w:tcPr>
                  <w:tcW w:w="1060" w:type="dxa"/>
                  <w:shd w:val="clear" w:color="auto" w:fill="auto"/>
                  <w:vAlign w:val="center"/>
                </w:tcPr>
                <w:p w14:paraId="508E26BF">
                  <w:pPr>
                    <w:keepNext w:val="0"/>
                    <w:keepLines w:val="0"/>
                    <w:suppressLineNumbers w:val="0"/>
                    <w:adjustRightInd w:val="0"/>
                    <w:snapToGrid w:val="0"/>
                    <w:spacing w:before="0" w:beforeAutospacing="0" w:after="0" w:afterAutospacing="0"/>
                    <w:ind w:left="0" w:leftChars="0" w:right="0" w:rightChars="0"/>
                    <w:jc w:val="center"/>
                    <w:rPr>
                      <w:rFonts w:hint="default"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9</w:t>
                  </w:r>
                </w:p>
              </w:tc>
              <w:tc>
                <w:tcPr>
                  <w:tcW w:w="1610" w:type="dxa"/>
                  <w:shd w:val="clear" w:color="auto" w:fill="auto"/>
                  <w:vAlign w:val="center"/>
                </w:tcPr>
                <w:p w14:paraId="007A7913">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喷漆、喷漆废水处理</w:t>
                  </w:r>
                </w:p>
              </w:tc>
              <w:tc>
                <w:tcPr>
                  <w:tcW w:w="770" w:type="dxa"/>
                  <w:shd w:val="clear" w:color="auto" w:fill="auto"/>
                  <w:vAlign w:val="center"/>
                </w:tcPr>
                <w:p w14:paraId="62C9028B">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半年</w:t>
                  </w:r>
                </w:p>
              </w:tc>
              <w:tc>
                <w:tcPr>
                  <w:tcW w:w="690" w:type="dxa"/>
                  <w:vMerge w:val="continue"/>
                  <w:vAlign w:val="center"/>
                </w:tcPr>
                <w:p w14:paraId="620B2DB7">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p>
              </w:tc>
              <w:tc>
                <w:tcPr>
                  <w:tcW w:w="2641" w:type="dxa"/>
                  <w:vMerge w:val="continue"/>
                  <w:vAlign w:val="center"/>
                </w:tcPr>
                <w:p w14:paraId="72E807D3">
                  <w:pPr>
                    <w:keepNext w:val="0"/>
                    <w:keepLines w:val="0"/>
                    <w:suppressLineNumbers w:val="0"/>
                    <w:adjustRightInd w:val="0"/>
                    <w:snapToGrid w:val="0"/>
                    <w:spacing w:before="0" w:beforeAutospacing="0" w:after="0" w:afterAutospacing="0"/>
                    <w:ind w:left="0" w:right="0"/>
                    <w:jc w:val="both"/>
                    <w:rPr>
                      <w:rFonts w:hint="eastAsia"/>
                      <w:color w:val="000000" w:themeColor="text1"/>
                      <w:kern w:val="0"/>
                      <w:sz w:val="21"/>
                      <w:szCs w:val="21"/>
                      <w14:textFill>
                        <w14:solidFill>
                          <w14:schemeClr w14:val="tx1"/>
                        </w14:solidFill>
                      </w14:textFill>
                    </w:rPr>
                  </w:pPr>
                </w:p>
              </w:tc>
            </w:tr>
            <w:tr w14:paraId="2912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4" w:type="dxa"/>
                  <w:vAlign w:val="center"/>
                </w:tcPr>
                <w:p w14:paraId="44ED5A9B">
                  <w:pPr>
                    <w:keepNext w:val="0"/>
                    <w:keepLines w:val="0"/>
                    <w:suppressLineNumbers w:val="0"/>
                    <w:adjustRightInd w:val="0"/>
                    <w:snapToGrid w:val="0"/>
                    <w:spacing w:before="0" w:beforeAutospacing="0" w:after="0" w:afterAutospacing="0"/>
                    <w:ind w:left="0" w:right="0"/>
                    <w:jc w:val="center"/>
                    <w:rPr>
                      <w:rFonts w:hint="eastAsia" w:eastAsia="宋体"/>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4</w:t>
                  </w:r>
                </w:p>
              </w:tc>
              <w:tc>
                <w:tcPr>
                  <w:tcW w:w="1087" w:type="dxa"/>
                  <w:vMerge w:val="continue"/>
                  <w:vAlign w:val="center"/>
                </w:tcPr>
                <w:p w14:paraId="2F66C123">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14:textFill>
                        <w14:solidFill>
                          <w14:schemeClr w14:val="tx1"/>
                        </w14:solidFill>
                      </w14:textFill>
                    </w:rPr>
                  </w:pPr>
                </w:p>
              </w:tc>
              <w:tc>
                <w:tcPr>
                  <w:tcW w:w="659" w:type="dxa"/>
                  <w:vMerge w:val="continue"/>
                  <w:vAlign w:val="center"/>
                </w:tcPr>
                <w:p w14:paraId="11993896">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p>
              </w:tc>
              <w:tc>
                <w:tcPr>
                  <w:tcW w:w="1201" w:type="dxa"/>
                  <w:shd w:val="clear" w:color="auto" w:fill="auto"/>
                  <w:vAlign w:val="center"/>
                </w:tcPr>
                <w:p w14:paraId="06AF493B">
                  <w:pPr>
                    <w:keepNext w:val="0"/>
                    <w:keepLines w:val="0"/>
                    <w:suppressLineNumbers w:val="0"/>
                    <w:adjustRightInd w:val="0"/>
                    <w:snapToGrid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废遮蔽纸</w:t>
                  </w:r>
                </w:p>
              </w:tc>
              <w:tc>
                <w:tcPr>
                  <w:tcW w:w="990" w:type="dxa"/>
                  <w:shd w:val="clear" w:color="auto" w:fill="auto"/>
                  <w:vAlign w:val="center"/>
                </w:tcPr>
                <w:p w14:paraId="7CFDB491">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w:t>
                  </w:r>
                </w:p>
              </w:tc>
              <w:tc>
                <w:tcPr>
                  <w:tcW w:w="1340" w:type="dxa"/>
                  <w:shd w:val="clear" w:color="auto" w:fill="auto"/>
                  <w:vAlign w:val="center"/>
                </w:tcPr>
                <w:p w14:paraId="5E6A2A29">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w:t>
                  </w:r>
                </w:p>
              </w:tc>
              <w:tc>
                <w:tcPr>
                  <w:tcW w:w="1060" w:type="dxa"/>
                  <w:shd w:val="clear" w:color="auto" w:fill="auto"/>
                  <w:vAlign w:val="center"/>
                </w:tcPr>
                <w:p w14:paraId="06011942">
                  <w:pPr>
                    <w:keepNext w:val="0"/>
                    <w:keepLines w:val="0"/>
                    <w:suppressLineNumbers w:val="0"/>
                    <w:adjustRightInd w:val="0"/>
                    <w:snapToGrid w:val="0"/>
                    <w:spacing w:before="0" w:beforeAutospacing="0" w:after="0" w:afterAutospacing="0"/>
                    <w:ind w:left="0" w:leftChars="0" w:right="0" w:rightChars="0"/>
                    <w:jc w:val="center"/>
                    <w:rPr>
                      <w:rFonts w:hint="default"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0.5</w:t>
                  </w:r>
                </w:p>
              </w:tc>
              <w:tc>
                <w:tcPr>
                  <w:tcW w:w="1610" w:type="dxa"/>
                  <w:shd w:val="clear" w:color="auto" w:fill="auto"/>
                  <w:vAlign w:val="center"/>
                </w:tcPr>
                <w:p w14:paraId="0F74961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t>灯壳喷面漆遮蔽</w:t>
                  </w:r>
                </w:p>
              </w:tc>
              <w:tc>
                <w:tcPr>
                  <w:tcW w:w="770" w:type="dxa"/>
                  <w:shd w:val="clear" w:color="auto" w:fill="auto"/>
                  <w:vAlign w:val="center"/>
                </w:tcPr>
                <w:p w14:paraId="60C21BCF">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不定</w:t>
                  </w:r>
                </w:p>
              </w:tc>
              <w:tc>
                <w:tcPr>
                  <w:tcW w:w="690" w:type="dxa"/>
                  <w:vMerge w:val="continue"/>
                  <w:vAlign w:val="center"/>
                </w:tcPr>
                <w:p w14:paraId="4AC9B83D">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p>
              </w:tc>
              <w:tc>
                <w:tcPr>
                  <w:tcW w:w="2641" w:type="dxa"/>
                  <w:vMerge w:val="continue"/>
                  <w:vAlign w:val="center"/>
                </w:tcPr>
                <w:p w14:paraId="3A63C256">
                  <w:pPr>
                    <w:keepNext w:val="0"/>
                    <w:keepLines w:val="0"/>
                    <w:suppressLineNumbers w:val="0"/>
                    <w:adjustRightInd w:val="0"/>
                    <w:snapToGrid w:val="0"/>
                    <w:spacing w:before="0" w:beforeAutospacing="0" w:after="0" w:afterAutospacing="0"/>
                    <w:ind w:left="0" w:right="0"/>
                    <w:jc w:val="both"/>
                    <w:rPr>
                      <w:rFonts w:hint="eastAsia" w:eastAsia="宋体"/>
                      <w:color w:val="000000" w:themeColor="text1"/>
                      <w:kern w:val="0"/>
                      <w:sz w:val="21"/>
                      <w:szCs w:val="21"/>
                      <w:lang w:eastAsia="zh-CN"/>
                      <w14:textFill>
                        <w14:solidFill>
                          <w14:schemeClr w14:val="tx1"/>
                        </w14:solidFill>
                      </w14:textFill>
                    </w:rPr>
                  </w:pPr>
                </w:p>
              </w:tc>
            </w:tr>
            <w:tr w14:paraId="6CE43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4" w:type="dxa"/>
                  <w:shd w:val="clear" w:color="auto" w:fill="auto"/>
                  <w:vAlign w:val="center"/>
                </w:tcPr>
                <w:p w14:paraId="0A92C3BD">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spacing w:val="-10"/>
                      <w:kern w:val="2"/>
                      <w:sz w:val="21"/>
                      <w:szCs w:val="21"/>
                      <w:lang w:val="en-US" w:eastAsia="zh-CN" w:bidi="ar-SA"/>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5</w:t>
                  </w:r>
                </w:p>
              </w:tc>
              <w:tc>
                <w:tcPr>
                  <w:tcW w:w="1087" w:type="dxa"/>
                  <w:vMerge w:val="continue"/>
                  <w:vAlign w:val="center"/>
                </w:tcPr>
                <w:p w14:paraId="1B0EB1E8">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14:textFill>
                        <w14:solidFill>
                          <w14:schemeClr w14:val="tx1"/>
                        </w14:solidFill>
                      </w14:textFill>
                    </w:rPr>
                  </w:pPr>
                </w:p>
              </w:tc>
              <w:tc>
                <w:tcPr>
                  <w:tcW w:w="659" w:type="dxa"/>
                  <w:vMerge w:val="continue"/>
                  <w:vAlign w:val="center"/>
                </w:tcPr>
                <w:p w14:paraId="30DEFD15">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p>
              </w:tc>
              <w:tc>
                <w:tcPr>
                  <w:tcW w:w="1201" w:type="dxa"/>
                  <w:shd w:val="clear" w:color="auto" w:fill="auto"/>
                  <w:vAlign w:val="center"/>
                </w:tcPr>
                <w:p w14:paraId="712FADF5">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sz w:val="21"/>
                      <w:szCs w:val="21"/>
                      <w14:textFill>
                        <w14:solidFill>
                          <w14:schemeClr w14:val="tx1"/>
                        </w14:solidFill>
                      </w14:textFill>
                    </w:rPr>
                    <w:t>废过滤棉</w:t>
                  </w:r>
                </w:p>
              </w:tc>
              <w:tc>
                <w:tcPr>
                  <w:tcW w:w="990" w:type="dxa"/>
                  <w:shd w:val="clear" w:color="auto" w:fill="auto"/>
                  <w:vAlign w:val="center"/>
                </w:tcPr>
                <w:p w14:paraId="0D3C6619">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NewRomanPSMT" w:hAnsi="TimesNewRomanPSMT" w:cs="TimesNewRomanPSMT"/>
                      <w:color w:val="000000" w:themeColor="text1"/>
                      <w:kern w:val="0"/>
                      <w:sz w:val="21"/>
                      <w:szCs w:val="21"/>
                      <w14:textFill>
                        <w14:solidFill>
                          <w14:schemeClr w14:val="tx1"/>
                        </w14:solidFill>
                      </w14:textFill>
                    </w:rPr>
                    <w:t>HW</w:t>
                  </w:r>
                  <w:r>
                    <w:rPr>
                      <w:rFonts w:hint="eastAsia" w:ascii="TimesNewRomanPSMT" w:hAnsi="TimesNewRomanPSMT" w:cs="TimesNewRomanPSMT"/>
                      <w:color w:val="000000" w:themeColor="text1"/>
                      <w:kern w:val="0"/>
                      <w:sz w:val="21"/>
                      <w:szCs w:val="21"/>
                      <w:lang w:val="en-US" w:eastAsia="zh-CN"/>
                      <w14:textFill>
                        <w14:solidFill>
                          <w14:schemeClr w14:val="tx1"/>
                        </w14:solidFill>
                      </w14:textFill>
                    </w:rPr>
                    <w:t>49</w:t>
                  </w:r>
                </w:p>
              </w:tc>
              <w:tc>
                <w:tcPr>
                  <w:tcW w:w="1340" w:type="dxa"/>
                  <w:shd w:val="clear" w:color="auto" w:fill="auto"/>
                  <w:vAlign w:val="center"/>
                </w:tcPr>
                <w:p w14:paraId="0B929ACD">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NewRomanPSMT" w:hAnsi="TimesNewRomanPSMT" w:cs="TimesNewRomanPSMT"/>
                      <w:color w:val="000000" w:themeColor="text1"/>
                      <w:kern w:val="0"/>
                      <w:sz w:val="21"/>
                      <w:szCs w:val="21"/>
                      <w14:textFill>
                        <w14:solidFill>
                          <w14:schemeClr w14:val="tx1"/>
                        </w14:solidFill>
                      </w14:textFill>
                    </w:rPr>
                    <w:t>900-041-49</w:t>
                  </w:r>
                </w:p>
              </w:tc>
              <w:tc>
                <w:tcPr>
                  <w:tcW w:w="1060" w:type="dxa"/>
                  <w:shd w:val="clear" w:color="auto" w:fill="auto"/>
                  <w:vAlign w:val="center"/>
                </w:tcPr>
                <w:p w14:paraId="6C84EFB2">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0.6</w:t>
                  </w:r>
                </w:p>
              </w:tc>
              <w:tc>
                <w:tcPr>
                  <w:tcW w:w="1610" w:type="dxa"/>
                  <w:shd w:val="clear" w:color="auto" w:fill="auto"/>
                  <w:vAlign w:val="center"/>
                </w:tcPr>
                <w:p w14:paraId="0DD850DE">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喷涂废气处理</w:t>
                  </w:r>
                </w:p>
              </w:tc>
              <w:tc>
                <w:tcPr>
                  <w:tcW w:w="770" w:type="dxa"/>
                  <w:shd w:val="clear" w:color="auto" w:fill="auto"/>
                  <w:vAlign w:val="center"/>
                </w:tcPr>
                <w:p w14:paraId="64F7EE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pacing w:val="-10"/>
                      <w:kern w:val="2"/>
                      <w:sz w:val="21"/>
                      <w:szCs w:val="21"/>
                      <w:lang w:val="en-US" w:eastAsia="zh-CN" w:bidi="ar-SA"/>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3月</w:t>
                  </w:r>
                </w:p>
              </w:tc>
              <w:tc>
                <w:tcPr>
                  <w:tcW w:w="690" w:type="dxa"/>
                  <w:vMerge w:val="continue"/>
                  <w:vAlign w:val="center"/>
                </w:tcPr>
                <w:p w14:paraId="0D31865C">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p>
              </w:tc>
              <w:tc>
                <w:tcPr>
                  <w:tcW w:w="2641" w:type="dxa"/>
                  <w:vMerge w:val="restart"/>
                  <w:vAlign w:val="center"/>
                </w:tcPr>
                <w:p w14:paraId="0A156927">
                  <w:pPr>
                    <w:keepNext w:val="0"/>
                    <w:keepLines w:val="0"/>
                    <w:suppressLineNumbers w:val="0"/>
                    <w:adjustRightInd w:val="0"/>
                    <w:snapToGrid w:val="0"/>
                    <w:spacing w:before="0" w:beforeAutospacing="0" w:after="0" w:afterAutospacing="0"/>
                    <w:ind w:left="0" w:right="0"/>
                    <w:jc w:val="both"/>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分类暂存于危险废物贮存库，定期交具有危废处理资质的单位处置，废活性炭使用专用容器密封收集</w:t>
                  </w:r>
                </w:p>
              </w:tc>
            </w:tr>
            <w:tr w14:paraId="0CF9D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4" w:type="dxa"/>
                  <w:shd w:val="clear" w:color="auto" w:fill="auto"/>
                  <w:vAlign w:val="center"/>
                </w:tcPr>
                <w:p w14:paraId="430D7429">
                  <w:pPr>
                    <w:keepNext w:val="0"/>
                    <w:keepLines w:val="0"/>
                    <w:suppressLineNumbers w:val="0"/>
                    <w:adjustRightInd w:val="0"/>
                    <w:snapToGrid w:val="0"/>
                    <w:spacing w:before="0" w:beforeAutospacing="0" w:after="0" w:afterAutospacing="0"/>
                    <w:ind w:left="0" w:right="0"/>
                    <w:jc w:val="center"/>
                    <w:rPr>
                      <w:rFonts w:hint="default"/>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6</w:t>
                  </w:r>
                </w:p>
              </w:tc>
              <w:tc>
                <w:tcPr>
                  <w:tcW w:w="1087" w:type="dxa"/>
                  <w:vMerge w:val="continue"/>
                  <w:vAlign w:val="center"/>
                </w:tcPr>
                <w:p w14:paraId="47154552">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14:textFill>
                        <w14:solidFill>
                          <w14:schemeClr w14:val="tx1"/>
                        </w14:solidFill>
                      </w14:textFill>
                    </w:rPr>
                  </w:pPr>
                </w:p>
              </w:tc>
              <w:tc>
                <w:tcPr>
                  <w:tcW w:w="659" w:type="dxa"/>
                  <w:vMerge w:val="continue"/>
                  <w:vAlign w:val="center"/>
                </w:tcPr>
                <w:p w14:paraId="5167ED09">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p>
              </w:tc>
              <w:tc>
                <w:tcPr>
                  <w:tcW w:w="1201" w:type="dxa"/>
                  <w:shd w:val="clear" w:color="auto" w:fill="auto"/>
                  <w:vAlign w:val="center"/>
                </w:tcPr>
                <w:p w14:paraId="004B3B8B">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废</w:t>
                  </w:r>
                  <w:r>
                    <w:rPr>
                      <w:rFonts w:hint="eastAsia"/>
                      <w:color w:val="000000" w:themeColor="text1"/>
                      <w:kern w:val="0"/>
                      <w:sz w:val="21"/>
                      <w:szCs w:val="21"/>
                      <w:lang w:val="en-US" w:eastAsia="zh-CN"/>
                      <w14:textFill>
                        <w14:solidFill>
                          <w14:schemeClr w14:val="tx1"/>
                        </w14:solidFill>
                      </w14:textFill>
                    </w:rPr>
                    <w:t>活性炭</w:t>
                  </w:r>
                </w:p>
              </w:tc>
              <w:tc>
                <w:tcPr>
                  <w:tcW w:w="990" w:type="dxa"/>
                  <w:shd w:val="clear" w:color="auto" w:fill="auto"/>
                  <w:vAlign w:val="center"/>
                </w:tcPr>
                <w:p w14:paraId="1E87FBB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NewRomanPSMT" w:hAnsi="TimesNewRomanPSMT" w:cs="TimesNewRomanPSMT"/>
                      <w:color w:val="000000" w:themeColor="text1"/>
                      <w:kern w:val="0"/>
                      <w:sz w:val="21"/>
                      <w:szCs w:val="21"/>
                      <w14:textFill>
                        <w14:solidFill>
                          <w14:schemeClr w14:val="tx1"/>
                        </w14:solidFill>
                      </w14:textFill>
                    </w:rPr>
                    <w:t>HW</w:t>
                  </w:r>
                  <w:r>
                    <w:rPr>
                      <w:rFonts w:hint="eastAsia" w:ascii="TimesNewRomanPSMT" w:hAnsi="TimesNewRomanPSMT" w:cs="TimesNewRomanPSMT"/>
                      <w:color w:val="000000" w:themeColor="text1"/>
                      <w:kern w:val="0"/>
                      <w:sz w:val="21"/>
                      <w:szCs w:val="21"/>
                      <w:lang w:val="en-US" w:eastAsia="zh-CN"/>
                      <w14:textFill>
                        <w14:solidFill>
                          <w14:schemeClr w14:val="tx1"/>
                        </w14:solidFill>
                      </w14:textFill>
                    </w:rPr>
                    <w:t>49</w:t>
                  </w:r>
                </w:p>
              </w:tc>
              <w:tc>
                <w:tcPr>
                  <w:tcW w:w="1340" w:type="dxa"/>
                  <w:shd w:val="clear" w:color="auto" w:fill="auto"/>
                  <w:vAlign w:val="center"/>
                </w:tcPr>
                <w:p w14:paraId="69044436">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ascii="TimesNewRomanPSMT" w:hAnsi="TimesNewRomanPSMT" w:eastAsia="TimesNewRomanPSMT" w:cs="TimesNewRomanPSMT"/>
                      <w:color w:val="000000" w:themeColor="text1"/>
                      <w:kern w:val="0"/>
                      <w:sz w:val="21"/>
                      <w:szCs w:val="21"/>
                      <w14:textFill>
                        <w14:solidFill>
                          <w14:schemeClr w14:val="tx1"/>
                        </w14:solidFill>
                      </w14:textFill>
                    </w:rPr>
                    <w:t>900-039-49</w:t>
                  </w:r>
                </w:p>
              </w:tc>
              <w:tc>
                <w:tcPr>
                  <w:tcW w:w="1060" w:type="dxa"/>
                  <w:shd w:val="clear" w:color="auto" w:fill="auto"/>
                  <w:vAlign w:val="center"/>
                </w:tcPr>
                <w:p w14:paraId="57FC8C4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12.73</w:t>
                  </w:r>
                </w:p>
              </w:tc>
              <w:tc>
                <w:tcPr>
                  <w:tcW w:w="1610" w:type="dxa"/>
                  <w:shd w:val="clear" w:color="auto" w:fill="auto"/>
                  <w:vAlign w:val="center"/>
                </w:tcPr>
                <w:p w14:paraId="2AA9D7E5">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喷涂废气处理</w:t>
                  </w:r>
                </w:p>
              </w:tc>
              <w:tc>
                <w:tcPr>
                  <w:tcW w:w="770" w:type="dxa"/>
                  <w:shd w:val="clear" w:color="auto" w:fill="auto"/>
                  <w:vAlign w:val="center"/>
                </w:tcPr>
                <w:p w14:paraId="1902BAD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pacing w:val="-10"/>
                      <w:kern w:val="2"/>
                      <w:sz w:val="21"/>
                      <w:szCs w:val="21"/>
                      <w:lang w:val="en-US" w:eastAsia="zh-CN" w:bidi="ar-SA"/>
                      <w14:textFill>
                        <w14:solidFill>
                          <w14:schemeClr w14:val="tx1"/>
                        </w14:solidFill>
                      </w14:textFill>
                    </w:rPr>
                  </w:pPr>
                  <w:r>
                    <w:rPr>
                      <w:rFonts w:hint="eastAsia" w:cs="Times New Roman"/>
                      <w:bCs/>
                      <w:color w:val="000000" w:themeColor="text1"/>
                      <w:spacing w:val="-10"/>
                      <w:kern w:val="2"/>
                      <w:sz w:val="21"/>
                      <w:szCs w:val="21"/>
                      <w:lang w:val="en-US" w:eastAsia="zh-CN" w:bidi="ar-SA"/>
                      <w14:textFill>
                        <w14:solidFill>
                          <w14:schemeClr w14:val="tx1"/>
                        </w14:solidFill>
                      </w14:textFill>
                    </w:rPr>
                    <w:t>3月</w:t>
                  </w:r>
                </w:p>
              </w:tc>
              <w:tc>
                <w:tcPr>
                  <w:tcW w:w="690" w:type="dxa"/>
                  <w:vMerge w:val="continue"/>
                  <w:vAlign w:val="center"/>
                </w:tcPr>
                <w:p w14:paraId="5D3EF6B4">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p>
              </w:tc>
              <w:tc>
                <w:tcPr>
                  <w:tcW w:w="2641" w:type="dxa"/>
                  <w:vMerge w:val="continue"/>
                  <w:vAlign w:val="center"/>
                </w:tcPr>
                <w:p w14:paraId="6544646A">
                  <w:pPr>
                    <w:keepNext w:val="0"/>
                    <w:keepLines w:val="0"/>
                    <w:suppressLineNumbers w:val="0"/>
                    <w:adjustRightInd w:val="0"/>
                    <w:snapToGrid w:val="0"/>
                    <w:spacing w:before="0" w:beforeAutospacing="0" w:after="0" w:afterAutospacing="0"/>
                    <w:ind w:left="0" w:right="0"/>
                    <w:jc w:val="both"/>
                    <w:rPr>
                      <w:rFonts w:hint="eastAsia"/>
                      <w:color w:val="000000" w:themeColor="text1"/>
                      <w:kern w:val="0"/>
                      <w:sz w:val="21"/>
                      <w:szCs w:val="21"/>
                      <w14:textFill>
                        <w14:solidFill>
                          <w14:schemeClr w14:val="tx1"/>
                        </w14:solidFill>
                      </w14:textFill>
                    </w:rPr>
                  </w:pPr>
                </w:p>
              </w:tc>
            </w:tr>
            <w:tr w14:paraId="5DD7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4" w:type="dxa"/>
                  <w:shd w:val="clear" w:color="auto" w:fill="auto"/>
                  <w:vAlign w:val="center"/>
                </w:tcPr>
                <w:p w14:paraId="307D1D39">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7</w:t>
                  </w:r>
                </w:p>
              </w:tc>
              <w:tc>
                <w:tcPr>
                  <w:tcW w:w="1087" w:type="dxa"/>
                  <w:vMerge w:val="continue"/>
                  <w:vAlign w:val="center"/>
                </w:tcPr>
                <w:p w14:paraId="6BE82E80">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14:textFill>
                        <w14:solidFill>
                          <w14:schemeClr w14:val="tx1"/>
                        </w14:solidFill>
                      </w14:textFill>
                    </w:rPr>
                  </w:pPr>
                </w:p>
              </w:tc>
              <w:tc>
                <w:tcPr>
                  <w:tcW w:w="659" w:type="dxa"/>
                  <w:vMerge w:val="continue"/>
                  <w:vAlign w:val="center"/>
                </w:tcPr>
                <w:p w14:paraId="49B9CD05">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p>
              </w:tc>
              <w:tc>
                <w:tcPr>
                  <w:tcW w:w="1201" w:type="dxa"/>
                  <w:shd w:val="clear" w:color="auto" w:fill="auto"/>
                  <w:vAlign w:val="center"/>
                </w:tcPr>
                <w:p w14:paraId="5422FA2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14:textFill>
                        <w14:solidFill>
                          <w14:schemeClr w14:val="tx1"/>
                        </w14:solidFill>
                      </w14:textFill>
                    </w:rPr>
                    <w:t>废</w:t>
                  </w:r>
                  <w:r>
                    <w:rPr>
                      <w:rFonts w:hint="eastAsia"/>
                      <w:color w:val="000000" w:themeColor="text1"/>
                      <w:kern w:val="0"/>
                      <w:sz w:val="21"/>
                      <w:szCs w:val="21"/>
                      <w:lang w:val="en-US" w:eastAsia="zh-CN"/>
                      <w14:textFill>
                        <w14:solidFill>
                          <w14:schemeClr w14:val="tx1"/>
                        </w14:solidFill>
                      </w14:textFill>
                    </w:rPr>
                    <w:t>高分子过滤棉</w:t>
                  </w:r>
                </w:p>
              </w:tc>
              <w:tc>
                <w:tcPr>
                  <w:tcW w:w="990" w:type="dxa"/>
                  <w:shd w:val="clear" w:color="auto" w:fill="auto"/>
                  <w:vAlign w:val="center"/>
                </w:tcPr>
                <w:p w14:paraId="6C027305">
                  <w:pPr>
                    <w:keepNext w:val="0"/>
                    <w:keepLines w:val="0"/>
                    <w:suppressLineNumbers w:val="0"/>
                    <w:adjustRightInd w:val="0"/>
                    <w:snapToGrid w:val="0"/>
                    <w:spacing w:before="0" w:beforeAutospacing="0" w:after="0" w:afterAutospacing="0"/>
                    <w:ind w:left="0" w:leftChars="0" w:right="0" w:rightChars="0"/>
                    <w:jc w:val="center"/>
                    <w:rPr>
                      <w:rFonts w:hint="eastAsia" w:ascii="TimesNewRomanPSMT" w:hAnsi="TimesNewRomanPSMT" w:eastAsia="宋体" w:cs="TimesNewRomanPSMT"/>
                      <w:color w:val="000000" w:themeColor="text1"/>
                      <w:kern w:val="0"/>
                      <w:sz w:val="21"/>
                      <w:szCs w:val="21"/>
                      <w:lang w:val="en-US" w:eastAsia="zh-CN" w:bidi="ar-SA"/>
                      <w14:textFill>
                        <w14:solidFill>
                          <w14:schemeClr w14:val="tx1"/>
                        </w14:solidFill>
                      </w14:textFill>
                    </w:rPr>
                  </w:pPr>
                  <w:r>
                    <w:rPr>
                      <w:rFonts w:hint="eastAsia" w:ascii="TimesNewRomanPSMT" w:hAnsi="TimesNewRomanPSMT" w:cs="TimesNewRomanPSMT"/>
                      <w:color w:val="000000" w:themeColor="text1"/>
                      <w:kern w:val="0"/>
                      <w:sz w:val="21"/>
                      <w:szCs w:val="21"/>
                      <w14:textFill>
                        <w14:solidFill>
                          <w14:schemeClr w14:val="tx1"/>
                        </w14:solidFill>
                      </w14:textFill>
                    </w:rPr>
                    <w:t>HW49</w:t>
                  </w:r>
                </w:p>
              </w:tc>
              <w:tc>
                <w:tcPr>
                  <w:tcW w:w="1340" w:type="dxa"/>
                  <w:shd w:val="clear" w:color="auto" w:fill="auto"/>
                  <w:vAlign w:val="center"/>
                </w:tcPr>
                <w:p w14:paraId="2666E04A">
                  <w:pPr>
                    <w:keepNext w:val="0"/>
                    <w:keepLines w:val="0"/>
                    <w:suppressLineNumbers w:val="0"/>
                    <w:adjustRightInd w:val="0"/>
                    <w:snapToGrid w:val="0"/>
                    <w:spacing w:before="0" w:beforeAutospacing="0" w:after="0" w:afterAutospacing="0"/>
                    <w:ind w:left="0" w:leftChars="0" w:right="0" w:rightChars="0"/>
                    <w:jc w:val="center"/>
                    <w:rPr>
                      <w:rFonts w:hint="eastAsia"/>
                      <w:bCs/>
                      <w:color w:val="000000" w:themeColor="text1"/>
                      <w:kern w:val="0"/>
                      <w:sz w:val="21"/>
                      <w:szCs w:val="21"/>
                      <w14:textFill>
                        <w14:solidFill>
                          <w14:schemeClr w14:val="tx1"/>
                        </w14:solidFill>
                      </w14:textFill>
                    </w:rPr>
                  </w:pPr>
                  <w:r>
                    <w:rPr>
                      <w:rFonts w:hint="eastAsia" w:ascii="TimesNewRomanPSMT" w:hAnsi="TimesNewRomanPSMT" w:cs="TimesNewRomanPSMT"/>
                      <w:color w:val="000000" w:themeColor="text1"/>
                      <w:kern w:val="0"/>
                      <w:sz w:val="21"/>
                      <w:szCs w:val="21"/>
                      <w14:textFill>
                        <w14:solidFill>
                          <w14:schemeClr w14:val="tx1"/>
                        </w14:solidFill>
                      </w14:textFill>
                    </w:rPr>
                    <w:t>900-041-49</w:t>
                  </w:r>
                </w:p>
              </w:tc>
              <w:tc>
                <w:tcPr>
                  <w:tcW w:w="1060" w:type="dxa"/>
                  <w:shd w:val="clear" w:color="auto" w:fill="auto"/>
                  <w:vAlign w:val="center"/>
                </w:tcPr>
                <w:p w14:paraId="4502AAF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0.12</w:t>
                  </w:r>
                </w:p>
              </w:tc>
              <w:tc>
                <w:tcPr>
                  <w:tcW w:w="1610" w:type="dxa"/>
                  <w:shd w:val="clear" w:color="auto" w:fill="auto"/>
                  <w:vAlign w:val="center"/>
                </w:tcPr>
                <w:p w14:paraId="7DC892BC">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喷涂废气处理</w:t>
                  </w:r>
                </w:p>
              </w:tc>
              <w:tc>
                <w:tcPr>
                  <w:tcW w:w="770" w:type="dxa"/>
                  <w:shd w:val="clear" w:color="auto" w:fill="auto"/>
                  <w:vAlign w:val="center"/>
                </w:tcPr>
                <w:p w14:paraId="35291233">
                  <w:pPr>
                    <w:keepNext w:val="0"/>
                    <w:keepLines w:val="0"/>
                    <w:suppressLineNumbers w:val="0"/>
                    <w:adjustRightInd w:val="0"/>
                    <w:snapToGrid w:val="0"/>
                    <w:spacing w:before="0" w:beforeAutospacing="0" w:after="0" w:afterAutospacing="0"/>
                    <w:ind w:left="0" w:right="0"/>
                    <w:jc w:val="center"/>
                    <w:rPr>
                      <w:rFonts w:hint="default"/>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每周</w:t>
                  </w:r>
                </w:p>
              </w:tc>
              <w:tc>
                <w:tcPr>
                  <w:tcW w:w="690" w:type="dxa"/>
                  <w:vMerge w:val="continue"/>
                  <w:vAlign w:val="center"/>
                </w:tcPr>
                <w:p w14:paraId="584B6D86">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p>
              </w:tc>
              <w:tc>
                <w:tcPr>
                  <w:tcW w:w="2641" w:type="dxa"/>
                  <w:vMerge w:val="continue"/>
                  <w:vAlign w:val="center"/>
                </w:tcPr>
                <w:p w14:paraId="64A7C25B">
                  <w:pPr>
                    <w:keepNext w:val="0"/>
                    <w:keepLines w:val="0"/>
                    <w:suppressLineNumbers w:val="0"/>
                    <w:adjustRightInd w:val="0"/>
                    <w:snapToGrid w:val="0"/>
                    <w:spacing w:before="0" w:beforeAutospacing="0" w:after="0" w:afterAutospacing="0"/>
                    <w:ind w:left="0" w:right="0"/>
                    <w:jc w:val="both"/>
                    <w:rPr>
                      <w:rFonts w:hint="eastAsia"/>
                      <w:color w:val="000000" w:themeColor="text1"/>
                      <w:kern w:val="0"/>
                      <w:sz w:val="21"/>
                      <w:szCs w:val="21"/>
                      <w14:textFill>
                        <w14:solidFill>
                          <w14:schemeClr w14:val="tx1"/>
                        </w14:solidFill>
                      </w14:textFill>
                    </w:rPr>
                  </w:pPr>
                </w:p>
              </w:tc>
            </w:tr>
            <w:tr w14:paraId="16F4A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24" w:type="dxa"/>
                  <w:shd w:val="clear" w:color="auto" w:fill="auto"/>
                  <w:vAlign w:val="center"/>
                </w:tcPr>
                <w:p w14:paraId="41D9565F">
                  <w:pPr>
                    <w:keepNext w:val="0"/>
                    <w:keepLines w:val="0"/>
                    <w:suppressLineNumbers w:val="0"/>
                    <w:adjustRightInd w:val="0"/>
                    <w:snapToGrid w:val="0"/>
                    <w:spacing w:before="0" w:beforeAutospacing="0" w:after="0" w:afterAutospacing="0"/>
                    <w:ind w:left="0" w:right="0"/>
                    <w:jc w:val="center"/>
                    <w:rPr>
                      <w:rFonts w:hint="default"/>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8</w:t>
                  </w:r>
                </w:p>
              </w:tc>
              <w:tc>
                <w:tcPr>
                  <w:tcW w:w="1087" w:type="dxa"/>
                  <w:vMerge w:val="continue"/>
                  <w:vAlign w:val="center"/>
                </w:tcPr>
                <w:p w14:paraId="114F1BEF">
                  <w:pPr>
                    <w:keepNext w:val="0"/>
                    <w:keepLines w:val="0"/>
                    <w:suppressLineNumbers w:val="0"/>
                    <w:adjustRightInd w:val="0"/>
                    <w:snapToGrid w:val="0"/>
                    <w:spacing w:before="0" w:beforeAutospacing="0" w:after="0" w:afterAutospacing="0"/>
                    <w:ind w:left="0" w:right="0"/>
                    <w:jc w:val="center"/>
                    <w:rPr>
                      <w:rFonts w:hint="default"/>
                      <w:bCs/>
                      <w:color w:val="000000" w:themeColor="text1"/>
                      <w:spacing w:val="-10"/>
                      <w:sz w:val="21"/>
                      <w:szCs w:val="21"/>
                      <w:lang w:val="en-US"/>
                      <w14:textFill>
                        <w14:solidFill>
                          <w14:schemeClr w14:val="tx1"/>
                        </w14:solidFill>
                      </w14:textFill>
                    </w:rPr>
                  </w:pPr>
                </w:p>
              </w:tc>
              <w:tc>
                <w:tcPr>
                  <w:tcW w:w="659" w:type="dxa"/>
                  <w:vMerge w:val="continue"/>
                  <w:vAlign w:val="center"/>
                </w:tcPr>
                <w:p w14:paraId="5429C8C6">
                  <w:pPr>
                    <w:keepNext w:val="0"/>
                    <w:keepLines w:val="0"/>
                    <w:suppressLineNumbers w:val="0"/>
                    <w:adjustRightInd w:val="0"/>
                    <w:snapToGrid w:val="0"/>
                    <w:spacing w:before="0" w:beforeAutospacing="0" w:after="0" w:afterAutospacing="0"/>
                    <w:ind w:left="0" w:right="0"/>
                    <w:jc w:val="center"/>
                    <w:rPr>
                      <w:rFonts w:hint="default"/>
                      <w:bCs/>
                      <w:color w:val="000000" w:themeColor="text1"/>
                      <w:spacing w:val="-10"/>
                      <w:sz w:val="21"/>
                      <w:szCs w:val="21"/>
                      <w:lang w:val="en-US" w:eastAsia="zh-CN"/>
                      <w14:textFill>
                        <w14:solidFill>
                          <w14:schemeClr w14:val="tx1"/>
                        </w14:solidFill>
                      </w14:textFill>
                    </w:rPr>
                  </w:pPr>
                </w:p>
              </w:tc>
              <w:tc>
                <w:tcPr>
                  <w:tcW w:w="1201" w:type="dxa"/>
                  <w:shd w:val="clear" w:color="auto" w:fill="auto"/>
                  <w:vAlign w:val="center"/>
                </w:tcPr>
                <w:p w14:paraId="101C700E">
                  <w:pPr>
                    <w:keepNext w:val="0"/>
                    <w:keepLines w:val="0"/>
                    <w:suppressLineNumbers w:val="0"/>
                    <w:adjustRightInd w:val="0"/>
                    <w:snapToGrid w:val="0"/>
                    <w:spacing w:before="0" w:beforeAutospacing="0" w:after="0" w:afterAutospacing="0"/>
                    <w:ind w:left="0" w:leftChars="0" w:right="0" w:rightChars="0"/>
                    <w:jc w:val="center"/>
                    <w:rPr>
                      <w:rFonts w:hint="default"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含油棉纱、手套</w:t>
                  </w:r>
                </w:p>
              </w:tc>
              <w:tc>
                <w:tcPr>
                  <w:tcW w:w="990" w:type="dxa"/>
                  <w:shd w:val="clear" w:color="auto" w:fill="auto"/>
                  <w:vAlign w:val="center"/>
                </w:tcPr>
                <w:p w14:paraId="772722C3">
                  <w:pPr>
                    <w:keepNext w:val="0"/>
                    <w:keepLines w:val="0"/>
                    <w:suppressLineNumbers w:val="0"/>
                    <w:adjustRightInd w:val="0"/>
                    <w:snapToGrid w:val="0"/>
                    <w:spacing w:before="0" w:beforeAutospacing="0" w:after="0" w:afterAutospacing="0"/>
                    <w:ind w:left="0" w:leftChars="0" w:right="0" w:rightChars="0"/>
                    <w:jc w:val="center"/>
                    <w:rPr>
                      <w:rFonts w:hint="eastAsia"/>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HW49</w:t>
                  </w:r>
                </w:p>
              </w:tc>
              <w:tc>
                <w:tcPr>
                  <w:tcW w:w="1340" w:type="dxa"/>
                  <w:shd w:val="clear" w:color="auto" w:fill="auto"/>
                  <w:vAlign w:val="center"/>
                </w:tcPr>
                <w:p w14:paraId="4FC67E46">
                  <w:pPr>
                    <w:keepNext w:val="0"/>
                    <w:keepLines w:val="0"/>
                    <w:suppressLineNumbers w:val="0"/>
                    <w:adjustRightInd w:val="0"/>
                    <w:snapToGrid w:val="0"/>
                    <w:spacing w:before="0" w:beforeAutospacing="0" w:after="0" w:afterAutospacing="0"/>
                    <w:ind w:left="0" w:leftChars="0" w:right="0" w:rightChars="0"/>
                    <w:jc w:val="center"/>
                    <w:rPr>
                      <w:rFonts w:hint="eastAsia"/>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900-041-49</w:t>
                  </w:r>
                </w:p>
              </w:tc>
              <w:tc>
                <w:tcPr>
                  <w:tcW w:w="1060" w:type="dxa"/>
                  <w:shd w:val="clear" w:color="auto" w:fill="auto"/>
                  <w:vAlign w:val="center"/>
                </w:tcPr>
                <w:p w14:paraId="129040D2">
                  <w:pPr>
                    <w:keepNext w:val="0"/>
                    <w:keepLines w:val="0"/>
                    <w:suppressLineNumbers w:val="0"/>
                    <w:adjustRightInd w:val="0"/>
                    <w:snapToGrid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0.02</w:t>
                  </w:r>
                </w:p>
              </w:tc>
              <w:tc>
                <w:tcPr>
                  <w:tcW w:w="1610" w:type="dxa"/>
                  <w:shd w:val="clear" w:color="auto" w:fill="auto"/>
                  <w:vAlign w:val="center"/>
                </w:tcPr>
                <w:p w14:paraId="0F0EE871">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设备维护保养</w:t>
                  </w:r>
                </w:p>
              </w:tc>
              <w:tc>
                <w:tcPr>
                  <w:tcW w:w="770" w:type="dxa"/>
                  <w:shd w:val="clear" w:color="auto" w:fill="auto"/>
                  <w:vAlign w:val="center"/>
                </w:tcPr>
                <w:p w14:paraId="5691B3F0">
                  <w:pPr>
                    <w:keepNext w:val="0"/>
                    <w:keepLines w:val="0"/>
                    <w:suppressLineNumbers w:val="0"/>
                    <w:adjustRightInd w:val="0"/>
                    <w:snapToGrid w:val="0"/>
                    <w:spacing w:before="0" w:beforeAutospacing="0" w:after="0" w:afterAutospacing="0"/>
                    <w:ind w:left="0" w:leftChars="0" w:right="0" w:rightChars="0"/>
                    <w:jc w:val="center"/>
                    <w:rPr>
                      <w:rFonts w:hint="eastAsia"/>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不定</w:t>
                  </w:r>
                </w:p>
              </w:tc>
              <w:tc>
                <w:tcPr>
                  <w:tcW w:w="690" w:type="dxa"/>
                  <w:vMerge w:val="continue"/>
                  <w:vAlign w:val="center"/>
                </w:tcPr>
                <w:p w14:paraId="33EAF536">
                  <w:pPr>
                    <w:keepNext w:val="0"/>
                    <w:keepLines w:val="0"/>
                    <w:suppressLineNumbers w:val="0"/>
                    <w:adjustRightInd w:val="0"/>
                    <w:snapToGrid w:val="0"/>
                    <w:spacing w:before="0" w:beforeAutospacing="0" w:after="0" w:afterAutospacing="0"/>
                    <w:ind w:left="0" w:right="0"/>
                    <w:jc w:val="center"/>
                    <w:rPr>
                      <w:rFonts w:hint="default"/>
                      <w:bCs/>
                      <w:color w:val="000000" w:themeColor="text1"/>
                      <w:spacing w:val="-10"/>
                      <w:sz w:val="21"/>
                      <w:szCs w:val="21"/>
                      <w:lang w:val="en-US" w:eastAsia="zh-CN"/>
                      <w14:textFill>
                        <w14:solidFill>
                          <w14:schemeClr w14:val="tx1"/>
                        </w14:solidFill>
                      </w14:textFill>
                    </w:rPr>
                  </w:pPr>
                </w:p>
              </w:tc>
              <w:tc>
                <w:tcPr>
                  <w:tcW w:w="2641" w:type="dxa"/>
                  <w:vMerge w:val="continue"/>
                  <w:vAlign w:val="center"/>
                </w:tcPr>
                <w:p w14:paraId="6039DE0F">
                  <w:pPr>
                    <w:keepNext w:val="0"/>
                    <w:keepLines w:val="0"/>
                    <w:suppressLineNumbers w:val="0"/>
                    <w:adjustRightInd w:val="0"/>
                    <w:snapToGrid w:val="0"/>
                    <w:spacing w:before="0" w:beforeAutospacing="0" w:after="0" w:afterAutospacing="0"/>
                    <w:ind w:left="0" w:right="0"/>
                    <w:jc w:val="both"/>
                    <w:rPr>
                      <w:rFonts w:hint="default"/>
                      <w:color w:val="000000" w:themeColor="text1"/>
                      <w:kern w:val="0"/>
                      <w:sz w:val="21"/>
                      <w:szCs w:val="21"/>
                      <w:lang w:val="en-US"/>
                      <w14:textFill>
                        <w14:solidFill>
                          <w14:schemeClr w14:val="tx1"/>
                        </w14:solidFill>
                      </w14:textFill>
                    </w:rPr>
                  </w:pPr>
                </w:p>
              </w:tc>
            </w:tr>
            <w:tr w14:paraId="04E3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24" w:type="dxa"/>
                  <w:shd w:val="clear" w:color="auto" w:fill="auto"/>
                  <w:vAlign w:val="center"/>
                </w:tcPr>
                <w:p w14:paraId="46901DB8">
                  <w:pPr>
                    <w:keepNext w:val="0"/>
                    <w:keepLines w:val="0"/>
                    <w:suppressLineNumbers w:val="0"/>
                    <w:adjustRightInd w:val="0"/>
                    <w:snapToGrid w:val="0"/>
                    <w:spacing w:before="0" w:beforeAutospacing="0" w:after="0" w:afterAutospacing="0"/>
                    <w:ind w:left="0" w:right="0"/>
                    <w:jc w:val="center"/>
                    <w:rPr>
                      <w:rFonts w:hint="default"/>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9</w:t>
                  </w:r>
                </w:p>
              </w:tc>
              <w:tc>
                <w:tcPr>
                  <w:tcW w:w="1087" w:type="dxa"/>
                  <w:vMerge w:val="continue"/>
                  <w:vAlign w:val="center"/>
                </w:tcPr>
                <w:p w14:paraId="6EC24F53">
                  <w:pPr>
                    <w:keepNext w:val="0"/>
                    <w:keepLines w:val="0"/>
                    <w:suppressLineNumbers w:val="0"/>
                    <w:adjustRightInd w:val="0"/>
                    <w:snapToGrid w:val="0"/>
                    <w:spacing w:before="0" w:beforeAutospacing="0" w:after="0" w:afterAutospacing="0"/>
                    <w:ind w:left="0" w:right="0"/>
                    <w:jc w:val="center"/>
                    <w:rPr>
                      <w:rFonts w:hint="default"/>
                      <w:bCs/>
                      <w:color w:val="000000" w:themeColor="text1"/>
                      <w:spacing w:val="-10"/>
                      <w:sz w:val="21"/>
                      <w:szCs w:val="21"/>
                      <w:lang w:val="en-US"/>
                      <w14:textFill>
                        <w14:solidFill>
                          <w14:schemeClr w14:val="tx1"/>
                        </w14:solidFill>
                      </w14:textFill>
                    </w:rPr>
                  </w:pPr>
                </w:p>
              </w:tc>
              <w:tc>
                <w:tcPr>
                  <w:tcW w:w="659" w:type="dxa"/>
                  <w:vMerge w:val="continue"/>
                  <w:vAlign w:val="center"/>
                </w:tcPr>
                <w:p w14:paraId="660FD2D4">
                  <w:pPr>
                    <w:keepNext w:val="0"/>
                    <w:keepLines w:val="0"/>
                    <w:suppressLineNumbers w:val="0"/>
                    <w:adjustRightInd w:val="0"/>
                    <w:snapToGrid w:val="0"/>
                    <w:spacing w:before="0" w:beforeAutospacing="0" w:after="0" w:afterAutospacing="0"/>
                    <w:ind w:left="0" w:right="0"/>
                    <w:jc w:val="center"/>
                    <w:rPr>
                      <w:rFonts w:hint="default"/>
                      <w:bCs/>
                      <w:color w:val="000000" w:themeColor="text1"/>
                      <w:spacing w:val="-10"/>
                      <w:sz w:val="21"/>
                      <w:szCs w:val="21"/>
                      <w:lang w:val="en-US" w:eastAsia="zh-CN"/>
                      <w14:textFill>
                        <w14:solidFill>
                          <w14:schemeClr w14:val="tx1"/>
                        </w14:solidFill>
                      </w14:textFill>
                    </w:rPr>
                  </w:pPr>
                </w:p>
              </w:tc>
              <w:tc>
                <w:tcPr>
                  <w:tcW w:w="1201" w:type="dxa"/>
                  <w:shd w:val="clear" w:color="auto" w:fill="auto"/>
                  <w:vAlign w:val="center"/>
                </w:tcPr>
                <w:p w14:paraId="610E06A1">
                  <w:pPr>
                    <w:keepNext w:val="0"/>
                    <w:keepLines w:val="0"/>
                    <w:suppressLineNumbers w:val="0"/>
                    <w:adjustRightInd w:val="0"/>
                    <w:snapToGrid w:val="0"/>
                    <w:spacing w:before="0" w:beforeAutospacing="0" w:after="0" w:afterAutospacing="0"/>
                    <w:ind w:left="0" w:leftChars="0" w:right="0" w:rightChars="0"/>
                    <w:jc w:val="center"/>
                    <w:rPr>
                      <w:rFonts w:hint="default"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废油桶</w:t>
                  </w:r>
                </w:p>
              </w:tc>
              <w:tc>
                <w:tcPr>
                  <w:tcW w:w="990" w:type="dxa"/>
                  <w:shd w:val="clear" w:color="auto" w:fill="auto"/>
                  <w:vAlign w:val="center"/>
                </w:tcPr>
                <w:p w14:paraId="1DA41351">
                  <w:pPr>
                    <w:keepNext w:val="0"/>
                    <w:keepLines w:val="0"/>
                    <w:suppressLineNumbers w:val="0"/>
                    <w:adjustRightInd w:val="0"/>
                    <w:snapToGrid w:val="0"/>
                    <w:spacing w:before="0" w:beforeAutospacing="0" w:after="0" w:afterAutospacing="0"/>
                    <w:ind w:left="0" w:leftChars="0" w:right="0" w:rightChars="0"/>
                    <w:jc w:val="center"/>
                    <w:rPr>
                      <w:rFonts w:hint="eastAsia" w:eastAsia="宋体"/>
                      <w:bCs/>
                      <w:color w:val="000000" w:themeColor="text1"/>
                      <w:kern w:val="0"/>
                      <w:sz w:val="21"/>
                      <w:szCs w:val="21"/>
                      <w:lang w:eastAsia="zh-CN"/>
                      <w14:textFill>
                        <w14:solidFill>
                          <w14:schemeClr w14:val="tx1"/>
                        </w14:solidFill>
                      </w14:textFill>
                    </w:rPr>
                  </w:pPr>
                  <w:r>
                    <w:rPr>
                      <w:rFonts w:hint="eastAsia"/>
                      <w:bCs/>
                      <w:color w:val="000000" w:themeColor="text1"/>
                      <w:kern w:val="0"/>
                      <w:sz w:val="21"/>
                      <w:szCs w:val="21"/>
                      <w14:textFill>
                        <w14:solidFill>
                          <w14:schemeClr w14:val="tx1"/>
                        </w14:solidFill>
                      </w14:textFill>
                    </w:rPr>
                    <w:t>HW408</w:t>
                  </w:r>
                </w:p>
              </w:tc>
              <w:tc>
                <w:tcPr>
                  <w:tcW w:w="1340" w:type="dxa"/>
                  <w:shd w:val="clear" w:color="auto" w:fill="auto"/>
                  <w:vAlign w:val="center"/>
                </w:tcPr>
                <w:p w14:paraId="3915166E">
                  <w:pPr>
                    <w:keepNext w:val="0"/>
                    <w:keepLines w:val="0"/>
                    <w:suppressLineNumbers w:val="0"/>
                    <w:adjustRightInd w:val="0"/>
                    <w:snapToGrid w:val="0"/>
                    <w:spacing w:before="0" w:beforeAutospacing="0" w:after="0" w:afterAutospacing="0"/>
                    <w:ind w:left="0" w:leftChars="0" w:right="0" w:rightChars="0"/>
                    <w:jc w:val="center"/>
                    <w:rPr>
                      <w:rFonts w:hint="eastAsia"/>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900-249-08</w:t>
                  </w:r>
                </w:p>
              </w:tc>
              <w:tc>
                <w:tcPr>
                  <w:tcW w:w="1060" w:type="dxa"/>
                  <w:shd w:val="clear" w:color="auto" w:fill="auto"/>
                  <w:vAlign w:val="center"/>
                </w:tcPr>
                <w:p w14:paraId="783DDAA3">
                  <w:pPr>
                    <w:keepNext w:val="0"/>
                    <w:keepLines w:val="0"/>
                    <w:suppressLineNumbers w:val="0"/>
                    <w:adjustRightInd w:val="0"/>
                    <w:snapToGrid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0.1</w:t>
                  </w:r>
                </w:p>
              </w:tc>
              <w:tc>
                <w:tcPr>
                  <w:tcW w:w="1610" w:type="dxa"/>
                  <w:shd w:val="clear" w:color="auto" w:fill="auto"/>
                  <w:vAlign w:val="center"/>
                </w:tcPr>
                <w:p w14:paraId="1561278B">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设备维护保养</w:t>
                  </w:r>
                </w:p>
              </w:tc>
              <w:tc>
                <w:tcPr>
                  <w:tcW w:w="770" w:type="dxa"/>
                  <w:shd w:val="clear" w:color="auto" w:fill="auto"/>
                  <w:vAlign w:val="center"/>
                </w:tcPr>
                <w:p w14:paraId="1ED087BB">
                  <w:pPr>
                    <w:keepNext w:val="0"/>
                    <w:keepLines w:val="0"/>
                    <w:suppressLineNumbers w:val="0"/>
                    <w:adjustRightInd w:val="0"/>
                    <w:snapToGrid w:val="0"/>
                    <w:spacing w:before="0" w:beforeAutospacing="0" w:after="0" w:afterAutospacing="0"/>
                    <w:ind w:left="0" w:leftChars="0" w:right="0" w:rightChars="0"/>
                    <w:jc w:val="center"/>
                    <w:rPr>
                      <w:rFonts w:hint="eastAsia"/>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不定</w:t>
                  </w:r>
                </w:p>
              </w:tc>
              <w:tc>
                <w:tcPr>
                  <w:tcW w:w="690" w:type="dxa"/>
                  <w:vMerge w:val="continue"/>
                  <w:vAlign w:val="center"/>
                </w:tcPr>
                <w:p w14:paraId="5A34CCE9">
                  <w:pPr>
                    <w:keepNext w:val="0"/>
                    <w:keepLines w:val="0"/>
                    <w:suppressLineNumbers w:val="0"/>
                    <w:adjustRightInd w:val="0"/>
                    <w:snapToGrid w:val="0"/>
                    <w:spacing w:before="0" w:beforeAutospacing="0" w:after="0" w:afterAutospacing="0"/>
                    <w:ind w:left="0" w:right="0"/>
                    <w:jc w:val="center"/>
                    <w:rPr>
                      <w:rFonts w:hint="default"/>
                      <w:bCs/>
                      <w:color w:val="000000" w:themeColor="text1"/>
                      <w:spacing w:val="-10"/>
                      <w:sz w:val="21"/>
                      <w:szCs w:val="21"/>
                      <w:lang w:val="en-US" w:eastAsia="zh-CN"/>
                      <w14:textFill>
                        <w14:solidFill>
                          <w14:schemeClr w14:val="tx1"/>
                        </w14:solidFill>
                      </w14:textFill>
                    </w:rPr>
                  </w:pPr>
                </w:p>
              </w:tc>
              <w:tc>
                <w:tcPr>
                  <w:tcW w:w="2641" w:type="dxa"/>
                  <w:vMerge w:val="continue"/>
                  <w:vAlign w:val="center"/>
                </w:tcPr>
                <w:p w14:paraId="1D3E1DAD">
                  <w:pPr>
                    <w:keepNext w:val="0"/>
                    <w:keepLines w:val="0"/>
                    <w:suppressLineNumbers w:val="0"/>
                    <w:adjustRightInd w:val="0"/>
                    <w:snapToGrid w:val="0"/>
                    <w:spacing w:before="0" w:beforeAutospacing="0" w:after="0" w:afterAutospacing="0"/>
                    <w:ind w:left="0" w:right="0"/>
                    <w:jc w:val="both"/>
                    <w:rPr>
                      <w:rFonts w:hint="default"/>
                      <w:color w:val="000000" w:themeColor="text1"/>
                      <w:kern w:val="0"/>
                      <w:sz w:val="21"/>
                      <w:szCs w:val="21"/>
                      <w:lang w:val="en-US"/>
                      <w14:textFill>
                        <w14:solidFill>
                          <w14:schemeClr w14:val="tx1"/>
                        </w14:solidFill>
                      </w14:textFill>
                    </w:rPr>
                  </w:pPr>
                </w:p>
              </w:tc>
            </w:tr>
            <w:tr w14:paraId="36C8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424" w:type="dxa"/>
                  <w:shd w:val="clear" w:color="auto" w:fill="auto"/>
                  <w:vAlign w:val="center"/>
                </w:tcPr>
                <w:p w14:paraId="3AF49C88">
                  <w:pPr>
                    <w:keepNext w:val="0"/>
                    <w:keepLines w:val="0"/>
                    <w:suppressLineNumbers w:val="0"/>
                    <w:adjustRightInd w:val="0"/>
                    <w:snapToGrid w:val="0"/>
                    <w:spacing w:before="0" w:beforeAutospacing="0" w:after="0" w:afterAutospacing="0"/>
                    <w:ind w:left="0" w:right="0"/>
                    <w:jc w:val="center"/>
                    <w:rPr>
                      <w:rFonts w:hint="default"/>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10</w:t>
                  </w:r>
                </w:p>
              </w:tc>
              <w:tc>
                <w:tcPr>
                  <w:tcW w:w="1087" w:type="dxa"/>
                  <w:vMerge w:val="continue"/>
                  <w:vAlign w:val="center"/>
                </w:tcPr>
                <w:p w14:paraId="04883481">
                  <w:pPr>
                    <w:keepNext w:val="0"/>
                    <w:keepLines w:val="0"/>
                    <w:suppressLineNumbers w:val="0"/>
                    <w:adjustRightInd w:val="0"/>
                    <w:snapToGrid w:val="0"/>
                    <w:spacing w:before="0" w:beforeAutospacing="0" w:after="0" w:afterAutospacing="0"/>
                    <w:ind w:left="0" w:right="0"/>
                    <w:jc w:val="center"/>
                    <w:rPr>
                      <w:rFonts w:hint="default"/>
                      <w:bCs/>
                      <w:color w:val="000000" w:themeColor="text1"/>
                      <w:spacing w:val="-10"/>
                      <w:sz w:val="21"/>
                      <w:szCs w:val="21"/>
                      <w:lang w:val="en-US"/>
                      <w14:textFill>
                        <w14:solidFill>
                          <w14:schemeClr w14:val="tx1"/>
                        </w14:solidFill>
                      </w14:textFill>
                    </w:rPr>
                  </w:pPr>
                </w:p>
              </w:tc>
              <w:tc>
                <w:tcPr>
                  <w:tcW w:w="659" w:type="dxa"/>
                  <w:vMerge w:val="continue"/>
                  <w:vAlign w:val="center"/>
                </w:tcPr>
                <w:p w14:paraId="6DDE6C64">
                  <w:pPr>
                    <w:keepNext w:val="0"/>
                    <w:keepLines w:val="0"/>
                    <w:suppressLineNumbers w:val="0"/>
                    <w:adjustRightInd w:val="0"/>
                    <w:snapToGrid w:val="0"/>
                    <w:spacing w:before="0" w:beforeAutospacing="0" w:after="0" w:afterAutospacing="0"/>
                    <w:ind w:left="0" w:right="0"/>
                    <w:jc w:val="center"/>
                    <w:rPr>
                      <w:rFonts w:hint="default"/>
                      <w:bCs/>
                      <w:color w:val="000000" w:themeColor="text1"/>
                      <w:spacing w:val="-10"/>
                      <w:sz w:val="21"/>
                      <w:szCs w:val="21"/>
                      <w:lang w:val="en-US" w:eastAsia="zh-CN"/>
                      <w14:textFill>
                        <w14:solidFill>
                          <w14:schemeClr w14:val="tx1"/>
                        </w14:solidFill>
                      </w14:textFill>
                    </w:rPr>
                  </w:pPr>
                </w:p>
              </w:tc>
              <w:tc>
                <w:tcPr>
                  <w:tcW w:w="1201" w:type="dxa"/>
                  <w:shd w:val="clear" w:color="auto" w:fill="auto"/>
                  <w:vAlign w:val="center"/>
                </w:tcPr>
                <w:p w14:paraId="54C8E307">
                  <w:pPr>
                    <w:keepNext w:val="0"/>
                    <w:keepLines w:val="0"/>
                    <w:suppressLineNumbers w:val="0"/>
                    <w:adjustRightInd w:val="0"/>
                    <w:snapToGrid w:val="0"/>
                    <w:spacing w:before="0" w:beforeAutospacing="0" w:after="0" w:afterAutospacing="0"/>
                    <w:ind w:left="0" w:leftChars="0" w:right="0" w:rightChars="0"/>
                    <w:jc w:val="center"/>
                    <w:rPr>
                      <w:rFonts w:hint="default"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废机油</w:t>
                  </w:r>
                </w:p>
              </w:tc>
              <w:tc>
                <w:tcPr>
                  <w:tcW w:w="990" w:type="dxa"/>
                  <w:shd w:val="clear" w:color="auto" w:fill="auto"/>
                  <w:vAlign w:val="center"/>
                </w:tcPr>
                <w:p w14:paraId="5CB251B0">
                  <w:pPr>
                    <w:keepNext w:val="0"/>
                    <w:keepLines w:val="0"/>
                    <w:suppressLineNumbers w:val="0"/>
                    <w:adjustRightInd w:val="0"/>
                    <w:snapToGrid w:val="0"/>
                    <w:spacing w:before="0" w:beforeAutospacing="0" w:after="0" w:afterAutospacing="0"/>
                    <w:ind w:left="0" w:leftChars="0" w:right="0" w:rightChars="0"/>
                    <w:jc w:val="center"/>
                    <w:rPr>
                      <w:rFonts w:hint="eastAsia" w:eastAsia="宋体"/>
                      <w:bCs/>
                      <w:color w:val="000000" w:themeColor="text1"/>
                      <w:kern w:val="0"/>
                      <w:sz w:val="21"/>
                      <w:szCs w:val="21"/>
                      <w:lang w:eastAsia="zh-CN"/>
                      <w14:textFill>
                        <w14:solidFill>
                          <w14:schemeClr w14:val="tx1"/>
                        </w14:solidFill>
                      </w14:textFill>
                    </w:rPr>
                  </w:pPr>
                  <w:r>
                    <w:rPr>
                      <w:rFonts w:hint="eastAsia"/>
                      <w:bCs/>
                      <w:color w:val="000000" w:themeColor="text1"/>
                      <w:kern w:val="0"/>
                      <w:sz w:val="21"/>
                      <w:szCs w:val="21"/>
                      <w14:textFill>
                        <w14:solidFill>
                          <w14:schemeClr w14:val="tx1"/>
                        </w14:solidFill>
                      </w14:textFill>
                    </w:rPr>
                    <w:t>HW08</w:t>
                  </w:r>
                </w:p>
              </w:tc>
              <w:tc>
                <w:tcPr>
                  <w:tcW w:w="1340" w:type="dxa"/>
                  <w:shd w:val="clear" w:color="auto" w:fill="auto"/>
                  <w:vAlign w:val="center"/>
                </w:tcPr>
                <w:p w14:paraId="3D2EA6A0">
                  <w:pPr>
                    <w:keepNext w:val="0"/>
                    <w:keepLines w:val="0"/>
                    <w:suppressLineNumbers w:val="0"/>
                    <w:adjustRightInd w:val="0"/>
                    <w:snapToGrid w:val="0"/>
                    <w:spacing w:before="0" w:beforeAutospacing="0" w:after="0" w:afterAutospacing="0"/>
                    <w:ind w:left="0" w:leftChars="0" w:right="0" w:rightChars="0"/>
                    <w:jc w:val="center"/>
                    <w:rPr>
                      <w:rFonts w:hint="eastAsia"/>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900-249-08</w:t>
                  </w:r>
                </w:p>
              </w:tc>
              <w:tc>
                <w:tcPr>
                  <w:tcW w:w="1060" w:type="dxa"/>
                  <w:shd w:val="clear" w:color="auto" w:fill="auto"/>
                  <w:vAlign w:val="center"/>
                </w:tcPr>
                <w:p w14:paraId="5D5FBA97">
                  <w:pPr>
                    <w:keepNext w:val="0"/>
                    <w:keepLines w:val="0"/>
                    <w:suppressLineNumbers w:val="0"/>
                    <w:adjustRightInd w:val="0"/>
                    <w:snapToGrid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0.01</w:t>
                  </w:r>
                </w:p>
              </w:tc>
              <w:tc>
                <w:tcPr>
                  <w:tcW w:w="1610" w:type="dxa"/>
                  <w:shd w:val="clear" w:color="auto" w:fill="auto"/>
                  <w:vAlign w:val="center"/>
                </w:tcPr>
                <w:p w14:paraId="5D35C40D">
                  <w:pPr>
                    <w:keepNext w:val="0"/>
                    <w:keepLines w:val="0"/>
                    <w:suppressLineNumbers w:val="0"/>
                    <w:autoSpaceDE w:val="0"/>
                    <w:autoSpaceDN w:val="0"/>
                    <w:adjustRightInd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设备维护保养</w:t>
                  </w:r>
                </w:p>
              </w:tc>
              <w:tc>
                <w:tcPr>
                  <w:tcW w:w="770" w:type="dxa"/>
                  <w:shd w:val="clear" w:color="auto" w:fill="auto"/>
                  <w:vAlign w:val="center"/>
                </w:tcPr>
                <w:p w14:paraId="644D0F6F">
                  <w:pPr>
                    <w:keepNext w:val="0"/>
                    <w:keepLines w:val="0"/>
                    <w:suppressLineNumbers w:val="0"/>
                    <w:adjustRightInd w:val="0"/>
                    <w:snapToGrid w:val="0"/>
                    <w:spacing w:before="0" w:beforeAutospacing="0" w:after="0" w:afterAutospacing="0"/>
                    <w:ind w:left="0" w:leftChars="0" w:right="0" w:rightChars="0"/>
                    <w:jc w:val="center"/>
                    <w:rPr>
                      <w:rFonts w:hint="eastAsia"/>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不定</w:t>
                  </w:r>
                </w:p>
              </w:tc>
              <w:tc>
                <w:tcPr>
                  <w:tcW w:w="690" w:type="dxa"/>
                  <w:vMerge w:val="continue"/>
                  <w:vAlign w:val="center"/>
                </w:tcPr>
                <w:p w14:paraId="213424E0">
                  <w:pPr>
                    <w:keepNext w:val="0"/>
                    <w:keepLines w:val="0"/>
                    <w:suppressLineNumbers w:val="0"/>
                    <w:adjustRightInd w:val="0"/>
                    <w:snapToGrid w:val="0"/>
                    <w:spacing w:before="0" w:beforeAutospacing="0" w:after="0" w:afterAutospacing="0"/>
                    <w:ind w:left="0" w:right="0"/>
                    <w:jc w:val="center"/>
                    <w:rPr>
                      <w:rFonts w:hint="default"/>
                      <w:bCs/>
                      <w:color w:val="000000" w:themeColor="text1"/>
                      <w:spacing w:val="-10"/>
                      <w:sz w:val="21"/>
                      <w:szCs w:val="21"/>
                      <w:lang w:val="en-US" w:eastAsia="zh-CN"/>
                      <w14:textFill>
                        <w14:solidFill>
                          <w14:schemeClr w14:val="tx1"/>
                        </w14:solidFill>
                      </w14:textFill>
                    </w:rPr>
                  </w:pPr>
                </w:p>
              </w:tc>
              <w:tc>
                <w:tcPr>
                  <w:tcW w:w="2641" w:type="dxa"/>
                  <w:vMerge w:val="continue"/>
                  <w:vAlign w:val="center"/>
                </w:tcPr>
                <w:p w14:paraId="02128D6E">
                  <w:pPr>
                    <w:keepNext w:val="0"/>
                    <w:keepLines w:val="0"/>
                    <w:suppressLineNumbers w:val="0"/>
                    <w:adjustRightInd w:val="0"/>
                    <w:snapToGrid w:val="0"/>
                    <w:spacing w:before="0" w:beforeAutospacing="0" w:after="0" w:afterAutospacing="0"/>
                    <w:ind w:left="0" w:right="0"/>
                    <w:jc w:val="both"/>
                    <w:rPr>
                      <w:rFonts w:hint="default"/>
                      <w:color w:val="000000" w:themeColor="text1"/>
                      <w:kern w:val="0"/>
                      <w:sz w:val="21"/>
                      <w:szCs w:val="21"/>
                      <w:lang w:val="en-US"/>
                      <w14:textFill>
                        <w14:solidFill>
                          <w14:schemeClr w14:val="tx1"/>
                        </w14:solidFill>
                      </w14:textFill>
                    </w:rPr>
                  </w:pPr>
                </w:p>
              </w:tc>
            </w:tr>
            <w:tr w14:paraId="7373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24" w:type="dxa"/>
                  <w:vAlign w:val="center"/>
                </w:tcPr>
                <w:p w14:paraId="3C80A168">
                  <w:pPr>
                    <w:keepNext w:val="0"/>
                    <w:keepLines w:val="0"/>
                    <w:suppressLineNumbers w:val="0"/>
                    <w:adjustRightInd w:val="0"/>
                    <w:snapToGrid w:val="0"/>
                    <w:spacing w:before="0" w:beforeAutospacing="0" w:after="0" w:afterAutospacing="0"/>
                    <w:ind w:left="0" w:right="0"/>
                    <w:jc w:val="center"/>
                    <w:rPr>
                      <w:rFonts w:hint="default" w:eastAsia="宋体"/>
                      <w:bCs/>
                      <w:color w:val="000000" w:themeColor="text1"/>
                      <w:spacing w:val="-10"/>
                      <w:sz w:val="21"/>
                      <w:szCs w:val="21"/>
                      <w:lang w:val="en-US" w:eastAsia="zh-CN"/>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11</w:t>
                  </w:r>
                </w:p>
              </w:tc>
              <w:tc>
                <w:tcPr>
                  <w:tcW w:w="1087" w:type="dxa"/>
                  <w:vMerge w:val="continue"/>
                  <w:vAlign w:val="center"/>
                </w:tcPr>
                <w:p w14:paraId="6A30E717">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14:textFill>
                        <w14:solidFill>
                          <w14:schemeClr w14:val="tx1"/>
                        </w14:solidFill>
                      </w14:textFill>
                    </w:rPr>
                  </w:pPr>
                </w:p>
              </w:tc>
              <w:tc>
                <w:tcPr>
                  <w:tcW w:w="659" w:type="dxa"/>
                  <w:vMerge w:val="continue"/>
                  <w:vAlign w:val="center"/>
                </w:tcPr>
                <w:p w14:paraId="1F17C090">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p>
              </w:tc>
              <w:tc>
                <w:tcPr>
                  <w:tcW w:w="1201" w:type="dxa"/>
                  <w:shd w:val="clear" w:color="auto" w:fill="auto"/>
                  <w:vAlign w:val="center"/>
                </w:tcPr>
                <w:p w14:paraId="7C0FA207">
                  <w:pPr>
                    <w:keepNext w:val="0"/>
                    <w:keepLines w:val="0"/>
                    <w:suppressLineNumbers w:val="0"/>
                    <w:adjustRightInd w:val="0"/>
                    <w:snapToGrid w:val="0"/>
                    <w:spacing w:before="0" w:beforeAutospacing="0" w:after="0" w:afterAutospacing="0"/>
                    <w:ind w:left="0" w:leftChars="0" w:right="0" w:rightChars="0"/>
                    <w:jc w:val="center"/>
                    <w:rPr>
                      <w:rFonts w:hint="eastAsia" w:asciiTheme="minorHAnsi" w:hAnsiTheme="minorHAnsi" w:eastAsiaTheme="minorEastAsia"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空压机含油冷凝废液</w:t>
                  </w:r>
                </w:p>
              </w:tc>
              <w:tc>
                <w:tcPr>
                  <w:tcW w:w="990" w:type="dxa"/>
                  <w:shd w:val="clear" w:color="auto" w:fill="auto"/>
                  <w:vAlign w:val="center"/>
                </w:tcPr>
                <w:p w14:paraId="77143F12">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14:textFill>
                        <w14:solidFill>
                          <w14:schemeClr w14:val="tx1"/>
                        </w14:solidFill>
                      </w14:textFill>
                    </w:rPr>
                    <w:t>HW09</w:t>
                  </w:r>
                </w:p>
              </w:tc>
              <w:tc>
                <w:tcPr>
                  <w:tcW w:w="1340" w:type="dxa"/>
                  <w:shd w:val="clear" w:color="auto" w:fill="auto"/>
                  <w:vAlign w:val="center"/>
                </w:tcPr>
                <w:p w14:paraId="0BAAFFF7">
                  <w:pPr>
                    <w:keepNext w:val="0"/>
                    <w:keepLines w:val="0"/>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eastAsia"/>
                      <w:bCs/>
                      <w:color w:val="000000" w:themeColor="text1"/>
                      <w:kern w:val="0"/>
                      <w:sz w:val="21"/>
                      <w:szCs w:val="21"/>
                      <w14:textFill>
                        <w14:solidFill>
                          <w14:schemeClr w14:val="tx1"/>
                        </w14:solidFill>
                      </w14:textFill>
                    </w:rPr>
                    <w:t>900-007-09</w:t>
                  </w:r>
                </w:p>
              </w:tc>
              <w:tc>
                <w:tcPr>
                  <w:tcW w:w="1060" w:type="dxa"/>
                  <w:shd w:val="clear" w:color="auto" w:fill="auto"/>
                  <w:vAlign w:val="center"/>
                </w:tcPr>
                <w:p w14:paraId="15CD774E">
                  <w:pPr>
                    <w:keepNext w:val="0"/>
                    <w:keepLines w:val="0"/>
                    <w:suppressLineNumbers w:val="0"/>
                    <w:adjustRightInd w:val="0"/>
                    <w:snapToGrid w:val="0"/>
                    <w:spacing w:before="0" w:beforeAutospacing="0" w:after="0" w:afterAutospacing="0"/>
                    <w:ind w:left="0" w:leftChars="0" w:right="0" w:rightChars="0"/>
                    <w:jc w:val="center"/>
                    <w:rPr>
                      <w:rFonts w:hint="default" w:eastAsia="宋体" w:asciiTheme="minorHAnsi" w:hAnsiTheme="minorHAnsi" w:cstheme="minorBidi"/>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0.05</w:t>
                  </w:r>
                </w:p>
              </w:tc>
              <w:tc>
                <w:tcPr>
                  <w:tcW w:w="1610" w:type="dxa"/>
                  <w:shd w:val="clear" w:color="auto" w:fill="auto"/>
                  <w:vAlign w:val="center"/>
                </w:tcPr>
                <w:p w14:paraId="5E490E85">
                  <w:pPr>
                    <w:keepNext w:val="0"/>
                    <w:keepLines w:val="0"/>
                    <w:suppressLineNumbers w:val="0"/>
                    <w:autoSpaceDE w:val="0"/>
                    <w:autoSpaceDN w:val="0"/>
                    <w:adjustRightIn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空压机</w:t>
                  </w:r>
                </w:p>
              </w:tc>
              <w:tc>
                <w:tcPr>
                  <w:tcW w:w="770" w:type="dxa"/>
                  <w:shd w:val="clear" w:color="auto" w:fill="auto"/>
                  <w:vAlign w:val="center"/>
                </w:tcPr>
                <w:p w14:paraId="3C90EE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000000" w:themeColor="text1"/>
                      <w:spacing w:val="-10"/>
                      <w:kern w:val="2"/>
                      <w:sz w:val="21"/>
                      <w:szCs w:val="21"/>
                      <w:lang w:val="en-US" w:eastAsia="zh-CN" w:bidi="ar-SA"/>
                      <w14:textFill>
                        <w14:solidFill>
                          <w14:schemeClr w14:val="tx1"/>
                        </w14:solidFill>
                      </w14:textFill>
                    </w:rPr>
                  </w:pPr>
                  <w:r>
                    <w:rPr>
                      <w:rFonts w:hint="eastAsia"/>
                      <w:bCs/>
                      <w:color w:val="000000" w:themeColor="text1"/>
                      <w:spacing w:val="-10"/>
                      <w:sz w:val="21"/>
                      <w:szCs w:val="21"/>
                      <w:lang w:val="en-US" w:eastAsia="zh-CN"/>
                      <w14:textFill>
                        <w14:solidFill>
                          <w14:schemeClr w14:val="tx1"/>
                        </w14:solidFill>
                      </w14:textFill>
                    </w:rPr>
                    <w:t>不定</w:t>
                  </w:r>
                </w:p>
              </w:tc>
              <w:tc>
                <w:tcPr>
                  <w:tcW w:w="690" w:type="dxa"/>
                  <w:vMerge w:val="continue"/>
                  <w:vAlign w:val="center"/>
                </w:tcPr>
                <w:p w14:paraId="61B3CECE">
                  <w:pPr>
                    <w:keepNext w:val="0"/>
                    <w:keepLines w:val="0"/>
                    <w:suppressLineNumbers w:val="0"/>
                    <w:adjustRightInd w:val="0"/>
                    <w:snapToGrid w:val="0"/>
                    <w:spacing w:before="0" w:beforeAutospacing="0" w:after="0" w:afterAutospacing="0"/>
                    <w:ind w:left="0" w:right="0"/>
                    <w:jc w:val="center"/>
                    <w:rPr>
                      <w:rFonts w:hint="eastAsia"/>
                      <w:bCs/>
                      <w:color w:val="000000" w:themeColor="text1"/>
                      <w:spacing w:val="-10"/>
                      <w:sz w:val="21"/>
                      <w:szCs w:val="21"/>
                      <w:lang w:val="en-US" w:eastAsia="zh-CN"/>
                      <w14:textFill>
                        <w14:solidFill>
                          <w14:schemeClr w14:val="tx1"/>
                        </w14:solidFill>
                      </w14:textFill>
                    </w:rPr>
                  </w:pPr>
                </w:p>
              </w:tc>
              <w:tc>
                <w:tcPr>
                  <w:tcW w:w="2641" w:type="dxa"/>
                  <w:vMerge w:val="continue"/>
                  <w:vAlign w:val="center"/>
                </w:tcPr>
                <w:p w14:paraId="4FCA05E1">
                  <w:pPr>
                    <w:keepNext w:val="0"/>
                    <w:keepLines w:val="0"/>
                    <w:suppressLineNumbers w:val="0"/>
                    <w:adjustRightInd w:val="0"/>
                    <w:snapToGrid w:val="0"/>
                    <w:spacing w:before="0" w:beforeAutospacing="0" w:after="0" w:afterAutospacing="0"/>
                    <w:ind w:left="0" w:right="0"/>
                    <w:jc w:val="both"/>
                    <w:rPr>
                      <w:rFonts w:hint="eastAsia"/>
                      <w:color w:val="000000" w:themeColor="text1"/>
                      <w:kern w:val="0"/>
                      <w:sz w:val="21"/>
                      <w:szCs w:val="21"/>
                      <w14:textFill>
                        <w14:solidFill>
                          <w14:schemeClr w14:val="tx1"/>
                        </w14:solidFill>
                      </w14:textFill>
                    </w:rPr>
                  </w:pPr>
                </w:p>
              </w:tc>
            </w:tr>
          </w:tbl>
          <w:p w14:paraId="7FC0B83B">
            <w:pPr>
              <w:keepNext w:val="0"/>
              <w:keepLines w:val="0"/>
              <w:widowControl/>
              <w:suppressLineNumbers w:val="0"/>
              <w:adjustRightInd w:val="0"/>
              <w:snapToGrid w:val="0"/>
              <w:spacing w:before="0" w:beforeAutospacing="0" w:after="0" w:afterAutospacing="0" w:line="360" w:lineRule="auto"/>
              <w:ind w:left="0" w:right="0" w:firstLine="420" w:firstLineChars="200"/>
              <w:rPr>
                <w:rFonts w:hint="default"/>
                <w:color w:val="000000" w:themeColor="text1"/>
                <w:kern w:val="0"/>
                <w:szCs w:val="21"/>
                <w14:textFill>
                  <w14:solidFill>
                    <w14:schemeClr w14:val="tx1"/>
                  </w14:solidFill>
                </w14:textFill>
              </w:rPr>
            </w:pPr>
          </w:p>
        </w:tc>
      </w:tr>
    </w:tbl>
    <w:p w14:paraId="68AA6AFB">
      <w:pPr>
        <w:rPr>
          <w:color w:val="000000" w:themeColor="text1"/>
          <w14:textFill>
            <w14:solidFill>
              <w14:schemeClr w14:val="tx1"/>
            </w14:solidFill>
          </w14:textFill>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2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8601"/>
      </w:tblGrid>
      <w:tr w14:paraId="40AF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6" w:hRule="atLeast"/>
          <w:jc w:val="center"/>
        </w:trPr>
        <w:tc>
          <w:tcPr>
            <w:tcW w:w="484" w:type="dxa"/>
            <w:vAlign w:val="center"/>
          </w:tcPr>
          <w:p w14:paraId="6F35EBB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运营期环境影响和保护措施</w:t>
            </w:r>
          </w:p>
        </w:tc>
        <w:tc>
          <w:tcPr>
            <w:tcW w:w="9071" w:type="dxa"/>
            <w:vAlign w:val="center"/>
          </w:tcPr>
          <w:p w14:paraId="2993692B">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514" w:firstLineChars="200"/>
              <w:jc w:val="both"/>
              <w:textAlignment w:val="auto"/>
              <w:outlineLvl w:val="0"/>
              <w:rPr>
                <w:rFonts w:hint="default" w:ascii="Times New Roman" w:hAnsi="Times New Roman" w:cs="Times New Roman"/>
                <w:b/>
                <w:bCs/>
                <w:color w:val="000000" w:themeColor="text1"/>
                <w:spacing w:val="8"/>
                <w:sz w:val="24"/>
                <w:szCs w:val="24"/>
                <w14:textFill>
                  <w14:solidFill>
                    <w14:schemeClr w14:val="tx1"/>
                  </w14:solidFill>
                </w14:textFill>
              </w:rPr>
            </w:pPr>
            <w:r>
              <w:rPr>
                <w:rFonts w:hint="default" w:ascii="Times New Roman" w:hAnsi="Times New Roman" w:cs="Times New Roman"/>
                <w:b/>
                <w:bCs/>
                <w:color w:val="000000" w:themeColor="text1"/>
                <w:spacing w:val="8"/>
                <w:sz w:val="24"/>
                <w:szCs w:val="24"/>
                <w:lang w:eastAsia="zh-CN"/>
                <w14:textFill>
                  <w14:solidFill>
                    <w14:schemeClr w14:val="tx1"/>
                  </w14:solidFill>
                </w14:textFill>
              </w:rPr>
              <w:t>（</w:t>
            </w:r>
            <w:r>
              <w:rPr>
                <w:rFonts w:hint="default" w:ascii="Times New Roman" w:hAnsi="Times New Roman" w:cs="Times New Roman"/>
                <w:b/>
                <w:bCs/>
                <w:color w:val="000000" w:themeColor="text1"/>
                <w:spacing w:val="8"/>
                <w:sz w:val="24"/>
                <w:szCs w:val="24"/>
                <w14:textFill>
                  <w14:solidFill>
                    <w14:schemeClr w14:val="tx1"/>
                  </w14:solidFill>
                </w14:textFill>
              </w:rPr>
              <w:t>2）固体废物防治措施</w:t>
            </w:r>
          </w:p>
          <w:p w14:paraId="0F6CD876">
            <w:pPr>
              <w:pStyle w:val="19"/>
              <w:keepNext w:val="0"/>
              <w:keepLines w:val="0"/>
              <w:suppressLineNumbers w:val="0"/>
              <w:spacing w:before="0" w:beforeAutospacing="0" w:after="0" w:afterAutospacing="0" w:line="360" w:lineRule="auto"/>
              <w:ind w:left="0" w:right="0" w:firstLine="512" w:firstLineChars="200"/>
              <w:jc w:val="both"/>
              <w:outlineLvl w:val="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pacing w:val="8"/>
                <w:sz w:val="24"/>
                <w:szCs w:val="24"/>
                <w14:textFill>
                  <w14:solidFill>
                    <w14:schemeClr w14:val="tx1"/>
                  </w14:solidFill>
                </w14:textFill>
              </w:rPr>
              <w:t>一般固废：项目</w:t>
            </w:r>
            <w:r>
              <w:rPr>
                <w:rFonts w:hint="default" w:ascii="Times New Roman" w:hAnsi="Times New Roman" w:cs="Times New Roman"/>
                <w:color w:val="000000" w:themeColor="text1"/>
                <w:sz w:val="24"/>
                <w:szCs w:val="24"/>
                <w14:textFill>
                  <w14:solidFill>
                    <w14:schemeClr w14:val="tx1"/>
                  </w14:solidFill>
                </w14:textFill>
              </w:rPr>
              <w:t>新建1间一般工业</w:t>
            </w:r>
            <w:r>
              <w:rPr>
                <w:rFonts w:hint="default" w:ascii="Times New Roman" w:hAnsi="Times New Roman" w:cs="Times New Roman"/>
                <w:color w:val="000000" w:themeColor="text1"/>
                <w:sz w:val="24"/>
                <w:szCs w:val="24"/>
                <w:lang w:val="en-US" w:eastAsia="zh-CN"/>
                <w14:textFill>
                  <w14:solidFill>
                    <w14:schemeClr w14:val="tx1"/>
                  </w14:solidFill>
                </w14:textFill>
              </w:rPr>
              <w:t>固废暂存间</w:t>
            </w:r>
            <w:r>
              <w:rPr>
                <w:rFonts w:hint="default" w:ascii="Times New Roman" w:hAnsi="Times New Roman" w:cs="Times New Roman"/>
                <w:color w:val="000000" w:themeColor="text1"/>
                <w:sz w:val="24"/>
                <w:szCs w:val="24"/>
                <w14:textFill>
                  <w14:solidFill>
                    <w14:schemeClr w14:val="tx1"/>
                  </w14:solidFill>
                </w14:textFill>
              </w:rPr>
              <w:t>，位于厂房东南侧，建筑面积约10m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cs="Times New Roman"/>
                <w:color w:val="000000" w:themeColor="text1"/>
                <w:spacing w:val="8"/>
                <w:sz w:val="24"/>
                <w:szCs w:val="24"/>
                <w14:textFill>
                  <w14:solidFill>
                    <w14:schemeClr w14:val="tx1"/>
                  </w14:solidFill>
                </w14:textFill>
              </w:rPr>
              <w:t>应符合</w:t>
            </w:r>
            <w:r>
              <w:rPr>
                <w:rFonts w:hint="default" w:ascii="Times New Roman" w:hAnsi="Times New Roman" w:cs="Times New Roman"/>
                <w:color w:val="000000" w:themeColor="text1"/>
                <w:sz w:val="24"/>
                <w:szCs w:val="24"/>
                <w14:textFill>
                  <w14:solidFill>
                    <w14:schemeClr w14:val="tx1"/>
                  </w14:solidFill>
                </w14:textFill>
              </w:rPr>
              <w:t>防扬尘、防渗漏、防雨水要求；贮存应设置环境保护图形的警示、提示标志；一般工业</w:t>
            </w:r>
            <w:r>
              <w:rPr>
                <w:rFonts w:hint="default" w:ascii="Times New Roman" w:hAnsi="Times New Roman" w:cs="Times New Roman"/>
                <w:color w:val="000000" w:themeColor="text1"/>
                <w:sz w:val="24"/>
                <w:szCs w:val="24"/>
                <w:lang w:val="en-US" w:eastAsia="zh-CN"/>
                <w14:textFill>
                  <w14:solidFill>
                    <w14:schemeClr w14:val="tx1"/>
                  </w14:solidFill>
                </w14:textFill>
              </w:rPr>
              <w:t>固废暂存间</w:t>
            </w:r>
            <w:r>
              <w:rPr>
                <w:rFonts w:hint="default" w:ascii="Times New Roman" w:hAnsi="Times New Roman" w:cs="Times New Roman"/>
                <w:color w:val="000000" w:themeColor="text1"/>
                <w:sz w:val="24"/>
                <w:szCs w:val="24"/>
                <w14:textFill>
                  <w14:solidFill>
                    <w14:schemeClr w14:val="tx1"/>
                  </w14:solidFill>
                </w14:textFill>
              </w:rPr>
              <w:t>内不得混入生活垃圾或危险废物。</w:t>
            </w:r>
          </w:p>
          <w:p w14:paraId="32C2B260">
            <w:pPr>
              <w:keepNext w:val="0"/>
              <w:keepLines w:val="0"/>
              <w:suppressLineNumbers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危险废物：设</w:t>
            </w:r>
            <w:r>
              <w:rPr>
                <w:rFonts w:hint="default" w:ascii="Times New Roman" w:hAnsi="Times New Roman" w:cs="Times New Roman"/>
                <w:color w:val="000000" w:themeColor="text1"/>
                <w:sz w:val="24"/>
                <w:szCs w:val="24"/>
                <w:lang w:eastAsia="zh-CN"/>
                <w14:textFill>
                  <w14:solidFill>
                    <w14:schemeClr w14:val="tx1"/>
                  </w14:solidFill>
                </w14:textFill>
              </w:rPr>
              <w:t>危险废物贮存库</w:t>
            </w:r>
            <w:r>
              <w:rPr>
                <w:rFonts w:hint="default" w:ascii="Times New Roman" w:hAnsi="Times New Roman" w:cs="Times New Roman"/>
                <w:color w:val="000000" w:themeColor="text1"/>
                <w:sz w:val="24"/>
                <w:szCs w:val="24"/>
                <w14:textFill>
                  <w14:solidFill>
                    <w14:schemeClr w14:val="tx1"/>
                  </w14:solidFill>
                </w14:textFill>
              </w:rPr>
              <w:t>1</w:t>
            </w:r>
            <w:r>
              <w:rPr>
                <w:rFonts w:hint="eastAsia" w:cs="Times New Roman"/>
                <w:color w:val="000000" w:themeColor="text1"/>
                <w:sz w:val="24"/>
                <w:szCs w:val="24"/>
                <w:lang w:val="en-US" w:eastAsia="zh-CN"/>
                <w14:textFill>
                  <w14:solidFill>
                    <w14:schemeClr w14:val="tx1"/>
                  </w14:solidFill>
                </w14:textFill>
              </w:rPr>
              <w:t>个</w:t>
            </w:r>
            <w:r>
              <w:rPr>
                <w:rFonts w:hint="default" w:ascii="Times New Roman" w:hAnsi="Times New Roman" w:cs="Times New Roman"/>
                <w:color w:val="000000" w:themeColor="text1"/>
                <w:sz w:val="24"/>
                <w:szCs w:val="24"/>
                <w14:textFill>
                  <w14:solidFill>
                    <w14:schemeClr w14:val="tx1"/>
                  </w14:solidFill>
                </w14:textFill>
              </w:rPr>
              <w:t>，位于厂房</w:t>
            </w:r>
            <w:r>
              <w:rPr>
                <w:rFonts w:hint="default" w:ascii="Times New Roman" w:hAnsi="Times New Roman" w:cs="Times New Roman"/>
                <w:color w:val="000000" w:themeColor="text1"/>
                <w:sz w:val="24"/>
                <w:szCs w:val="24"/>
                <w:lang w:val="en-US" w:eastAsia="zh-CN"/>
                <w14:textFill>
                  <w14:solidFill>
                    <w14:schemeClr w14:val="tx1"/>
                  </w14:solidFill>
                </w14:textFill>
              </w:rPr>
              <w:t>东南侧</w:t>
            </w:r>
            <w:r>
              <w:rPr>
                <w:rFonts w:hint="default" w:ascii="Times New Roman" w:hAnsi="Times New Roman" w:cs="Times New Roman"/>
                <w:color w:val="000000" w:themeColor="text1"/>
                <w:sz w:val="24"/>
                <w:szCs w:val="24"/>
                <w14:textFill>
                  <w14:solidFill>
                    <w14:schemeClr w14:val="tx1"/>
                  </w14:solidFill>
                </w14:textFill>
              </w:rPr>
              <w:t>，约</w:t>
            </w:r>
            <w:r>
              <w:rPr>
                <w:rFonts w:hint="default" w:ascii="Times New Roman" w:hAnsi="Times New Roman" w:cs="Times New Roman"/>
                <w:color w:val="000000" w:themeColor="text1"/>
                <w:sz w:val="24"/>
                <w:szCs w:val="24"/>
                <w:lang w:val="en-US" w:eastAsia="zh-CN"/>
                <w14:textFill>
                  <w14:solidFill>
                    <w14:schemeClr w14:val="tx1"/>
                  </w14:solidFill>
                </w14:textFill>
              </w:rPr>
              <w:t>30</w:t>
            </w:r>
            <w:r>
              <w:rPr>
                <w:rFonts w:hint="default" w:ascii="Times New Roman" w:hAnsi="Times New Roman"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superscript"/>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，用于暂存危险废物，设</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六防</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措施，并于</w:t>
            </w:r>
            <w:r>
              <w:rPr>
                <w:rFonts w:hint="eastAsia" w:cs="Times New Roman"/>
                <w:color w:val="000000" w:themeColor="text1"/>
                <w:sz w:val="24"/>
                <w:szCs w:val="24"/>
                <w:lang w:val="en-US" w:eastAsia="zh-CN"/>
                <w14:textFill>
                  <w14:solidFill>
                    <w14:schemeClr w14:val="tx1"/>
                  </w14:solidFill>
                </w14:textFill>
              </w:rPr>
              <w:t>液态</w:t>
            </w:r>
            <w:r>
              <w:rPr>
                <w:rFonts w:hint="default" w:ascii="Times New Roman" w:hAnsi="Times New Roman" w:cs="Times New Roman"/>
                <w:color w:val="000000" w:themeColor="text1"/>
                <w:sz w:val="24"/>
                <w:szCs w:val="24"/>
                <w14:textFill>
                  <w14:solidFill>
                    <w14:schemeClr w14:val="tx1"/>
                  </w14:solidFill>
                </w14:textFill>
              </w:rPr>
              <w:t>危废下方设置托盘，张贴相应标识标牌</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设置管理</w:t>
            </w:r>
            <w:r>
              <w:rPr>
                <w:rFonts w:hint="default" w:ascii="Times New Roman" w:hAnsi="Times New Roman" w:cs="Times New Roman"/>
                <w:color w:val="000000" w:themeColor="text1"/>
                <w:sz w:val="24"/>
                <w:szCs w:val="24"/>
                <w14:textFill>
                  <w14:solidFill>
                    <w14:schemeClr w14:val="tx1"/>
                  </w14:solidFill>
                </w14:textFill>
              </w:rPr>
              <w:t>台账，危险废物分类收集后，定期交有资质的单位处理。</w:t>
            </w:r>
            <w:r>
              <w:rPr>
                <w:rFonts w:hint="default" w:ascii="Times New Roman" w:hAnsi="Times New Roman" w:cs="Times New Roman"/>
                <w:snapToGrid w:val="0"/>
                <w:color w:val="000000" w:themeColor="text1"/>
                <w:kern w:val="0"/>
                <w:sz w:val="24"/>
                <w:szCs w:val="24"/>
                <w14:textFill>
                  <w14:solidFill>
                    <w14:schemeClr w14:val="tx1"/>
                  </w14:solidFill>
                </w14:textFill>
              </w:rPr>
              <w:t>各种</w:t>
            </w:r>
            <w:r>
              <w:rPr>
                <w:rFonts w:hint="default" w:ascii="Times New Roman" w:hAnsi="Times New Roman" w:cs="Times New Roman"/>
                <w:color w:val="000000" w:themeColor="text1"/>
                <w:sz w:val="24"/>
                <w:szCs w:val="24"/>
                <w14:textFill>
                  <w14:solidFill>
                    <w14:schemeClr w14:val="tx1"/>
                  </w14:solidFill>
                </w14:textFill>
              </w:rPr>
              <w:t>危险废物分类存放，并有相应的记录。</w:t>
            </w:r>
            <w:r>
              <w:rPr>
                <w:rFonts w:hint="default" w:ascii="Times New Roman" w:hAnsi="Times New Roman" w:cs="Times New Roman"/>
                <w:snapToGrid w:val="0"/>
                <w:color w:val="000000" w:themeColor="text1"/>
                <w:kern w:val="0"/>
                <w:sz w:val="24"/>
                <w:szCs w:val="24"/>
                <w14:textFill>
                  <w14:solidFill>
                    <w14:schemeClr w14:val="tx1"/>
                  </w14:solidFill>
                </w14:textFill>
              </w:rPr>
              <w:t>项目危险废物及其贮存场所（设施）基本情况表见</w:t>
            </w:r>
            <w:r>
              <w:rPr>
                <w:rFonts w:hint="default" w:ascii="Times New Roman" w:hAnsi="Times New Roman" w:cs="Times New Roman"/>
                <w:snapToGrid w:val="0"/>
                <w:color w:val="000000" w:themeColor="text1"/>
                <w:kern w:val="0"/>
                <w:sz w:val="24"/>
                <w:szCs w:val="24"/>
                <w:lang w:val="en-US" w:eastAsia="zh-CN"/>
                <w14:textFill>
                  <w14:solidFill>
                    <w14:schemeClr w14:val="tx1"/>
                  </w14:solidFill>
                </w14:textFill>
              </w:rPr>
              <w:t>上</w:t>
            </w:r>
            <w:r>
              <w:rPr>
                <w:rFonts w:hint="default" w:ascii="Times New Roman" w:hAnsi="Times New Roman" w:cs="Times New Roman"/>
                <w:snapToGrid w:val="0"/>
                <w:color w:val="000000" w:themeColor="text1"/>
                <w:kern w:val="0"/>
                <w:sz w:val="24"/>
                <w:szCs w:val="24"/>
                <w14:textFill>
                  <w14:solidFill>
                    <w14:schemeClr w14:val="tx1"/>
                  </w14:solidFill>
                </w14:textFill>
              </w:rPr>
              <w:t>表</w:t>
            </w:r>
            <w:r>
              <w:rPr>
                <w:rFonts w:hint="default" w:ascii="Times New Roman" w:hAnsi="Times New Roman" w:cs="Times New Roman"/>
                <w:snapToGrid w:val="0"/>
                <w:color w:val="000000" w:themeColor="text1"/>
                <w:kern w:val="0"/>
                <w:sz w:val="24"/>
                <w:szCs w:val="24"/>
                <w:lang w:val="en-US" w:eastAsia="zh-CN"/>
                <w14:textFill>
                  <w14:solidFill>
                    <w14:schemeClr w14:val="tx1"/>
                  </w14:solidFill>
                </w14:textFill>
              </w:rPr>
              <w:t>4-15</w:t>
            </w:r>
            <w:r>
              <w:rPr>
                <w:rFonts w:hint="default" w:ascii="Times New Roman" w:hAnsi="Times New Roman" w:cs="Times New Roman"/>
                <w:snapToGrid w:val="0"/>
                <w:color w:val="000000" w:themeColor="text1"/>
                <w:kern w:val="0"/>
                <w:sz w:val="24"/>
                <w:szCs w:val="24"/>
                <w14:textFill>
                  <w14:solidFill>
                    <w14:schemeClr w14:val="tx1"/>
                  </w14:solidFill>
                </w14:textFill>
              </w:rPr>
              <w:t>。</w:t>
            </w:r>
          </w:p>
          <w:p w14:paraId="3A8C1298">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本项目危险废物贮存库暂存约容量贮存能</w:t>
            </w:r>
            <w:r>
              <w:rPr>
                <w:rFonts w:hint="default" w:ascii="Times New Roman" w:hAnsi="Times New Roman" w:cs="Times New Roman"/>
                <w:color w:val="000000" w:themeColor="text1"/>
                <w:sz w:val="24"/>
                <w:highlight w:val="none"/>
                <w:lang w:eastAsia="zh-CN"/>
                <w14:textFill>
                  <w14:solidFill>
                    <w14:schemeClr w14:val="tx1"/>
                  </w14:solidFill>
                </w14:textFill>
              </w:rPr>
              <w:t>力</w:t>
            </w:r>
            <w:r>
              <w:rPr>
                <w:rFonts w:hint="default" w:ascii="Times New Roman" w:hAnsi="Times New Roman" w:cs="Times New Roman"/>
                <w:color w:val="000000" w:themeColor="text1"/>
                <w:sz w:val="24"/>
                <w:highlight w:val="none"/>
                <w14:textFill>
                  <w14:solidFill>
                    <w14:schemeClr w14:val="tx1"/>
                  </w14:solidFill>
                </w14:textFill>
              </w:rPr>
              <w:t>为30t危险废物，项目危险废物产生量为</w:t>
            </w:r>
            <w:r>
              <w:rPr>
                <w:rFonts w:hint="eastAsia" w:cs="Times New Roman"/>
                <w:color w:val="000000" w:themeColor="text1"/>
                <w:sz w:val="24"/>
                <w:highlight w:val="none"/>
                <w:lang w:val="en-US" w:eastAsia="zh-CN"/>
                <w14:textFill>
                  <w14:solidFill>
                    <w14:schemeClr w14:val="tx1"/>
                  </w14:solidFill>
                </w14:textFill>
              </w:rPr>
              <w:t>23.524</w:t>
            </w:r>
            <w:r>
              <w:rPr>
                <w:rFonts w:hint="default" w:ascii="Times New Roman" w:hAnsi="Times New Roman" w:cs="Times New Roman"/>
                <w:color w:val="000000" w:themeColor="text1"/>
                <w:sz w:val="24"/>
                <w:highlight w:val="none"/>
                <w14:textFill>
                  <w14:solidFill>
                    <w14:schemeClr w14:val="tx1"/>
                  </w14:solidFill>
                </w14:textFill>
              </w:rPr>
              <w:t>t/a，转运频次为</w:t>
            </w:r>
            <w:r>
              <w:rPr>
                <w:rFonts w:hint="eastAsia" w:cs="Times New Roman"/>
                <w:color w:val="000000" w:themeColor="text1"/>
                <w:sz w:val="24"/>
                <w:highlight w:val="none"/>
                <w:lang w:val="en-US" w:eastAsia="zh-CN"/>
                <w14:textFill>
                  <w14:solidFill>
                    <w14:schemeClr w14:val="tx1"/>
                  </w14:solidFill>
                </w14:textFill>
              </w:rPr>
              <w:t>3月1次</w:t>
            </w:r>
            <w:r>
              <w:rPr>
                <w:rFonts w:hint="default" w:ascii="Times New Roman" w:hAnsi="Times New Roman" w:cs="Times New Roman"/>
                <w:color w:val="000000" w:themeColor="text1"/>
                <w:sz w:val="24"/>
                <w:highlight w:val="none"/>
                <w14:textFill>
                  <w14:solidFill>
                    <w14:schemeClr w14:val="tx1"/>
                  </w14:solidFill>
                </w14:textFill>
              </w:rPr>
              <w:t>。因此危险废物贮存库储存能力和实时贮存量均能满足危废贮存库的相关需要。</w:t>
            </w:r>
          </w:p>
          <w:p w14:paraId="72848B6D">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b/>
                <w:bCs/>
                <w:color w:val="000000" w:themeColor="text1"/>
                <w:sz w:val="24"/>
                <w:szCs w:val="24"/>
                <w14:textFill>
                  <w14:solidFill>
                    <w14:schemeClr w14:val="tx1"/>
                  </w14:solidFill>
                </w14:textFill>
              </w:rPr>
              <w:t>3）固体废物管理要求</w:t>
            </w:r>
          </w:p>
          <w:p w14:paraId="7E3FFAF9">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本项目产生的一般工业固废应分类收集暂存于一般固废暂存间，一般固废暂存间的建设应满足相应防渗漏、防雨淋、防扬尘等环保要求，一般工业固废根据其性质及回收利用价值，交由废品单位回收处理。</w:t>
            </w:r>
          </w:p>
          <w:p w14:paraId="5EB757F5">
            <w:pPr>
              <w:pStyle w:val="5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本项目产生的危险废物分类收集暂存于</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危废贮存库</w:t>
            </w:r>
            <w:r>
              <w:rPr>
                <w:rFonts w:hint="default" w:ascii="Times New Roman" w:hAnsi="Times New Roman" w:cs="Times New Roman" w:eastAsiaTheme="minorEastAsia"/>
                <w:color w:val="000000" w:themeColor="text1"/>
                <w:sz w:val="24"/>
                <w:szCs w:val="24"/>
                <w14:textFill>
                  <w14:solidFill>
                    <w14:schemeClr w14:val="tx1"/>
                  </w14:solidFill>
                </w14:textFill>
              </w:rPr>
              <w:t>，定期交由资质单位处置。</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危废贮存库</w:t>
            </w:r>
            <w:r>
              <w:rPr>
                <w:rFonts w:hint="default" w:ascii="Times New Roman" w:hAnsi="Times New Roman" w:cs="Times New Roman" w:eastAsiaTheme="minorEastAsia"/>
                <w:color w:val="000000" w:themeColor="text1"/>
                <w:sz w:val="24"/>
                <w:szCs w:val="24"/>
                <w14:textFill>
                  <w14:solidFill>
                    <w14:schemeClr w14:val="tx1"/>
                  </w14:solidFill>
                </w14:textFill>
              </w:rPr>
              <w:t>建设及危废贮存过程应满足以下要求：</w:t>
            </w:r>
          </w:p>
          <w:p w14:paraId="36DF92E5">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①</w:t>
            </w:r>
            <w:r>
              <w:rPr>
                <w:rFonts w:hint="default" w:ascii="Times New Roman" w:hAnsi="Times New Roman" w:cs="Times New Roman"/>
                <w:bCs/>
                <w:color w:val="000000" w:themeColor="text1"/>
                <w:sz w:val="24"/>
                <w14:textFill>
                  <w14:solidFill>
                    <w14:schemeClr w14:val="tx1"/>
                  </w14:solidFill>
                </w14:textFill>
              </w:rPr>
              <w:t>应按危险废物类别分别采用符合标准的容器贮存，加上标签，由专人负责管理。</w:t>
            </w:r>
          </w:p>
          <w:p w14:paraId="3D579E09">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②</w:t>
            </w:r>
            <w:r>
              <w:rPr>
                <w:rFonts w:hint="default" w:ascii="Times New Roman" w:hAnsi="Times New Roman" w:cs="Times New Roman"/>
                <w:bCs/>
                <w:color w:val="000000" w:themeColor="text1"/>
                <w:sz w:val="24"/>
                <w:lang w:eastAsia="zh-CN"/>
                <w14:textFill>
                  <w14:solidFill>
                    <w14:schemeClr w14:val="tx1"/>
                  </w14:solidFill>
                </w14:textFill>
              </w:rPr>
              <w:t>危废贮存库</w:t>
            </w:r>
            <w:r>
              <w:rPr>
                <w:rFonts w:hint="default" w:ascii="Times New Roman" w:hAnsi="Times New Roman" w:cs="Times New Roman"/>
                <w:bCs/>
                <w:color w:val="000000" w:themeColor="text1"/>
                <w:sz w:val="24"/>
                <w14:textFill>
                  <w14:solidFill>
                    <w14:schemeClr w14:val="tx1"/>
                  </w14:solidFill>
                </w14:textFill>
              </w:rPr>
              <w:t>应符合《危险废物贮存污染控制标准》（GB18597-2023）要求，按</w:t>
            </w:r>
            <w:r>
              <w:rPr>
                <w:rFonts w:hint="default" w:ascii="Times New Roman" w:hAnsi="Times New Roman" w:cs="Times New Roman"/>
                <w:bCs/>
                <w:color w:val="000000" w:themeColor="text1"/>
                <w:sz w:val="24"/>
                <w:lang w:val="en-US" w:eastAsia="zh-CN"/>
                <w14:textFill>
                  <w14:solidFill>
                    <w14:schemeClr w14:val="tx1"/>
                  </w14:solidFill>
                </w14:textFill>
              </w:rPr>
              <w:t>标准</w:t>
            </w:r>
            <w:r>
              <w:rPr>
                <w:rFonts w:hint="default" w:ascii="Times New Roman" w:hAnsi="Times New Roman" w:cs="Times New Roman"/>
                <w:bCs/>
                <w:color w:val="000000" w:themeColor="text1"/>
                <w:sz w:val="24"/>
                <w14:textFill>
                  <w14:solidFill>
                    <w14:schemeClr w14:val="tx1"/>
                  </w14:solidFill>
                </w14:textFill>
              </w:rPr>
              <w:t>进行</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六防</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处理，设置明显的专用标志，</w:t>
            </w:r>
            <w:r>
              <w:rPr>
                <w:rFonts w:hint="default" w:ascii="Times New Roman" w:hAnsi="Times New Roman" w:cs="Times New Roman"/>
                <w:bCs/>
                <w:color w:val="000000" w:themeColor="text1"/>
                <w:sz w:val="24"/>
                <w:lang w:val="en-US" w:eastAsia="zh-CN"/>
                <w14:textFill>
                  <w14:solidFill>
                    <w14:schemeClr w14:val="tx1"/>
                  </w14:solidFill>
                </w14:textFill>
              </w:rPr>
              <w:t>危险废物分类存放，</w:t>
            </w:r>
            <w:r>
              <w:rPr>
                <w:rFonts w:hint="default" w:ascii="Times New Roman" w:hAnsi="Times New Roman" w:cs="Times New Roman"/>
                <w:bCs/>
                <w:color w:val="000000" w:themeColor="text1"/>
                <w:sz w:val="24"/>
                <w14:textFill>
                  <w14:solidFill>
                    <w14:schemeClr w14:val="tx1"/>
                  </w14:solidFill>
                </w14:textFill>
              </w:rPr>
              <w:t>禁止混入不相容的危险废物。</w:t>
            </w:r>
          </w:p>
          <w:p w14:paraId="69413506">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③</w:t>
            </w:r>
            <w:r>
              <w:rPr>
                <w:rFonts w:hint="default" w:ascii="Times New Roman" w:hAnsi="Times New Roman" w:cs="Times New Roman"/>
                <w:bCs/>
                <w:color w:val="000000" w:themeColor="text1"/>
                <w:sz w:val="24"/>
                <w14:textFill>
                  <w14:solidFill>
                    <w14:schemeClr w14:val="tx1"/>
                  </w14:solidFill>
                </w14:textFill>
              </w:rPr>
              <w:t>在交由有资质的危废处置单位清运处理时，应严格按照《危险废物转移联单管理办法》填写危险废物转移五联单，并由双方单位保留备查。</w:t>
            </w:r>
          </w:p>
          <w:p w14:paraId="15CE8611">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④</w:t>
            </w:r>
            <w:r>
              <w:rPr>
                <w:rFonts w:hint="default" w:ascii="Times New Roman" w:hAnsi="Times New Roman" w:cs="Times New Roman"/>
                <w:bCs/>
                <w:color w:val="000000" w:themeColor="text1"/>
                <w:sz w:val="24"/>
                <w14:textFill>
                  <w14:solidFill>
                    <w14:schemeClr w14:val="tx1"/>
                  </w14:solidFill>
                </w14:textFill>
              </w:rPr>
              <w:t>危废收运车应采用密闭运输方式，防止外泄。</w:t>
            </w:r>
          </w:p>
          <w:p w14:paraId="16E30B3D">
            <w:pPr>
              <w:pStyle w:val="4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val="en-US" w:eastAsia="zh-CN"/>
                <w14:textFill>
                  <w14:solidFill>
                    <w14:schemeClr w14:val="tx1"/>
                  </w14:solidFill>
                </w14:textFill>
              </w:rPr>
              <w:t>⑤</w:t>
            </w:r>
            <w:r>
              <w:rPr>
                <w:rFonts w:hint="default" w:ascii="Times New Roman" w:hAnsi="Times New Roman" w:cs="Times New Roman"/>
                <w:bCs/>
                <w:color w:val="000000" w:themeColor="text1"/>
                <w:sz w:val="24"/>
                <w:lang w:eastAsia="zh-CN"/>
                <w14:textFill>
                  <w14:solidFill>
                    <w14:schemeClr w14:val="tx1"/>
                  </w14:solidFill>
                </w14:textFill>
              </w:rPr>
              <w:t>危险废物贮存库</w:t>
            </w:r>
            <w:r>
              <w:rPr>
                <w:rFonts w:hint="default" w:ascii="Times New Roman" w:hAnsi="Times New Roman" w:cs="Times New Roman"/>
                <w:bCs/>
                <w:color w:val="000000" w:themeColor="text1"/>
                <w:sz w:val="24"/>
                <w14:textFill>
                  <w14:solidFill>
                    <w14:schemeClr w14:val="tx1"/>
                  </w14:solidFill>
                </w14:textFill>
              </w:rPr>
              <w:t>应具有防雨淋、防风</w:t>
            </w:r>
            <w:r>
              <w:rPr>
                <w:rFonts w:hint="default" w:ascii="Times New Roman" w:hAnsi="Times New Roman" w:cs="Times New Roman"/>
                <w:bCs/>
                <w:color w:val="000000" w:themeColor="text1"/>
                <w:sz w:val="24"/>
                <w:lang w:val="en-US" w:eastAsia="zh-CN"/>
                <w14:textFill>
                  <w14:solidFill>
                    <w14:schemeClr w14:val="tx1"/>
                  </w14:solidFill>
                </w14:textFill>
              </w:rPr>
              <w:t>等</w:t>
            </w:r>
            <w:r>
              <w:rPr>
                <w:rFonts w:hint="eastAsia"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六防</w:t>
            </w:r>
            <w:r>
              <w:rPr>
                <w:rFonts w:hint="eastAsia" w:cs="Times New Roman"/>
                <w:bCs/>
                <w:color w:val="000000" w:themeColor="text1"/>
                <w:sz w:val="24"/>
                <w:lang w:val="en-US"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措施，并由专人管理，按规定设置警示标志。</w:t>
            </w:r>
            <w:r>
              <w:rPr>
                <w:rFonts w:hint="default" w:ascii="Times New Roman" w:hAnsi="Times New Roman" w:cs="Times New Roman"/>
                <w:bCs/>
                <w:color w:val="000000" w:themeColor="text1"/>
                <w:sz w:val="24"/>
                <w:lang w:eastAsia="zh-CN"/>
                <w14:textFill>
                  <w14:solidFill>
                    <w14:schemeClr w14:val="tx1"/>
                  </w14:solidFill>
                </w14:textFill>
              </w:rPr>
              <w:t>危险废物贮存库</w:t>
            </w:r>
            <w:r>
              <w:rPr>
                <w:rFonts w:hint="default" w:ascii="Times New Roman" w:hAnsi="Times New Roman" w:cs="Times New Roman"/>
                <w:bCs/>
                <w:color w:val="000000" w:themeColor="text1"/>
                <w:sz w:val="24"/>
                <w14:textFill>
                  <w14:solidFill>
                    <w14:schemeClr w14:val="tx1"/>
                  </w14:solidFill>
                </w14:textFill>
              </w:rPr>
              <w:t>周围应设置围堰或其他防护栅栏；应配备通讯设备、照明设施、安全防护服装及工具，并设有应急防护设施。</w:t>
            </w:r>
            <w:r>
              <w:rPr>
                <w:rFonts w:hint="default" w:ascii="Times New Roman" w:hAnsi="Times New Roman" w:cs="Times New Roman"/>
                <w:bCs/>
                <w:color w:val="000000" w:themeColor="text1"/>
                <w:sz w:val="24"/>
                <w:lang w:eastAsia="zh-CN"/>
                <w14:textFill>
                  <w14:solidFill>
                    <w14:schemeClr w14:val="tx1"/>
                  </w14:solidFill>
                </w14:textFill>
              </w:rPr>
              <w:t>危险废物贮存库</w:t>
            </w:r>
            <w:r>
              <w:rPr>
                <w:rFonts w:hint="default" w:ascii="Times New Roman" w:hAnsi="Times New Roman" w:cs="Times New Roman"/>
                <w:bCs/>
                <w:color w:val="000000" w:themeColor="text1"/>
                <w:sz w:val="24"/>
                <w14:textFill>
                  <w14:solidFill>
                    <w14:schemeClr w14:val="tx1"/>
                  </w14:solidFill>
                </w14:textFill>
              </w:rPr>
              <w:t>内清理出来的泄漏物，一律按危险废物处理。</w:t>
            </w:r>
          </w:p>
          <w:p w14:paraId="66C5ECEC">
            <w:pPr>
              <w:keepNext w:val="0"/>
              <w:keepLines w:val="0"/>
              <w:suppressLineNumbers w:val="0"/>
              <w:adjustRightInd w:val="0"/>
              <w:snapToGrid w:val="0"/>
              <w:spacing w:before="0" w:beforeLines="50" w:beforeAutospacing="0" w:after="0" w:afterAutospacing="0" w:line="360" w:lineRule="auto"/>
              <w:ind w:left="0" w:right="0"/>
              <w:rPr>
                <w:rFonts w:hint="default" w:ascii="Times New Roman" w:hAnsi="Times New Roman" w:cs="Times New Roman"/>
                <w:b/>
                <w:color w:val="000000" w:themeColor="text1"/>
                <w:spacing w:val="-10"/>
                <w:sz w:val="24"/>
                <w:szCs w:val="24"/>
                <w14:textFill>
                  <w14:solidFill>
                    <w14:schemeClr w14:val="tx1"/>
                  </w14:solidFill>
                </w14:textFill>
              </w:rPr>
            </w:pPr>
            <w:r>
              <w:rPr>
                <w:rFonts w:hint="default" w:ascii="Times New Roman" w:hAnsi="Times New Roman" w:cs="Times New Roman"/>
                <w:b/>
                <w:color w:val="000000" w:themeColor="text1"/>
                <w:spacing w:val="-10"/>
                <w:sz w:val="24"/>
                <w:szCs w:val="24"/>
                <w14:textFill>
                  <w14:solidFill>
                    <w14:schemeClr w14:val="tx1"/>
                  </w14:solidFill>
                </w14:textFill>
              </w:rPr>
              <w:t>5、地下水及土壤</w:t>
            </w:r>
          </w:p>
          <w:p w14:paraId="261CEB51">
            <w:pPr>
              <w:pStyle w:val="6"/>
              <w:suppressLineNumbers w:val="0"/>
              <w:spacing w:before="0" w:beforeAutospacing="0" w:after="0" w:afterAutospacing="0"/>
              <w:ind w:left="0" w:right="0" w:firstLine="0" w:firstLineChars="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5.1、污染源和污染途径</w:t>
            </w:r>
          </w:p>
          <w:p w14:paraId="7EAED8BB">
            <w:pPr>
              <w:pStyle w:val="49"/>
              <w:keepNext w:val="0"/>
              <w:keepLines w:val="0"/>
              <w:suppressLineNumbers w:val="0"/>
              <w:spacing w:before="0" w:beforeAutospacing="0" w:after="0" w:afterAutospacing="0"/>
              <w:ind w:left="0" w:right="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危废贮存库、水性漆库房、喷涂区、备漆间、</w:t>
            </w:r>
            <w:r>
              <w:rPr>
                <w:rFonts w:hint="eastAsia" w:cs="Times New Roman" w:eastAsiaTheme="minorEastAsia"/>
                <w:color w:val="000000" w:themeColor="text1"/>
                <w:sz w:val="24"/>
                <w:szCs w:val="24"/>
                <w:lang w:eastAsia="zh-CN"/>
                <w14:textFill>
                  <w14:solidFill>
                    <w14:schemeClr w14:val="tx1"/>
                  </w14:solidFill>
                </w14:textFill>
              </w:rPr>
              <w:t>一体化生产废水处理站</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、空压机区域</w:t>
            </w:r>
            <w:r>
              <w:rPr>
                <w:rFonts w:hint="default" w:ascii="Times New Roman" w:hAnsi="Times New Roman" w:cs="Times New Roman" w:eastAsiaTheme="minorEastAsia"/>
                <w:color w:val="000000" w:themeColor="text1"/>
                <w:sz w:val="24"/>
                <w:szCs w:val="24"/>
                <w14:textFill>
                  <w14:solidFill>
                    <w14:schemeClr w14:val="tx1"/>
                  </w14:solidFill>
                </w14:textFill>
              </w:rPr>
              <w:t>按要求进行重点防渗，且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涉及</w:t>
            </w:r>
            <w:r>
              <w:rPr>
                <w:rFonts w:hint="default" w:ascii="Times New Roman" w:hAnsi="Times New Roman" w:cs="Times New Roman" w:eastAsiaTheme="minorEastAsia"/>
                <w:color w:val="000000" w:themeColor="text1"/>
                <w:sz w:val="24"/>
                <w:szCs w:val="24"/>
                <w14:textFill>
                  <w14:solidFill>
                    <w14:schemeClr w14:val="tx1"/>
                  </w14:solidFill>
                </w14:textFill>
              </w:rPr>
              <w:t>液态油品</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存放的设备</w:t>
            </w:r>
            <w:r>
              <w:rPr>
                <w:rFonts w:hint="default" w:ascii="Times New Roman" w:hAnsi="Times New Roman" w:cs="Times New Roman" w:eastAsiaTheme="minorEastAsia"/>
                <w:color w:val="000000" w:themeColor="text1"/>
                <w:sz w:val="24"/>
                <w:szCs w:val="24"/>
                <w14:textFill>
                  <w14:solidFill>
                    <w14:schemeClr w14:val="tx1"/>
                  </w14:solidFill>
                </w14:textFill>
              </w:rPr>
              <w:t>及</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危废贮存库</w:t>
            </w:r>
            <w:r>
              <w:rPr>
                <w:rFonts w:hint="default" w:ascii="Times New Roman" w:hAnsi="Times New Roman" w:cs="Times New Roman" w:eastAsiaTheme="minorEastAsia"/>
                <w:color w:val="000000" w:themeColor="text1"/>
                <w:sz w:val="24"/>
                <w:szCs w:val="24"/>
                <w14:textFill>
                  <w14:solidFill>
                    <w14:schemeClr w14:val="tx1"/>
                  </w14:solidFill>
                </w14:textFill>
              </w:rPr>
              <w:t>周围设有托盘，泄漏后可由托盘进行收集，杜绝液态物料</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跑冒滴漏</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，基本无直接泄漏至地下水和土壤的途径。</w:t>
            </w:r>
          </w:p>
          <w:p w14:paraId="52708905">
            <w:pPr>
              <w:pStyle w:val="49"/>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5.2、地下水、土壤污染防治措施</w:t>
            </w:r>
          </w:p>
          <w:p w14:paraId="35AE326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本项目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水性漆库房</w:t>
            </w:r>
            <w:r>
              <w:rPr>
                <w:rFonts w:hint="default" w:ascii="Times New Roman" w:hAnsi="Times New Roman" w:cs="Times New Roman" w:eastAsiaTheme="minorEastAsia"/>
                <w:color w:val="000000" w:themeColor="text1"/>
                <w:sz w:val="24"/>
                <w:szCs w:val="24"/>
                <w14:textFill>
                  <w14:solidFill>
                    <w14:schemeClr w14:val="tx1"/>
                  </w14:solidFill>
                </w14:textFill>
              </w:rPr>
              <w:t>和</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危废贮存库</w:t>
            </w:r>
            <w:r>
              <w:rPr>
                <w:rFonts w:hint="default" w:ascii="Times New Roman" w:hAnsi="Times New Roman" w:cs="Times New Roman" w:eastAsiaTheme="minorEastAsia"/>
                <w:color w:val="000000" w:themeColor="text1"/>
                <w:sz w:val="24"/>
                <w:szCs w:val="24"/>
                <w14:textFill>
                  <w14:solidFill>
                    <w14:schemeClr w14:val="tx1"/>
                  </w14:solidFill>
                </w14:textFill>
              </w:rPr>
              <w:t>等区域均按照《危险废物贮存污染控制标准》（GB18597-2023）、《建设项目危险废物环境影响评价指南》（公告2017年第43号）等标准执行，设置防风、防雨、防晒、防渗、防漏、防腐等措施，危废库内</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危废</w:t>
            </w:r>
            <w:r>
              <w:rPr>
                <w:rFonts w:hint="default" w:ascii="Times New Roman" w:hAnsi="Times New Roman" w:cs="Times New Roman" w:eastAsiaTheme="minorEastAsia"/>
                <w:color w:val="000000" w:themeColor="text1"/>
                <w:sz w:val="24"/>
                <w:szCs w:val="24"/>
                <w14:textFill>
                  <w14:solidFill>
                    <w14:schemeClr w14:val="tx1"/>
                  </w14:solidFill>
                </w14:textFill>
              </w:rPr>
              <w:t>采用专用容器盛装，并在存放容器底部加设托盘防渗漏。采取相应措施后本项目不具有地下水、土壤污染影响途径。</w:t>
            </w:r>
          </w:p>
          <w:p w14:paraId="572DCFB0">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分区防渗措施：</w:t>
            </w:r>
            <w:r>
              <w:rPr>
                <w:rFonts w:hint="default" w:ascii="Times New Roman" w:hAnsi="Times New Roman" w:cs="Times New Roman" w:eastAsiaTheme="minorEastAsia"/>
                <w:color w:val="000000" w:themeColor="text1"/>
                <w:sz w:val="24"/>
                <w:szCs w:val="24"/>
                <w14:textFill>
                  <w14:solidFill>
                    <w14:schemeClr w14:val="tx1"/>
                  </w14:solidFill>
                </w14:textFill>
              </w:rPr>
              <w:t>根据项目特点，厂房区域按分区防渗要求进行相应的防腐防渗处理。</w:t>
            </w:r>
          </w:p>
          <w:p w14:paraId="3AC4E941">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重点防渗区：</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危废贮存库、水性漆库房、喷涂区、备漆间、</w:t>
            </w:r>
            <w:r>
              <w:rPr>
                <w:rFonts w:hint="eastAsia" w:cs="Times New Roman" w:eastAsiaTheme="minorEastAsia"/>
                <w:color w:val="000000" w:themeColor="text1"/>
                <w:sz w:val="24"/>
                <w:szCs w:val="24"/>
                <w:lang w:eastAsia="zh-CN"/>
                <w14:textFill>
                  <w14:solidFill>
                    <w14:schemeClr w14:val="tx1"/>
                  </w14:solidFill>
                </w14:textFill>
              </w:rPr>
              <w:t>一体化生产废水处理站</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、空压机区域</w:t>
            </w:r>
            <w:r>
              <w:rPr>
                <w:rFonts w:hint="default" w:ascii="Times New Roman" w:hAnsi="Times New Roman" w:cs="Times New Roman" w:eastAsiaTheme="minorEastAsia"/>
                <w:color w:val="000000" w:themeColor="text1"/>
                <w:sz w:val="24"/>
                <w:szCs w:val="24"/>
                <w14:textFill>
                  <w14:solidFill>
                    <w14:schemeClr w14:val="tx1"/>
                  </w14:solidFill>
                </w14:textFill>
              </w:rPr>
              <w:t>为重点防渗区，重点防渗技术要求：采取混凝土防渗层+环氧树脂防渗层，防渗性能满足</w:t>
            </w:r>
            <w:r>
              <w:rPr>
                <w:rFonts w:hint="default" w:ascii="Times New Roman" w:hAnsi="Times New Roman" w:cs="Times New Roman"/>
                <w:color w:val="000000" w:themeColor="text1"/>
                <w:kern w:val="0"/>
                <w:sz w:val="24"/>
                <w:szCs w:val="24"/>
                <w14:textFill>
                  <w14:solidFill>
                    <w14:schemeClr w14:val="tx1"/>
                  </w14:solidFill>
                </w14:textFill>
              </w:rPr>
              <w:t>《危险废物贮存污染控制标准》（</w:t>
            </w:r>
            <w:r>
              <w:rPr>
                <w:rFonts w:hint="default" w:ascii="Times New Roman" w:hAnsi="Times New Roman" w:eastAsia="TimesNewRomanPSMT" w:cs="Times New Roman"/>
                <w:color w:val="000000" w:themeColor="text1"/>
                <w:kern w:val="0"/>
                <w:sz w:val="24"/>
                <w:szCs w:val="24"/>
                <w14:textFill>
                  <w14:solidFill>
                    <w14:schemeClr w14:val="tx1"/>
                  </w14:solidFill>
                </w14:textFill>
              </w:rPr>
              <w:t>GB18597-2023</w:t>
            </w:r>
            <w:r>
              <w:rPr>
                <w:rFonts w:hint="default" w:ascii="Times New Roman" w:hAnsi="Times New Roman" w:cs="Times New Roman"/>
                <w:color w:val="000000" w:themeColor="text1"/>
                <w:kern w:val="0"/>
                <w:sz w:val="24"/>
                <w:szCs w:val="24"/>
                <w14:textFill>
                  <w14:solidFill>
                    <w14:schemeClr w14:val="tx1"/>
                  </w14:solidFill>
                </w14:textFill>
              </w:rPr>
              <w:t>）和《环境影响评价技术导则地下水环境》（</w:t>
            </w:r>
            <w:r>
              <w:rPr>
                <w:rFonts w:hint="default" w:ascii="Times New Roman" w:hAnsi="Times New Roman" w:eastAsia="TimesNewRomanPSMT" w:cs="Times New Roman"/>
                <w:color w:val="000000" w:themeColor="text1"/>
                <w:kern w:val="0"/>
                <w:sz w:val="24"/>
                <w:szCs w:val="24"/>
                <w14:textFill>
                  <w14:solidFill>
                    <w14:schemeClr w14:val="tx1"/>
                  </w14:solidFill>
                </w14:textFill>
              </w:rPr>
              <w:t>HJ610-2016</w:t>
            </w:r>
            <w:r>
              <w:rPr>
                <w:rFonts w:hint="default" w:ascii="Times New Roman" w:hAnsi="Times New Roman" w:cs="Times New Roman"/>
                <w:color w:val="000000" w:themeColor="text1"/>
                <w:kern w:val="0"/>
                <w:sz w:val="24"/>
                <w:szCs w:val="24"/>
                <w14:textFill>
                  <w14:solidFill>
                    <w14:schemeClr w14:val="tx1"/>
                  </w14:solidFill>
                </w14:textFill>
              </w:rPr>
              <w:t>）相关要求，</w:t>
            </w:r>
            <w:r>
              <w:rPr>
                <w:rFonts w:hint="default" w:ascii="Times New Roman" w:hAnsi="Times New Roman" w:cs="Times New Roman" w:eastAsiaTheme="minorEastAsia"/>
                <w:color w:val="000000" w:themeColor="text1"/>
                <w:sz w:val="24"/>
                <w:szCs w:val="24"/>
                <w14:textFill>
                  <w14:solidFill>
                    <w14:schemeClr w14:val="tx1"/>
                  </w14:solidFill>
                </w14:textFill>
              </w:rPr>
              <w:t>等效黏土层Mb≥6.0m，K≤1×10</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-7</w:t>
            </w:r>
            <w:r>
              <w:rPr>
                <w:rFonts w:hint="default" w:ascii="Times New Roman" w:hAnsi="Times New Roman" w:cs="Times New Roman" w:eastAsiaTheme="minorEastAsia"/>
                <w:color w:val="000000" w:themeColor="text1"/>
                <w:sz w:val="24"/>
                <w:szCs w:val="24"/>
                <w14:textFill>
                  <w14:solidFill>
                    <w14:schemeClr w14:val="tx1"/>
                  </w14:solidFill>
                </w14:textFill>
              </w:rPr>
              <w:t>cm/s。</w:t>
            </w:r>
          </w:p>
          <w:p w14:paraId="7C8A1138">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一般防渗区：将一般工业固废暂存</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间</w:t>
            </w:r>
            <w:r>
              <w:rPr>
                <w:rFonts w:hint="default" w:ascii="Times New Roman" w:hAnsi="Times New Roman" w:cs="Times New Roman" w:eastAsiaTheme="minorEastAsia"/>
                <w:color w:val="000000" w:themeColor="text1"/>
                <w:sz w:val="24"/>
                <w:szCs w:val="24"/>
                <w14:textFill>
                  <w14:solidFill>
                    <w14:schemeClr w14:val="tx1"/>
                  </w14:solidFill>
                </w14:textFill>
              </w:rPr>
              <w:t>和其他加工区域作为一般防渗区，采取混凝土防渗层，一般防渗区的防渗性能满足等效黏土防渗层Mb≥1.5m，K≤1×10</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-7</w:t>
            </w:r>
            <w:r>
              <w:rPr>
                <w:rFonts w:hint="default" w:ascii="Times New Roman" w:hAnsi="Times New Roman" w:cs="Times New Roman" w:eastAsiaTheme="minorEastAsia"/>
                <w:color w:val="000000" w:themeColor="text1"/>
                <w:sz w:val="24"/>
                <w:szCs w:val="24"/>
                <w14:textFill>
                  <w14:solidFill>
                    <w14:schemeClr w14:val="tx1"/>
                  </w14:solidFill>
                </w14:textFill>
              </w:rPr>
              <w:t>cm/s的要求。</w:t>
            </w:r>
          </w:p>
          <w:p w14:paraId="39F4D8D3">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auto"/>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简单防渗区：除上述区域外的生产厂房等为简单防渗区，因此地面区域硬化处理即可。</w:t>
            </w:r>
          </w:p>
          <w:p w14:paraId="4935553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40" w:firstLineChars="200"/>
              <w:textAlignment w:val="auto"/>
              <w:rPr>
                <w:rFonts w:hint="default" w:ascii="Times New Roman" w:hAnsi="Times New Roman" w:cs="Times New Roman"/>
                <w:bCs/>
                <w:color w:val="000000" w:themeColor="text1"/>
                <w:spacing w:val="-10"/>
                <w:sz w:val="24"/>
                <w:szCs w:val="24"/>
                <w14:textFill>
                  <w14:solidFill>
                    <w14:schemeClr w14:val="tx1"/>
                  </w14:solidFill>
                </w14:textFill>
              </w:rPr>
            </w:pPr>
            <w:r>
              <w:rPr>
                <w:rFonts w:hint="default" w:ascii="Times New Roman" w:hAnsi="Times New Roman" w:cs="Times New Roman"/>
                <w:bCs/>
                <w:color w:val="000000" w:themeColor="text1"/>
                <w:spacing w:val="-10"/>
                <w:sz w:val="24"/>
                <w:szCs w:val="24"/>
                <w14:textFill>
                  <w14:solidFill>
                    <w14:schemeClr w14:val="tx1"/>
                  </w14:solidFill>
                </w14:textFill>
              </w:rPr>
              <w:t>本项目位于工业园区，生产过程中无大的泄露源，正常情况下不会对地下水及土壤造成污染影响。项目通过对</w:t>
            </w:r>
            <w:r>
              <w:rPr>
                <w:rFonts w:hint="default" w:ascii="Times New Roman" w:hAnsi="Times New Roman" w:cs="Times New Roman"/>
                <w:bCs/>
                <w:color w:val="000000" w:themeColor="text1"/>
                <w:spacing w:val="-10"/>
                <w:sz w:val="24"/>
                <w:szCs w:val="24"/>
                <w:lang w:val="en-US" w:eastAsia="zh-CN"/>
                <w14:textFill>
                  <w14:solidFill>
                    <w14:schemeClr w14:val="tx1"/>
                  </w14:solidFill>
                </w14:textFill>
              </w:rPr>
              <w:t>区域</w:t>
            </w:r>
            <w:r>
              <w:rPr>
                <w:rFonts w:hint="default" w:ascii="Times New Roman" w:hAnsi="Times New Roman" w:cs="Times New Roman"/>
                <w:bCs/>
                <w:color w:val="000000" w:themeColor="text1"/>
                <w:spacing w:val="-10"/>
                <w:sz w:val="24"/>
                <w:szCs w:val="24"/>
                <w14:textFill>
                  <w14:solidFill>
                    <w14:schemeClr w14:val="tx1"/>
                  </w14:solidFill>
                </w14:textFill>
              </w:rPr>
              <w:t>其进行重点防渗，储存设施底部设置托盘，加强检查管理，预防渗漏情况发生。</w:t>
            </w:r>
          </w:p>
          <w:p w14:paraId="1923B72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440" w:firstLineChars="200"/>
              <w:textAlignment w:val="auto"/>
              <w:rPr>
                <w:rFonts w:hint="default" w:ascii="Times New Roman" w:hAnsi="Times New Roman" w:cs="Times New Roman"/>
                <w:bCs/>
                <w:color w:val="000000" w:themeColor="text1"/>
                <w:spacing w:val="-10"/>
                <w:sz w:val="24"/>
                <w:szCs w:val="24"/>
                <w14:textFill>
                  <w14:solidFill>
                    <w14:schemeClr w14:val="tx1"/>
                  </w14:solidFill>
                </w14:textFill>
              </w:rPr>
            </w:pPr>
            <w:r>
              <w:rPr>
                <w:rFonts w:hint="default" w:ascii="Times New Roman" w:hAnsi="Times New Roman" w:cs="Times New Roman"/>
                <w:bCs/>
                <w:color w:val="000000" w:themeColor="text1"/>
                <w:spacing w:val="-10"/>
                <w:sz w:val="24"/>
                <w:szCs w:val="24"/>
                <w14:textFill>
                  <w14:solidFill>
                    <w14:schemeClr w14:val="tx1"/>
                  </w14:solidFill>
                </w14:textFill>
              </w:rPr>
              <w:t>通过采取以上分区防控措施，并规范操作规程，加强运行管理，框架式压机下方设置托盘，杜绝</w:t>
            </w:r>
            <w:r>
              <w:rPr>
                <w:rFonts w:hint="eastAsia" w:cs="Times New Roman"/>
                <w:bCs/>
                <w:color w:val="000000" w:themeColor="text1"/>
                <w:spacing w:val="-10"/>
                <w:sz w:val="24"/>
                <w:szCs w:val="24"/>
                <w:lang w:eastAsia="zh-CN"/>
                <w14:textFill>
                  <w14:solidFill>
                    <w14:schemeClr w14:val="tx1"/>
                  </w14:solidFill>
                </w14:textFill>
              </w:rPr>
              <w:t>“</w:t>
            </w:r>
            <w:r>
              <w:rPr>
                <w:rFonts w:hint="default" w:ascii="Times New Roman" w:hAnsi="Times New Roman" w:cs="Times New Roman"/>
                <w:bCs/>
                <w:color w:val="000000" w:themeColor="text1"/>
                <w:spacing w:val="-10"/>
                <w:sz w:val="24"/>
                <w:szCs w:val="24"/>
                <w14:textFill>
                  <w14:solidFill>
                    <w14:schemeClr w14:val="tx1"/>
                  </w14:solidFill>
                </w14:textFill>
              </w:rPr>
              <w:t>跑、冒、滴、漏</w:t>
            </w:r>
            <w:r>
              <w:rPr>
                <w:rFonts w:hint="eastAsia" w:cs="Times New Roman"/>
                <w:bCs/>
                <w:color w:val="000000" w:themeColor="text1"/>
                <w:spacing w:val="-10"/>
                <w:sz w:val="24"/>
                <w:szCs w:val="24"/>
                <w:lang w:eastAsia="zh-CN"/>
                <w14:textFill>
                  <w14:solidFill>
                    <w14:schemeClr w14:val="tx1"/>
                  </w14:solidFill>
                </w14:textFill>
              </w:rPr>
              <w:t>”</w:t>
            </w:r>
            <w:r>
              <w:rPr>
                <w:rFonts w:hint="default" w:ascii="Times New Roman" w:hAnsi="Times New Roman" w:cs="Times New Roman"/>
                <w:bCs/>
                <w:color w:val="000000" w:themeColor="text1"/>
                <w:spacing w:val="-10"/>
                <w:sz w:val="24"/>
                <w:szCs w:val="24"/>
                <w14:textFill>
                  <w14:solidFill>
                    <w14:schemeClr w14:val="tx1"/>
                  </w14:solidFill>
                </w14:textFill>
              </w:rPr>
              <w:t>现象的发生下，污染物得到有效处理，可避免对地下水和土壤环境产生影响。</w:t>
            </w:r>
          </w:p>
          <w:p w14:paraId="26FC1C06">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color w:val="000000" w:themeColor="text1"/>
                <w:spacing w:val="-10"/>
                <w:sz w:val="24"/>
                <w:szCs w:val="24"/>
                <w14:textFill>
                  <w14:solidFill>
                    <w14:schemeClr w14:val="tx1"/>
                  </w14:solidFill>
                </w14:textFill>
              </w:rPr>
            </w:pPr>
            <w:r>
              <w:rPr>
                <w:rFonts w:hint="default" w:ascii="Times New Roman" w:hAnsi="Times New Roman" w:cs="Times New Roman"/>
                <w:b/>
                <w:color w:val="000000" w:themeColor="text1"/>
                <w:spacing w:val="-10"/>
                <w:sz w:val="24"/>
                <w:szCs w:val="24"/>
                <w14:textFill>
                  <w14:solidFill>
                    <w14:schemeClr w14:val="tx1"/>
                  </w14:solidFill>
                </w14:textFill>
              </w:rPr>
              <w:t>6、环境风险</w:t>
            </w:r>
          </w:p>
          <w:p w14:paraId="79B0BDC4">
            <w:pPr>
              <w:keepNext w:val="0"/>
              <w:keepLines w:val="0"/>
              <w:suppressLineNumbers w:val="0"/>
              <w:autoSpaceDE w:val="0"/>
              <w:autoSpaceDN w:val="0"/>
              <w:adjustRightInd w:val="0"/>
              <w:snapToGrid w:val="0"/>
              <w:spacing w:before="0" w:beforeAutospacing="0" w:after="0" w:afterAutospacing="0" w:line="360" w:lineRule="auto"/>
              <w:ind w:left="0" w:right="0"/>
              <w:rPr>
                <w:rFonts w:hint="default" w:ascii="Times New Roman" w:hAnsi="Times New Roman" w:cs="Times New Roman"/>
                <w:b/>
                <w:color w:val="000000" w:themeColor="text1"/>
                <w:kern w:val="0"/>
                <w:sz w:val="24"/>
                <w:szCs w:val="24"/>
                <w14:textFill>
                  <w14:solidFill>
                    <w14:schemeClr w14:val="tx1"/>
                  </w14:solidFill>
                </w14:textFill>
              </w:rPr>
            </w:pPr>
            <w:r>
              <w:rPr>
                <w:rFonts w:hint="default" w:ascii="Times New Roman" w:hAnsi="Times New Roman" w:cs="Times New Roman"/>
                <w:b/>
                <w:color w:val="000000" w:themeColor="text1"/>
                <w:kern w:val="0"/>
                <w:sz w:val="24"/>
                <w:szCs w:val="24"/>
                <w14:textFill>
                  <w14:solidFill>
                    <w14:schemeClr w14:val="tx1"/>
                  </w14:solidFill>
                </w14:textFill>
              </w:rPr>
              <w:t>6.1、环境风险识别</w:t>
            </w:r>
          </w:p>
          <w:p w14:paraId="16406F54">
            <w:pPr>
              <w:pStyle w:val="8"/>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本项目为金属结构制造，根据项目原辅材料使用、生产工艺等，项目涉及《建设项目环境风险评价技术导则》（HJ169-2018）中</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表B.1 突发环境事件风险物质及临界量</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所列环境风险物质</w:t>
            </w:r>
            <w:r>
              <w:rPr>
                <w:rFonts w:hint="default" w:ascii="Times New Roman" w:hAnsi="Times New Roman" w:cs="Times New Roman"/>
                <w:color w:val="000000" w:themeColor="text1"/>
                <w:sz w:val="24"/>
                <w:szCs w:val="24"/>
                <w:lang w:val="en-US" w:eastAsia="zh-CN"/>
                <w14:textFill>
                  <w14:solidFill>
                    <w14:schemeClr w14:val="tx1"/>
                  </w14:solidFill>
                </w14:textFill>
              </w:rPr>
              <w:t>危险废物</w:t>
            </w:r>
            <w:r>
              <w:rPr>
                <w:rFonts w:hint="default" w:ascii="Times New Roman" w:hAnsi="Times New Roman" w:cs="Times New Roman"/>
                <w:color w:val="000000" w:themeColor="text1"/>
                <w:sz w:val="24"/>
                <w:szCs w:val="24"/>
                <w14:textFill>
                  <w14:solidFill>
                    <w14:schemeClr w14:val="tx1"/>
                  </w14:solidFill>
                </w14:textFill>
              </w:rPr>
              <w:t>等。</w:t>
            </w:r>
          </w:p>
          <w:p w14:paraId="3B990DFB">
            <w:pPr>
              <w:pStyle w:val="38"/>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firstLineChars="0"/>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6.2、</w:t>
            </w:r>
            <w:r>
              <w:rPr>
                <w:rFonts w:hint="default" w:ascii="Times New Roman" w:hAnsi="Times New Roman" w:cs="Times New Roman"/>
                <w:b/>
                <w:color w:val="000000" w:themeColor="text1"/>
                <w:kern w:val="0"/>
                <w:sz w:val="24"/>
                <w:szCs w:val="24"/>
                <w14:textFill>
                  <w14:solidFill>
                    <w14:schemeClr w14:val="tx1"/>
                  </w14:solidFill>
                </w14:textFill>
              </w:rPr>
              <w:t>Q值计算</w:t>
            </w:r>
          </w:p>
          <w:p w14:paraId="4DC8723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szCs w:val="24"/>
                <w:shd w:val="clear" w:color="auto" w:fill="FFFFFF"/>
                <w14:textFill>
                  <w14:solidFill>
                    <w14:schemeClr w14:val="tx1"/>
                  </w14:solidFill>
                </w14:textFill>
              </w:rPr>
            </w:pPr>
            <w:r>
              <w:rPr>
                <w:rFonts w:hint="default" w:ascii="Times New Roman" w:hAnsi="Times New Roman" w:cs="Times New Roman"/>
                <w:color w:val="000000" w:themeColor="text1"/>
                <w:sz w:val="24"/>
                <w:szCs w:val="24"/>
                <w:shd w:val="clear" w:color="auto" w:fill="FFFFFF"/>
                <w14:textFill>
                  <w14:solidFill>
                    <w14:schemeClr w14:val="tx1"/>
                  </w14:solidFill>
                </w14:textFill>
              </w:rPr>
              <w:t>根据《建设项目环境风险评价技术导则》（HJ169-2018），当只涉及一种危险物质时，计算该物质的总量与其临界量比值，即为Q；当存在多种危险物质时，则按下式计算物质总量与其临界量比值（Q）：</w:t>
            </w:r>
          </w:p>
          <w:p w14:paraId="21DC6F9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shd w:val="clear" w:color="auto" w:fill="FFFFFF"/>
                <w14:textFill>
                  <w14:solidFill>
                    <w14:schemeClr w14:val="tx1"/>
                  </w14:solidFill>
                </w14:textFill>
              </w:rPr>
            </w:pPr>
            <w:r>
              <w:rPr>
                <w:rFonts w:hint="default" w:ascii="Times New Roman" w:hAnsi="Times New Roman" w:cs="Times New Roman"/>
                <w:color w:val="000000" w:themeColor="text1"/>
                <w:sz w:val="24"/>
                <w:szCs w:val="24"/>
                <w:shd w:val="clear" w:color="auto" w:fill="FFFFFF"/>
                <w14:textFill>
                  <w14:solidFill>
                    <w14:schemeClr w14:val="tx1"/>
                  </w14:solidFill>
                </w14:textFill>
              </w:rPr>
              <w:t>Q=q</w:t>
            </w:r>
            <w:r>
              <w:rPr>
                <w:rFonts w:hint="default" w:ascii="Times New Roman" w:hAnsi="Times New Roman" w:cs="Times New Roman"/>
                <w:color w:val="000000" w:themeColor="text1"/>
                <w:sz w:val="24"/>
                <w:szCs w:val="24"/>
                <w:shd w:val="clear" w:color="auto" w:fill="FFFFFF"/>
                <w:vertAlign w:val="subscript"/>
                <w14:textFill>
                  <w14:solidFill>
                    <w14:schemeClr w14:val="tx1"/>
                  </w14:solidFill>
                </w14:textFill>
              </w:rPr>
              <w:t>1</w:t>
            </w:r>
            <w:r>
              <w:rPr>
                <w:rFonts w:hint="default" w:ascii="Times New Roman" w:hAnsi="Times New Roman" w:cs="Times New Roman"/>
                <w:color w:val="000000" w:themeColor="text1"/>
                <w:sz w:val="24"/>
                <w:szCs w:val="24"/>
                <w:shd w:val="clear" w:color="auto" w:fill="FFFFFF"/>
                <w14:textFill>
                  <w14:solidFill>
                    <w14:schemeClr w14:val="tx1"/>
                  </w14:solidFill>
                </w14:textFill>
              </w:rPr>
              <w:t>/Q</w:t>
            </w:r>
            <w:r>
              <w:rPr>
                <w:rFonts w:hint="default" w:ascii="Times New Roman" w:hAnsi="Times New Roman" w:cs="Times New Roman"/>
                <w:color w:val="000000" w:themeColor="text1"/>
                <w:sz w:val="24"/>
                <w:szCs w:val="24"/>
                <w:shd w:val="clear" w:color="auto" w:fill="FFFFFF"/>
                <w:vertAlign w:val="subscript"/>
                <w14:textFill>
                  <w14:solidFill>
                    <w14:schemeClr w14:val="tx1"/>
                  </w14:solidFill>
                </w14:textFill>
              </w:rPr>
              <w:t>1</w:t>
            </w:r>
            <w:r>
              <w:rPr>
                <w:rFonts w:hint="default" w:ascii="Times New Roman" w:hAnsi="Times New Roman" w:cs="Times New Roman"/>
                <w:color w:val="000000" w:themeColor="text1"/>
                <w:sz w:val="24"/>
                <w:szCs w:val="24"/>
                <w:shd w:val="clear" w:color="auto" w:fill="FFFFFF"/>
                <w14:textFill>
                  <w14:solidFill>
                    <w14:schemeClr w14:val="tx1"/>
                  </w14:solidFill>
                </w14:textFill>
              </w:rPr>
              <w:t>+ q</w:t>
            </w:r>
            <w:r>
              <w:rPr>
                <w:rFonts w:hint="default" w:ascii="Times New Roman" w:hAnsi="Times New Roman" w:cs="Times New Roman"/>
                <w:color w:val="000000" w:themeColor="text1"/>
                <w:sz w:val="24"/>
                <w:szCs w:val="24"/>
                <w:shd w:val="clear" w:color="auto" w:fill="FFFFFF"/>
                <w:vertAlign w:val="subscript"/>
                <w14:textFill>
                  <w14:solidFill>
                    <w14:schemeClr w14:val="tx1"/>
                  </w14:solidFill>
                </w14:textFill>
              </w:rPr>
              <w:t>2</w:t>
            </w:r>
            <w:r>
              <w:rPr>
                <w:rFonts w:hint="default" w:ascii="Times New Roman" w:hAnsi="Times New Roman" w:cs="Times New Roman"/>
                <w:color w:val="000000" w:themeColor="text1"/>
                <w:sz w:val="24"/>
                <w:szCs w:val="24"/>
                <w:shd w:val="clear" w:color="auto" w:fill="FFFFFF"/>
                <w14:textFill>
                  <w14:solidFill>
                    <w14:schemeClr w14:val="tx1"/>
                  </w14:solidFill>
                </w14:textFill>
              </w:rPr>
              <w:t>/Q</w:t>
            </w:r>
            <w:r>
              <w:rPr>
                <w:rFonts w:hint="default" w:ascii="Times New Roman" w:hAnsi="Times New Roman" w:cs="Times New Roman"/>
                <w:color w:val="000000" w:themeColor="text1"/>
                <w:sz w:val="24"/>
                <w:szCs w:val="24"/>
                <w:shd w:val="clear" w:color="auto" w:fill="FFFFFF"/>
                <w:vertAlign w:val="subscript"/>
                <w14:textFill>
                  <w14:solidFill>
                    <w14:schemeClr w14:val="tx1"/>
                  </w14:solidFill>
                </w14:textFill>
              </w:rPr>
              <w:t>2</w:t>
            </w:r>
            <w:r>
              <w:rPr>
                <w:rFonts w:hint="default" w:ascii="Times New Roman" w:hAnsi="Times New Roman" w:cs="Times New Roman"/>
                <w:color w:val="000000" w:themeColor="text1"/>
                <w:sz w:val="24"/>
                <w:szCs w:val="24"/>
                <w:shd w:val="clear" w:color="auto" w:fill="FFFFFF"/>
                <w14:textFill>
                  <w14:solidFill>
                    <w14:schemeClr w14:val="tx1"/>
                  </w14:solidFill>
                </w14:textFill>
              </w:rPr>
              <w:t>+ q</w:t>
            </w:r>
            <w:r>
              <w:rPr>
                <w:rFonts w:hint="default" w:ascii="Times New Roman" w:hAnsi="Times New Roman" w:cs="Times New Roman"/>
                <w:color w:val="000000" w:themeColor="text1"/>
                <w:sz w:val="24"/>
                <w:szCs w:val="24"/>
                <w:shd w:val="clear" w:color="auto" w:fill="FFFFFF"/>
                <w:vertAlign w:val="subscript"/>
                <w14:textFill>
                  <w14:solidFill>
                    <w14:schemeClr w14:val="tx1"/>
                  </w14:solidFill>
                </w14:textFill>
              </w:rPr>
              <w:t>n</w:t>
            </w:r>
            <w:r>
              <w:rPr>
                <w:rFonts w:hint="default" w:ascii="Times New Roman" w:hAnsi="Times New Roman" w:cs="Times New Roman"/>
                <w:color w:val="000000" w:themeColor="text1"/>
                <w:sz w:val="24"/>
                <w:szCs w:val="24"/>
                <w:shd w:val="clear" w:color="auto" w:fill="FFFFFF"/>
                <w14:textFill>
                  <w14:solidFill>
                    <w14:schemeClr w14:val="tx1"/>
                  </w14:solidFill>
                </w14:textFill>
              </w:rPr>
              <w:t>/Q</w:t>
            </w:r>
            <w:r>
              <w:rPr>
                <w:rFonts w:hint="default" w:ascii="Times New Roman" w:hAnsi="Times New Roman" w:cs="Times New Roman"/>
                <w:color w:val="000000" w:themeColor="text1"/>
                <w:sz w:val="24"/>
                <w:szCs w:val="24"/>
                <w:shd w:val="clear" w:color="auto" w:fill="FFFFFF"/>
                <w:vertAlign w:val="subscript"/>
                <w14:textFill>
                  <w14:solidFill>
                    <w14:schemeClr w14:val="tx1"/>
                  </w14:solidFill>
                </w14:textFill>
              </w:rPr>
              <w:t>n</w:t>
            </w:r>
            <w:r>
              <w:rPr>
                <w:rFonts w:hint="default" w:ascii="Times New Roman" w:hAnsi="Times New Roman" w:cs="Times New Roman"/>
                <w:color w:val="000000" w:themeColor="text1"/>
                <w:sz w:val="24"/>
                <w:szCs w:val="24"/>
                <w:shd w:val="clear" w:color="auto" w:fill="FFFFFF"/>
                <w14:textFill>
                  <w14:solidFill>
                    <w14:schemeClr w14:val="tx1"/>
                  </w14:solidFill>
                </w14:textFill>
              </w:rPr>
              <w:t xml:space="preserve"> </w:t>
            </w:r>
          </w:p>
          <w:p w14:paraId="465E536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shd w:val="clear" w:color="auto" w:fill="FFFFFF"/>
                <w14:textFill>
                  <w14:solidFill>
                    <w14:schemeClr w14:val="tx1"/>
                  </w14:solidFill>
                </w14:textFill>
              </w:rPr>
            </w:pPr>
            <w:r>
              <w:rPr>
                <w:rFonts w:hint="default" w:ascii="Times New Roman" w:hAnsi="Times New Roman" w:cs="Times New Roman"/>
                <w:color w:val="000000" w:themeColor="text1"/>
                <w:sz w:val="24"/>
                <w:szCs w:val="24"/>
                <w:shd w:val="clear" w:color="auto" w:fill="FFFFFF"/>
                <w14:textFill>
                  <w14:solidFill>
                    <w14:schemeClr w14:val="tx1"/>
                  </w14:solidFill>
                </w14:textFill>
              </w:rPr>
              <w:t>式中，q</w:t>
            </w:r>
            <w:r>
              <w:rPr>
                <w:rFonts w:hint="default" w:ascii="Times New Roman" w:hAnsi="Times New Roman" w:cs="Times New Roman"/>
                <w:color w:val="000000" w:themeColor="text1"/>
                <w:sz w:val="24"/>
                <w:szCs w:val="24"/>
                <w:shd w:val="clear" w:color="auto" w:fill="FFFFFF"/>
                <w:vertAlign w:val="subscript"/>
                <w14:textFill>
                  <w14:solidFill>
                    <w14:schemeClr w14:val="tx1"/>
                  </w14:solidFill>
                </w14:textFill>
              </w:rPr>
              <w:t>1</w:t>
            </w:r>
            <w:r>
              <w:rPr>
                <w:rFonts w:hint="default" w:ascii="Times New Roman" w:hAnsi="Times New Roman" w:cs="Times New Roman"/>
                <w:color w:val="000000" w:themeColor="text1"/>
                <w:sz w:val="24"/>
                <w:szCs w:val="24"/>
                <w:shd w:val="clear" w:color="auto" w:fill="FFFFFF"/>
                <w14:textFill>
                  <w14:solidFill>
                    <w14:schemeClr w14:val="tx1"/>
                  </w14:solidFill>
                </w14:textFill>
              </w:rPr>
              <w:t>，q</w:t>
            </w:r>
            <w:r>
              <w:rPr>
                <w:rFonts w:hint="default" w:ascii="Times New Roman" w:hAnsi="Times New Roman" w:cs="Times New Roman"/>
                <w:color w:val="000000" w:themeColor="text1"/>
                <w:sz w:val="24"/>
                <w:szCs w:val="24"/>
                <w:shd w:val="clear" w:color="auto" w:fill="FFFFFF"/>
                <w:vertAlign w:val="subscript"/>
                <w14:textFill>
                  <w14:solidFill>
                    <w14:schemeClr w14:val="tx1"/>
                  </w14:solidFill>
                </w14:textFill>
              </w:rPr>
              <w:t>2</w:t>
            </w:r>
            <w:r>
              <w:rPr>
                <w:rFonts w:hint="default" w:ascii="Times New Roman" w:hAnsi="Times New Roman" w:cs="Times New Roman"/>
                <w:color w:val="000000" w:themeColor="text1"/>
                <w:sz w:val="24"/>
                <w:szCs w:val="24"/>
                <w:shd w:val="clear" w:color="auto" w:fill="FFFFFF"/>
                <w14:textFill>
                  <w14:solidFill>
                    <w14:schemeClr w14:val="tx1"/>
                  </w14:solidFill>
                </w14:textFill>
              </w:rPr>
              <w:t>，…，q</w:t>
            </w:r>
            <w:r>
              <w:rPr>
                <w:rFonts w:hint="default" w:ascii="Times New Roman" w:hAnsi="Times New Roman" w:cs="Times New Roman"/>
                <w:color w:val="000000" w:themeColor="text1"/>
                <w:sz w:val="24"/>
                <w:szCs w:val="24"/>
                <w:shd w:val="clear" w:color="auto" w:fill="FFFFFF"/>
                <w:vertAlign w:val="subscript"/>
                <w14:textFill>
                  <w14:solidFill>
                    <w14:schemeClr w14:val="tx1"/>
                  </w14:solidFill>
                </w14:textFill>
              </w:rPr>
              <w:t>n</w:t>
            </w:r>
            <w:r>
              <w:rPr>
                <w:rFonts w:hint="default" w:ascii="Times New Roman" w:hAnsi="Times New Roman" w:cs="Times New Roman"/>
                <w:color w:val="000000" w:themeColor="text1"/>
                <w:sz w:val="24"/>
                <w:szCs w:val="24"/>
                <w:shd w:val="clear" w:color="auto" w:fill="FFFFFF"/>
                <w14:textFill>
                  <w14:solidFill>
                    <w14:schemeClr w14:val="tx1"/>
                  </w14:solidFill>
                </w14:textFill>
              </w:rPr>
              <w:t>——每种危险物质的最大存在总量，t；</w:t>
            </w:r>
          </w:p>
          <w:p w14:paraId="30F41356">
            <w:pPr>
              <w:keepNext w:val="0"/>
              <w:keepLines w:val="0"/>
              <w:suppressLineNumbers w:val="0"/>
              <w:spacing w:before="0" w:beforeAutospacing="0" w:after="0" w:afterAutospacing="0" w:line="360" w:lineRule="auto"/>
              <w:ind w:left="0" w:right="0" w:firstLine="1200" w:firstLineChars="500"/>
              <w:rPr>
                <w:rFonts w:hint="default" w:ascii="Times New Roman" w:hAnsi="Times New Roman" w:cs="Times New Roman"/>
                <w:color w:val="000000" w:themeColor="text1"/>
                <w:sz w:val="24"/>
                <w:szCs w:val="24"/>
                <w:shd w:val="clear" w:color="auto" w:fill="FFFFFF"/>
                <w14:textFill>
                  <w14:solidFill>
                    <w14:schemeClr w14:val="tx1"/>
                  </w14:solidFill>
                </w14:textFill>
              </w:rPr>
            </w:pPr>
            <w:r>
              <w:rPr>
                <w:rFonts w:hint="default" w:ascii="Times New Roman" w:hAnsi="Times New Roman" w:cs="Times New Roman"/>
                <w:color w:val="000000" w:themeColor="text1"/>
                <w:sz w:val="24"/>
                <w:szCs w:val="24"/>
                <w:shd w:val="clear" w:color="auto" w:fill="FFFFFF"/>
                <w14:textFill>
                  <w14:solidFill>
                    <w14:schemeClr w14:val="tx1"/>
                  </w14:solidFill>
                </w14:textFill>
              </w:rPr>
              <w:t>Q</w:t>
            </w:r>
            <w:r>
              <w:rPr>
                <w:rFonts w:hint="default" w:ascii="Times New Roman" w:hAnsi="Times New Roman" w:cs="Times New Roman"/>
                <w:color w:val="000000" w:themeColor="text1"/>
                <w:sz w:val="24"/>
                <w:szCs w:val="24"/>
                <w:shd w:val="clear" w:color="auto" w:fill="FFFFFF"/>
                <w:vertAlign w:val="subscript"/>
                <w14:textFill>
                  <w14:solidFill>
                    <w14:schemeClr w14:val="tx1"/>
                  </w14:solidFill>
                </w14:textFill>
              </w:rPr>
              <w:t>1</w:t>
            </w:r>
            <w:r>
              <w:rPr>
                <w:rFonts w:hint="default" w:ascii="Times New Roman" w:hAnsi="Times New Roman" w:cs="Times New Roman"/>
                <w:color w:val="000000" w:themeColor="text1"/>
                <w:sz w:val="24"/>
                <w:szCs w:val="24"/>
                <w:shd w:val="clear" w:color="auto" w:fill="FFFFFF"/>
                <w14:textFill>
                  <w14:solidFill>
                    <w14:schemeClr w14:val="tx1"/>
                  </w14:solidFill>
                </w14:textFill>
              </w:rPr>
              <w:t>，Q</w:t>
            </w:r>
            <w:r>
              <w:rPr>
                <w:rFonts w:hint="default" w:ascii="Times New Roman" w:hAnsi="Times New Roman" w:cs="Times New Roman"/>
                <w:color w:val="000000" w:themeColor="text1"/>
                <w:sz w:val="24"/>
                <w:szCs w:val="24"/>
                <w:shd w:val="clear" w:color="auto" w:fill="FFFFFF"/>
                <w:vertAlign w:val="subscript"/>
                <w14:textFill>
                  <w14:solidFill>
                    <w14:schemeClr w14:val="tx1"/>
                  </w14:solidFill>
                </w14:textFill>
              </w:rPr>
              <w:t>2</w:t>
            </w:r>
            <w:r>
              <w:rPr>
                <w:rFonts w:hint="default" w:ascii="Times New Roman" w:hAnsi="Times New Roman" w:cs="Times New Roman"/>
                <w:color w:val="000000" w:themeColor="text1"/>
                <w:sz w:val="24"/>
                <w:szCs w:val="24"/>
                <w:shd w:val="clear" w:color="auto" w:fill="FFFFFF"/>
                <w14:textFill>
                  <w14:solidFill>
                    <w14:schemeClr w14:val="tx1"/>
                  </w14:solidFill>
                </w14:textFill>
              </w:rPr>
              <w:t>，…，Q</w:t>
            </w:r>
            <w:r>
              <w:rPr>
                <w:rFonts w:hint="default" w:ascii="Times New Roman" w:hAnsi="Times New Roman" w:cs="Times New Roman"/>
                <w:color w:val="000000" w:themeColor="text1"/>
                <w:sz w:val="24"/>
                <w:szCs w:val="24"/>
                <w:shd w:val="clear" w:color="auto" w:fill="FFFFFF"/>
                <w:vertAlign w:val="subscript"/>
                <w14:textFill>
                  <w14:solidFill>
                    <w14:schemeClr w14:val="tx1"/>
                  </w14:solidFill>
                </w14:textFill>
              </w:rPr>
              <w:t>n</w:t>
            </w:r>
            <w:r>
              <w:rPr>
                <w:rFonts w:hint="default" w:ascii="Times New Roman" w:hAnsi="Times New Roman" w:cs="Times New Roman"/>
                <w:color w:val="000000" w:themeColor="text1"/>
                <w:sz w:val="24"/>
                <w:szCs w:val="24"/>
                <w:shd w:val="clear" w:color="auto" w:fill="FFFFFF"/>
                <w14:textFill>
                  <w14:solidFill>
                    <w14:schemeClr w14:val="tx1"/>
                  </w14:solidFill>
                </w14:textFill>
              </w:rPr>
              <w:t>——每种危险物质的临界量，t。</w:t>
            </w:r>
          </w:p>
          <w:p w14:paraId="519112E9">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000000" w:themeColor="text1"/>
                <w:sz w:val="24"/>
                <w:szCs w:val="24"/>
                <w:shd w:val="clear" w:color="auto" w:fill="FFFFFF"/>
                <w14:textFill>
                  <w14:solidFill>
                    <w14:schemeClr w14:val="tx1"/>
                  </w14:solidFill>
                </w14:textFill>
              </w:rPr>
            </w:pPr>
            <w:r>
              <w:rPr>
                <w:rFonts w:hint="default" w:ascii="Times New Roman" w:hAnsi="Times New Roman" w:cs="Times New Roman"/>
                <w:color w:val="000000" w:themeColor="text1"/>
                <w:sz w:val="24"/>
                <w:szCs w:val="24"/>
                <w:shd w:val="clear" w:color="auto" w:fill="FFFFFF"/>
                <w14:textFill>
                  <w14:solidFill>
                    <w14:schemeClr w14:val="tx1"/>
                  </w14:solidFill>
                </w14:textFill>
              </w:rPr>
              <w:t>当Q＜1时，该项目环境风险潜势为I；当Q≥1时，将Q值划分为①1≤Q＜10；②10≤Q＜100；③Q＞100。</w:t>
            </w:r>
          </w:p>
          <w:p w14:paraId="466C8449">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shd w:val="clear" w:color="auto" w:fill="FFFFFF"/>
                <w14:textFill>
                  <w14:solidFill>
                    <w14:schemeClr w14:val="tx1"/>
                  </w14:solidFill>
                </w14:textFill>
              </w:rPr>
              <w:t>项目Q值确定表详见表4-1</w:t>
            </w:r>
            <w:r>
              <w:rPr>
                <w:rFonts w:hint="default" w:ascii="Times New Roman" w:hAnsi="Times New Roman" w:cs="Times New Roman"/>
                <w:color w:val="000000" w:themeColor="text1"/>
                <w:sz w:val="24"/>
                <w:szCs w:val="24"/>
                <w:shd w:val="clear" w:color="auto" w:fill="FFFFFF"/>
                <w:lang w:val="en-US" w:eastAsia="zh-CN"/>
                <w14:textFill>
                  <w14:solidFill>
                    <w14:schemeClr w14:val="tx1"/>
                  </w14:solidFill>
                </w14:textFill>
              </w:rPr>
              <w:t>6</w:t>
            </w:r>
            <w:r>
              <w:rPr>
                <w:rFonts w:hint="default" w:ascii="Times New Roman" w:hAnsi="Times New Roman" w:cs="Times New Roman"/>
                <w:color w:val="000000" w:themeColor="text1"/>
                <w:sz w:val="24"/>
                <w:szCs w:val="24"/>
                <w:shd w:val="clear" w:color="auto" w:fill="FFFFFF"/>
                <w14:textFill>
                  <w14:solidFill>
                    <w14:schemeClr w14:val="tx1"/>
                  </w14:solidFill>
                </w14:textFill>
              </w:rPr>
              <w:t>所示。</w:t>
            </w:r>
          </w:p>
          <w:p w14:paraId="7A0811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color w:val="000000" w:themeColor="text1"/>
                <w:sz w:val="24"/>
                <w:szCs w:val="24"/>
                <w:highlight w:val="none"/>
                <w14:textFill>
                  <w14:solidFill>
                    <w14:schemeClr w14:val="tx1"/>
                  </w14:solidFill>
                </w14:textFill>
              </w:rPr>
            </w:pPr>
            <w:r>
              <w:rPr>
                <w:rFonts w:hint="default" w:ascii="Times New Roman" w:hAnsi="Times New Roman" w:cs="Times New Roman"/>
                <w:b/>
                <w:color w:val="000000" w:themeColor="text1"/>
                <w:sz w:val="24"/>
                <w:szCs w:val="24"/>
                <w:highlight w:val="none"/>
                <w14:textFill>
                  <w14:solidFill>
                    <w14:schemeClr w14:val="tx1"/>
                  </w14:solidFill>
                </w14:textFill>
              </w:rPr>
              <w:t>表4-1</w:t>
            </w:r>
            <w:r>
              <w:rPr>
                <w:rFonts w:hint="default" w:ascii="Times New Roman" w:hAnsi="Times New Roman" w:cs="Times New Roman"/>
                <w:b/>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b/>
                <w:color w:val="000000" w:themeColor="text1"/>
                <w:sz w:val="24"/>
                <w:szCs w:val="24"/>
                <w:highlight w:val="none"/>
                <w14:textFill>
                  <w14:solidFill>
                    <w14:schemeClr w14:val="tx1"/>
                  </w14:solidFill>
                </w14:textFill>
              </w:rPr>
              <w:t xml:space="preserve"> 突发环境事件风险物质存储情况一览表</w:t>
            </w:r>
          </w:p>
          <w:tbl>
            <w:tblPr>
              <w:tblStyle w:val="21"/>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2151"/>
              <w:gridCol w:w="1697"/>
              <w:gridCol w:w="1043"/>
              <w:gridCol w:w="1308"/>
            </w:tblGrid>
            <w:tr w14:paraId="44F1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8" w:type="dxa"/>
                  <w:vAlign w:val="center"/>
                </w:tcPr>
                <w:p w14:paraId="5B84F23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风险单元</w:t>
                  </w:r>
                </w:p>
              </w:tc>
              <w:tc>
                <w:tcPr>
                  <w:tcW w:w="2151" w:type="dxa"/>
                  <w:vAlign w:val="center"/>
                </w:tcPr>
                <w:p w14:paraId="7F1D5B1C">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风险物质</w:t>
                  </w:r>
                </w:p>
              </w:tc>
              <w:tc>
                <w:tcPr>
                  <w:tcW w:w="1697" w:type="dxa"/>
                  <w:vAlign w:val="center"/>
                </w:tcPr>
                <w:p w14:paraId="7370736D">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最大储存量q</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w:t>
                  </w:r>
                  <w:r>
                    <w:rPr>
                      <w:rFonts w:hint="default" w:ascii="Times New Roman" w:hAnsi="Times New Roman" w:cs="Times New Roman"/>
                      <w:b/>
                      <w:color w:val="000000" w:themeColor="text1"/>
                      <w:sz w:val="21"/>
                      <w:szCs w:val="21"/>
                      <w:highlight w:val="none"/>
                      <w:lang w:val="en-US" w:eastAsia="zh-CN"/>
                      <w14:textFill>
                        <w14:solidFill>
                          <w14:schemeClr w14:val="tx1"/>
                        </w14:solidFill>
                      </w14:textFill>
                    </w:rPr>
                    <w:t>t</w:t>
                  </w:r>
                  <w:r>
                    <w:rPr>
                      <w:rFonts w:hint="default" w:ascii="Times New Roman" w:hAnsi="Times New Roman" w:cs="Times New Roman"/>
                      <w:b/>
                      <w:color w:val="000000" w:themeColor="text1"/>
                      <w:sz w:val="21"/>
                      <w:szCs w:val="21"/>
                      <w:highlight w:val="none"/>
                      <w:lang w:eastAsia="zh-CN"/>
                      <w14:textFill>
                        <w14:solidFill>
                          <w14:schemeClr w14:val="tx1"/>
                        </w14:solidFill>
                      </w14:textFill>
                    </w:rPr>
                    <w:t>）</w:t>
                  </w:r>
                </w:p>
              </w:tc>
              <w:tc>
                <w:tcPr>
                  <w:tcW w:w="1043" w:type="dxa"/>
                  <w:vAlign w:val="center"/>
                </w:tcPr>
                <w:p w14:paraId="11224D51">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临界量Q</w:t>
                  </w:r>
                </w:p>
              </w:tc>
              <w:tc>
                <w:tcPr>
                  <w:tcW w:w="1308" w:type="dxa"/>
                  <w:vAlign w:val="center"/>
                </w:tcPr>
                <w:p w14:paraId="013C003E">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Q值</w:t>
                  </w:r>
                </w:p>
              </w:tc>
            </w:tr>
            <w:tr w14:paraId="2EED0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8" w:type="dxa"/>
                  <w:vAlign w:val="center"/>
                </w:tcPr>
                <w:p w14:paraId="72CEB8F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水性漆库房</w:t>
                  </w:r>
                </w:p>
              </w:tc>
              <w:tc>
                <w:tcPr>
                  <w:tcW w:w="2151" w:type="dxa"/>
                  <w:vAlign w:val="center"/>
                </w:tcPr>
                <w:p w14:paraId="479BB5A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水性漆</w:t>
                  </w:r>
                </w:p>
              </w:tc>
              <w:tc>
                <w:tcPr>
                  <w:tcW w:w="1697" w:type="dxa"/>
                  <w:vAlign w:val="center"/>
                </w:tcPr>
                <w:p w14:paraId="62F57AB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2</w:t>
                  </w:r>
                </w:p>
              </w:tc>
              <w:tc>
                <w:tcPr>
                  <w:tcW w:w="1043" w:type="dxa"/>
                  <w:vAlign w:val="center"/>
                </w:tcPr>
                <w:p w14:paraId="43BE6059">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50</w:t>
                  </w:r>
                </w:p>
              </w:tc>
              <w:tc>
                <w:tcPr>
                  <w:tcW w:w="1308" w:type="dxa"/>
                  <w:vAlign w:val="center"/>
                </w:tcPr>
                <w:p w14:paraId="48E6CC3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0.04</w:t>
                  </w:r>
                </w:p>
              </w:tc>
            </w:tr>
            <w:tr w14:paraId="35C6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8" w:type="dxa"/>
                  <w:vMerge w:val="restart"/>
                  <w:vAlign w:val="center"/>
                </w:tcPr>
                <w:p w14:paraId="3E3539E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危险废物贮存库</w:t>
                  </w:r>
                </w:p>
              </w:tc>
              <w:tc>
                <w:tcPr>
                  <w:tcW w:w="2151" w:type="dxa"/>
                  <w:shd w:val="clear" w:color="auto" w:fill="auto"/>
                  <w:vAlign w:val="center"/>
                </w:tcPr>
                <w:p w14:paraId="0EC233CB">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废水性漆</w:t>
                  </w:r>
                </w:p>
              </w:tc>
              <w:tc>
                <w:tcPr>
                  <w:tcW w:w="1697" w:type="dxa"/>
                  <w:vAlign w:val="center"/>
                </w:tcPr>
                <w:p w14:paraId="378B86D0">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0.1</w:t>
                  </w:r>
                </w:p>
              </w:tc>
              <w:tc>
                <w:tcPr>
                  <w:tcW w:w="1043" w:type="dxa"/>
                  <w:vAlign w:val="center"/>
                </w:tcPr>
                <w:p w14:paraId="76EF8AE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50</w:t>
                  </w:r>
                </w:p>
              </w:tc>
              <w:tc>
                <w:tcPr>
                  <w:tcW w:w="1308" w:type="dxa"/>
                  <w:vAlign w:val="center"/>
                </w:tcPr>
                <w:p w14:paraId="6879521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0.002</w:t>
                  </w:r>
                </w:p>
              </w:tc>
            </w:tr>
            <w:tr w14:paraId="46C8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8" w:type="dxa"/>
                  <w:vMerge w:val="continue"/>
                  <w:vAlign w:val="center"/>
                </w:tcPr>
                <w:p w14:paraId="7933628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2151" w:type="dxa"/>
                  <w:shd w:val="clear" w:color="auto" w:fill="auto"/>
                  <w:vAlign w:val="center"/>
                </w:tcPr>
                <w:p w14:paraId="43025BC4">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废水性漆桶</w:t>
                  </w:r>
                </w:p>
              </w:tc>
              <w:tc>
                <w:tcPr>
                  <w:tcW w:w="1697" w:type="dxa"/>
                  <w:vAlign w:val="center"/>
                </w:tcPr>
                <w:p w14:paraId="73D80E7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0.0735</w:t>
                  </w:r>
                </w:p>
              </w:tc>
              <w:tc>
                <w:tcPr>
                  <w:tcW w:w="1043" w:type="dxa"/>
                  <w:vAlign w:val="center"/>
                </w:tcPr>
                <w:p w14:paraId="430FACE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50</w:t>
                  </w:r>
                </w:p>
              </w:tc>
              <w:tc>
                <w:tcPr>
                  <w:tcW w:w="1308" w:type="dxa"/>
                  <w:vAlign w:val="center"/>
                </w:tcPr>
                <w:p w14:paraId="49B3F49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0.00147</w:t>
                  </w:r>
                </w:p>
              </w:tc>
            </w:tr>
            <w:tr w14:paraId="0559C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8" w:type="dxa"/>
                  <w:vMerge w:val="continue"/>
                  <w:vAlign w:val="center"/>
                </w:tcPr>
                <w:p w14:paraId="68301C6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2151" w:type="dxa"/>
                  <w:shd w:val="clear" w:color="auto" w:fill="auto"/>
                  <w:vAlign w:val="center"/>
                </w:tcPr>
                <w:p w14:paraId="760B9AC7">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水性漆渣</w:t>
                  </w:r>
                </w:p>
              </w:tc>
              <w:tc>
                <w:tcPr>
                  <w:tcW w:w="1697" w:type="dxa"/>
                  <w:vAlign w:val="center"/>
                </w:tcPr>
                <w:p w14:paraId="24DB8F73">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4.5</w:t>
                  </w:r>
                </w:p>
              </w:tc>
              <w:tc>
                <w:tcPr>
                  <w:tcW w:w="1043" w:type="dxa"/>
                  <w:vAlign w:val="center"/>
                </w:tcPr>
                <w:p w14:paraId="43CD2D4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50</w:t>
                  </w:r>
                </w:p>
              </w:tc>
              <w:tc>
                <w:tcPr>
                  <w:tcW w:w="1308" w:type="dxa"/>
                  <w:vAlign w:val="center"/>
                </w:tcPr>
                <w:p w14:paraId="05837AFC">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0.09</w:t>
                  </w:r>
                </w:p>
              </w:tc>
            </w:tr>
            <w:tr w14:paraId="4F0A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8" w:type="dxa"/>
                  <w:vMerge w:val="continue"/>
                  <w:vAlign w:val="center"/>
                </w:tcPr>
                <w:p w14:paraId="02A9E9DD">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2151" w:type="dxa"/>
                  <w:shd w:val="clear" w:color="auto" w:fill="auto"/>
                  <w:vAlign w:val="center"/>
                </w:tcPr>
                <w:p w14:paraId="44B7CA13">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废过滤棉</w:t>
                  </w:r>
                </w:p>
              </w:tc>
              <w:tc>
                <w:tcPr>
                  <w:tcW w:w="1697" w:type="dxa"/>
                  <w:vAlign w:val="center"/>
                </w:tcPr>
                <w:p w14:paraId="3228D617">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0.15</w:t>
                  </w:r>
                </w:p>
              </w:tc>
              <w:tc>
                <w:tcPr>
                  <w:tcW w:w="1043" w:type="dxa"/>
                  <w:vAlign w:val="center"/>
                </w:tcPr>
                <w:p w14:paraId="47F82FFF">
                  <w:pPr>
                    <w:keepNext w:val="0"/>
                    <w:keepLines w:val="0"/>
                    <w:widowControl/>
                    <w:suppressLineNumbers w:val="0"/>
                    <w:spacing w:before="0" w:beforeAutospacing="0" w:after="0" w:afterAutospacing="0"/>
                    <w:ind w:left="0" w:right="0"/>
                    <w:jc w:val="center"/>
                    <w:textAlignment w:val="bottom"/>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50</w:t>
                  </w:r>
                </w:p>
              </w:tc>
              <w:tc>
                <w:tcPr>
                  <w:tcW w:w="1308" w:type="dxa"/>
                  <w:vAlign w:val="center"/>
                </w:tcPr>
                <w:p w14:paraId="38AC610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0.003</w:t>
                  </w:r>
                </w:p>
              </w:tc>
            </w:tr>
            <w:tr w14:paraId="57E6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8" w:type="dxa"/>
                  <w:vMerge w:val="continue"/>
                  <w:vAlign w:val="center"/>
                </w:tcPr>
                <w:p w14:paraId="05FF09E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2151" w:type="dxa"/>
                  <w:shd w:val="clear" w:color="auto" w:fill="auto"/>
                  <w:vAlign w:val="center"/>
                </w:tcPr>
                <w:p w14:paraId="77B26C8A">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t>废活性炭</w:t>
                  </w:r>
                </w:p>
              </w:tc>
              <w:tc>
                <w:tcPr>
                  <w:tcW w:w="1697" w:type="dxa"/>
                  <w:vAlign w:val="center"/>
                </w:tcPr>
                <w:p w14:paraId="360F8E3A">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3.1825</w:t>
                  </w:r>
                </w:p>
              </w:tc>
              <w:tc>
                <w:tcPr>
                  <w:tcW w:w="1043" w:type="dxa"/>
                  <w:vAlign w:val="center"/>
                </w:tcPr>
                <w:p w14:paraId="7F1D2DB5">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50</w:t>
                  </w:r>
                </w:p>
              </w:tc>
              <w:tc>
                <w:tcPr>
                  <w:tcW w:w="1308" w:type="dxa"/>
                  <w:vAlign w:val="center"/>
                </w:tcPr>
                <w:p w14:paraId="7956CD98">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0.06365</w:t>
                  </w:r>
                </w:p>
              </w:tc>
            </w:tr>
            <w:tr w14:paraId="1CE95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8" w:type="dxa"/>
                  <w:vMerge w:val="continue"/>
                  <w:vAlign w:val="center"/>
                </w:tcPr>
                <w:p w14:paraId="4B98DCB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p>
              </w:tc>
              <w:tc>
                <w:tcPr>
                  <w:tcW w:w="2151" w:type="dxa"/>
                  <w:shd w:val="clear" w:color="auto" w:fill="auto"/>
                  <w:vAlign w:val="center"/>
                </w:tcPr>
                <w:p w14:paraId="162D2C08">
                  <w:pPr>
                    <w:widowControl/>
                    <w:jc w:val="center"/>
                    <w:textAlignment w:val="center"/>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eastAsia="宋体"/>
                      <w:color w:val="000000" w:themeColor="text1"/>
                      <w:kern w:val="0"/>
                      <w:szCs w:val="21"/>
                      <w:highlight w:val="none"/>
                      <w:lang w:val="en-US" w:eastAsia="zh-CN"/>
                      <w14:textFill>
                        <w14:solidFill>
                          <w14:schemeClr w14:val="tx1"/>
                        </w14:solidFill>
                      </w14:textFill>
                    </w:rPr>
                    <w:t>废高分子过滤棉</w:t>
                  </w:r>
                </w:p>
              </w:tc>
              <w:tc>
                <w:tcPr>
                  <w:tcW w:w="1697" w:type="dxa"/>
                  <w:shd w:val="clear" w:color="auto" w:fill="auto"/>
                  <w:vAlign w:val="center"/>
                </w:tcPr>
                <w:p w14:paraId="3CC3821E">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0.01</w:t>
                  </w:r>
                </w:p>
              </w:tc>
              <w:tc>
                <w:tcPr>
                  <w:tcW w:w="1043" w:type="dxa"/>
                  <w:shd w:val="clear" w:color="auto" w:fill="auto"/>
                  <w:vAlign w:val="center"/>
                </w:tcPr>
                <w:p w14:paraId="27DBA04A">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50</w:t>
                  </w:r>
                </w:p>
              </w:tc>
              <w:tc>
                <w:tcPr>
                  <w:tcW w:w="1308" w:type="dxa"/>
                  <w:shd w:val="clear" w:color="auto" w:fill="auto"/>
                  <w:vAlign w:val="center"/>
                </w:tcPr>
                <w:p w14:paraId="629E07AF">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0.0002</w:t>
                  </w:r>
                </w:p>
              </w:tc>
            </w:tr>
            <w:tr w14:paraId="09B32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8" w:type="dxa"/>
                  <w:vMerge w:val="continue"/>
                  <w:vAlign w:val="center"/>
                </w:tcPr>
                <w:p w14:paraId="10D1C863">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p>
              </w:tc>
              <w:tc>
                <w:tcPr>
                  <w:tcW w:w="2151" w:type="dxa"/>
                  <w:shd w:val="clear" w:color="auto" w:fill="auto"/>
                  <w:vAlign w:val="center"/>
                </w:tcPr>
                <w:p w14:paraId="672DCE4F">
                  <w:pPr>
                    <w:widowControl/>
                    <w:jc w:val="center"/>
                    <w:textAlignment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color w:val="000000" w:themeColor="text1"/>
                      <w:kern w:val="0"/>
                      <w:szCs w:val="21"/>
                      <w:highlight w:val="none"/>
                      <w14:textFill>
                        <w14:solidFill>
                          <w14:schemeClr w14:val="tx1"/>
                        </w14:solidFill>
                      </w14:textFill>
                    </w:rPr>
                    <w:t>空压机含油冷凝</w:t>
                  </w:r>
                  <w:r>
                    <w:rPr>
                      <w:rFonts w:hint="eastAsia"/>
                      <w:color w:val="000000" w:themeColor="text1"/>
                      <w:kern w:val="0"/>
                      <w:szCs w:val="21"/>
                      <w:highlight w:val="none"/>
                      <w:lang w:val="en-US" w:eastAsia="zh-CN"/>
                      <w14:textFill>
                        <w14:solidFill>
                          <w14:schemeClr w14:val="tx1"/>
                        </w14:solidFill>
                      </w14:textFill>
                    </w:rPr>
                    <w:t>废</w:t>
                  </w:r>
                  <w:r>
                    <w:rPr>
                      <w:color w:val="000000" w:themeColor="text1"/>
                      <w:kern w:val="0"/>
                      <w:szCs w:val="21"/>
                      <w:highlight w:val="none"/>
                      <w14:textFill>
                        <w14:solidFill>
                          <w14:schemeClr w14:val="tx1"/>
                        </w14:solidFill>
                      </w14:textFill>
                    </w:rPr>
                    <w:t>液</w:t>
                  </w:r>
                </w:p>
              </w:tc>
              <w:tc>
                <w:tcPr>
                  <w:tcW w:w="1697" w:type="dxa"/>
                  <w:shd w:val="clear" w:color="auto" w:fill="auto"/>
                  <w:vAlign w:val="center"/>
                </w:tcPr>
                <w:p w14:paraId="535BCB84">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0.</w:t>
                  </w:r>
                  <w:r>
                    <w:rPr>
                      <w:rFonts w:hint="eastAsia" w:cs="Times New Roman"/>
                      <w:b w:val="0"/>
                      <w:bCs/>
                      <w:color w:val="000000" w:themeColor="text1"/>
                      <w:sz w:val="21"/>
                      <w:szCs w:val="21"/>
                      <w:highlight w:val="none"/>
                      <w:lang w:val="en-US" w:eastAsia="zh-CN"/>
                      <w14:textFill>
                        <w14:solidFill>
                          <w14:schemeClr w14:val="tx1"/>
                        </w14:solidFill>
                      </w14:textFill>
                    </w:rPr>
                    <w:t>0</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5</w:t>
                  </w:r>
                </w:p>
              </w:tc>
              <w:tc>
                <w:tcPr>
                  <w:tcW w:w="1043" w:type="dxa"/>
                  <w:shd w:val="clear" w:color="auto" w:fill="auto"/>
                  <w:vAlign w:val="center"/>
                </w:tcPr>
                <w:p w14:paraId="326374B6">
                  <w:pPr>
                    <w:keepNext w:val="0"/>
                    <w:keepLines w:val="0"/>
                    <w:widowControl/>
                    <w:suppressLineNumbers w:val="0"/>
                    <w:spacing w:before="0" w:beforeAutospacing="0" w:after="0" w:afterAutospacing="0"/>
                    <w:ind w:left="0" w:leftChars="0" w:right="0" w:rightChars="0"/>
                    <w:jc w:val="center"/>
                    <w:textAlignment w:val="bottom"/>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2500</w:t>
                  </w:r>
                </w:p>
              </w:tc>
              <w:tc>
                <w:tcPr>
                  <w:tcW w:w="1308" w:type="dxa"/>
                  <w:shd w:val="clear" w:color="auto" w:fill="auto"/>
                  <w:vAlign w:val="center"/>
                </w:tcPr>
                <w:p w14:paraId="0E705A64">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0.00002</w:t>
                  </w:r>
                </w:p>
              </w:tc>
            </w:tr>
            <w:tr w14:paraId="654D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8" w:type="dxa"/>
                  <w:vMerge w:val="continue"/>
                  <w:vAlign w:val="center"/>
                </w:tcPr>
                <w:p w14:paraId="490F4815">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p>
              </w:tc>
              <w:tc>
                <w:tcPr>
                  <w:tcW w:w="2151" w:type="dxa"/>
                  <w:vAlign w:val="center"/>
                </w:tcPr>
                <w:p w14:paraId="134FC81C">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color w:val="000000" w:themeColor="text1"/>
                      <w:kern w:val="0"/>
                      <w:szCs w:val="21"/>
                      <w:highlight w:val="none"/>
                      <w14:textFill>
                        <w14:solidFill>
                          <w14:schemeClr w14:val="tx1"/>
                        </w14:solidFill>
                      </w14:textFill>
                    </w:rPr>
                    <w:t>其他危险废物</w:t>
                  </w:r>
                </w:p>
              </w:tc>
              <w:tc>
                <w:tcPr>
                  <w:tcW w:w="1697" w:type="dxa"/>
                  <w:vAlign w:val="center"/>
                </w:tcPr>
                <w:p w14:paraId="15BB7C37">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0.13</w:t>
                  </w:r>
                </w:p>
              </w:tc>
              <w:tc>
                <w:tcPr>
                  <w:tcW w:w="1043" w:type="dxa"/>
                  <w:vAlign w:val="center"/>
                </w:tcPr>
                <w:p w14:paraId="392B73E3">
                  <w:pPr>
                    <w:keepNext w:val="0"/>
                    <w:keepLines w:val="0"/>
                    <w:widowControl/>
                    <w:suppressLineNumbers w:val="0"/>
                    <w:spacing w:before="0" w:beforeAutospacing="0" w:after="0" w:afterAutospacing="0"/>
                    <w:ind w:left="0" w:right="0"/>
                    <w:jc w:val="center"/>
                    <w:textAlignment w:val="bottom"/>
                    <w:rPr>
                      <w:rFonts w:hint="default" w:ascii="Times New Roman" w:hAnsi="Times New Roman"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50</w:t>
                  </w:r>
                </w:p>
              </w:tc>
              <w:tc>
                <w:tcPr>
                  <w:tcW w:w="1308" w:type="dxa"/>
                  <w:vAlign w:val="center"/>
                </w:tcPr>
                <w:p w14:paraId="6455524B">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0.0136</w:t>
                  </w:r>
                </w:p>
              </w:tc>
            </w:tr>
            <w:tr w14:paraId="3259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9" w:type="dxa"/>
                  <w:gridSpan w:val="4"/>
                  <w:vAlign w:val="center"/>
                </w:tcPr>
                <w:p w14:paraId="31EE33EA">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项目Q值</w:t>
                  </w:r>
                </w:p>
              </w:tc>
              <w:tc>
                <w:tcPr>
                  <w:tcW w:w="1308" w:type="dxa"/>
                  <w:vAlign w:val="center"/>
                </w:tcPr>
                <w:p w14:paraId="1A185F2E">
                  <w:pPr>
                    <w:keepNext w:val="0"/>
                    <w:keepLines w:val="0"/>
                    <w:widowControl/>
                    <w:suppressLineNumbers w:val="0"/>
                    <w:spacing w:before="0" w:beforeAutospacing="0" w:after="0" w:afterAutospacing="0"/>
                    <w:ind w:left="0" w:right="0"/>
                    <w:jc w:val="center"/>
                    <w:textAlignment w:val="bottom"/>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0.21394</w:t>
                  </w:r>
                </w:p>
              </w:tc>
            </w:tr>
            <w:tr w14:paraId="2E5E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7" w:type="dxa"/>
                  <w:gridSpan w:val="5"/>
                  <w:vAlign w:val="center"/>
                </w:tcPr>
                <w:p w14:paraId="62093BE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备注：危险废物储存量按照产废周期计算。</w:t>
                  </w:r>
                </w:p>
              </w:tc>
            </w:tr>
          </w:tbl>
          <w:p w14:paraId="71CDD0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bCs/>
                <w:color w:val="000000" w:themeColor="text1"/>
                <w:kern w:val="0"/>
                <w:sz w:val="24"/>
                <w:szCs w:val="24"/>
                <w14:textFill>
                  <w14:solidFill>
                    <w14:schemeClr w14:val="tx1"/>
                  </w14:solidFill>
                </w14:textFill>
              </w:rPr>
            </w:pPr>
            <w:r>
              <w:rPr>
                <w:rFonts w:hint="default" w:ascii="Times New Roman" w:hAnsi="Times New Roman" w:cs="Times New Roman"/>
                <w:bCs/>
                <w:color w:val="000000" w:themeColor="text1"/>
                <w:kern w:val="0"/>
                <w:sz w:val="24"/>
                <w:szCs w:val="24"/>
                <w14:textFill>
                  <w14:solidFill>
                    <w14:schemeClr w14:val="tx1"/>
                  </w14:solidFill>
                </w14:textFill>
              </w:rPr>
              <w:t>根据上表可知，本项目Q=</w:t>
            </w:r>
            <w:r>
              <w:rPr>
                <w:rFonts w:hint="default"/>
                <w:bCs/>
                <w:color w:val="000000" w:themeColor="text1"/>
                <w:kern w:val="0"/>
                <w:sz w:val="24"/>
                <w14:textFill>
                  <w14:solidFill>
                    <w14:schemeClr w14:val="tx1"/>
                  </w14:solidFill>
                </w14:textFill>
              </w:rPr>
              <w:t>0.21394</w:t>
            </w:r>
            <w:r>
              <w:rPr>
                <w:rFonts w:hint="default" w:ascii="Times New Roman" w:hAnsi="Times New Roman" w:cs="Times New Roman"/>
                <w:bCs/>
                <w:color w:val="000000" w:themeColor="text1"/>
                <w:kern w:val="0"/>
                <w:sz w:val="24"/>
                <w:szCs w:val="24"/>
                <w14:textFill>
                  <w14:solidFill>
                    <w14:schemeClr w14:val="tx1"/>
                  </w14:solidFill>
                </w14:textFill>
              </w:rPr>
              <w:t>＜1，即有毒有害和易燃易爆危险物质存储量未超过临界量，无</w:t>
            </w:r>
            <w:r>
              <w:rPr>
                <w:rFonts w:hint="eastAsia" w:cs="Times New Roman"/>
                <w:bCs/>
                <w:color w:val="000000" w:themeColor="text1"/>
                <w:kern w:val="0"/>
                <w:sz w:val="24"/>
                <w:szCs w:val="24"/>
                <w:lang w:val="en-US" w:eastAsia="zh-CN"/>
                <w14:textFill>
                  <w14:solidFill>
                    <w14:schemeClr w14:val="tx1"/>
                  </w14:solidFill>
                </w14:textFill>
              </w:rPr>
              <w:t>须</w:t>
            </w:r>
            <w:r>
              <w:rPr>
                <w:rFonts w:hint="default" w:ascii="Times New Roman" w:hAnsi="Times New Roman" w:cs="Times New Roman"/>
                <w:bCs/>
                <w:color w:val="000000" w:themeColor="text1"/>
                <w:kern w:val="0"/>
                <w:sz w:val="24"/>
                <w:szCs w:val="24"/>
                <w14:textFill>
                  <w14:solidFill>
                    <w14:schemeClr w14:val="tx1"/>
                  </w14:solidFill>
                </w14:textFill>
              </w:rPr>
              <w:t>设置环境风险专项评价。</w:t>
            </w:r>
          </w:p>
          <w:p w14:paraId="4C8F46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textAlignment w:val="auto"/>
              <w:rPr>
                <w:rFonts w:hint="default" w:ascii="Times New Roman" w:hAnsi="Times New Roman" w:cs="Times New Roman"/>
                <w:b/>
                <w:color w:val="000000" w:themeColor="text1"/>
                <w:kern w:val="0"/>
                <w:sz w:val="24"/>
                <w:szCs w:val="24"/>
                <w14:textFill>
                  <w14:solidFill>
                    <w14:schemeClr w14:val="tx1"/>
                  </w14:solidFill>
                </w14:textFill>
              </w:rPr>
            </w:pPr>
            <w:r>
              <w:rPr>
                <w:rFonts w:hint="default" w:ascii="Times New Roman" w:hAnsi="Times New Roman" w:cs="Times New Roman"/>
                <w:b/>
                <w:color w:val="000000" w:themeColor="text1"/>
                <w:kern w:val="0"/>
                <w:sz w:val="24"/>
                <w:szCs w:val="24"/>
                <w14:textFill>
                  <w14:solidFill>
                    <w14:schemeClr w14:val="tx1"/>
                  </w14:solidFill>
                </w14:textFill>
              </w:rPr>
              <w:t>6.3、环境风险防范措施</w:t>
            </w:r>
          </w:p>
          <w:p w14:paraId="09E485FD">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w:t>
            </w:r>
            <w:r>
              <w:rPr>
                <w:rFonts w:hint="default" w:ascii="Times New Roman" w:hAnsi="Times New Roman"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highlight w:val="none"/>
                <w14:textFill>
                  <w14:solidFill>
                    <w14:schemeClr w14:val="tx1"/>
                  </w14:solidFill>
                </w14:textFill>
              </w:rPr>
              <w:t>）风险识别</w:t>
            </w:r>
          </w:p>
          <w:p w14:paraId="064D7367">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储存：原辅材料储存及使用过程中保管不严密发生泄露时，遇明火可能发生火灾爆炸事故，造成财产损失，人员伤亡及环境污染。</w:t>
            </w:r>
          </w:p>
          <w:p w14:paraId="68D482A4">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厂外运输：本项目所用原料由供货商运输至厂内，其风险由供货商承担，不在本次评价范围内。厂内运输：物料包装桶封口不严、装卸过程碰撞、运输过程颠簸导致桶口松散、与锐物接触等原因而发生泄漏，遇明火可能发生火灾。</w:t>
            </w:r>
          </w:p>
          <w:p w14:paraId="3C22E307">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highlight w:val="none"/>
                <w:lang w:eastAsia="zh-CN"/>
                <w14:textFill>
                  <w14:solidFill>
                    <w14:schemeClr w14:val="tx1"/>
                  </w14:solidFill>
                </w14:textFill>
              </w:rPr>
              <w:t>）</w:t>
            </w:r>
            <w:r>
              <w:rPr>
                <w:rFonts w:hint="default" w:ascii="Times New Roman" w:hAnsi="Times New Roman" w:eastAsia="宋体" w:cs="Times New Roman"/>
                <w:b/>
                <w:bCs/>
                <w:color w:val="000000" w:themeColor="text1"/>
                <w:sz w:val="24"/>
                <w:highlight w:val="none"/>
                <w14:textFill>
                  <w14:solidFill>
                    <w14:schemeClr w14:val="tx1"/>
                  </w14:solidFill>
                </w14:textFill>
              </w:rPr>
              <w:t>环境风险防范措施</w:t>
            </w:r>
          </w:p>
          <w:p w14:paraId="19591A2D">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highlight w:val="none"/>
                <w14:textFill>
                  <w14:solidFill>
                    <w14:schemeClr w14:val="tx1"/>
                  </w14:solidFill>
                </w14:textFill>
              </w:rPr>
              <w:t>泄漏事故防范措施</w:t>
            </w:r>
          </w:p>
          <w:p w14:paraId="23346BBC">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①原料废包装桶进行分类回收，严格区分来源和原用途。</w:t>
            </w:r>
          </w:p>
          <w:p w14:paraId="2DC6477A">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②严格操作规程，加强对生产和辅助设备定期检修。</w:t>
            </w:r>
          </w:p>
          <w:p w14:paraId="505E5574">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③加强管理，定期向当地环保主管部门及安全消防部门汇报，以便得到有效监管。</w:t>
            </w:r>
          </w:p>
          <w:p w14:paraId="0EAE4EB6">
            <w:pPr>
              <w:pStyle w:val="11"/>
              <w:keepNext w:val="0"/>
              <w:keepLines w:val="0"/>
              <w:pageBreakBefore w:val="0"/>
              <w:widowControl w:val="0"/>
              <w:suppressLineNumbers w:val="0"/>
              <w:shd w:val="clear" w:color="auto" w:fill="auto"/>
              <w:kinsoku/>
              <w:wordWrap/>
              <w:overflowPunct/>
              <w:topLinePunct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④</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危废贮存库、水性漆库房、喷涂区、备漆间、</w:t>
            </w:r>
            <w:r>
              <w:rPr>
                <w:rFonts w:hint="eastAsia" w:cs="Times New Roman"/>
                <w:color w:val="000000" w:themeColor="text1"/>
                <w:sz w:val="24"/>
                <w:szCs w:val="24"/>
                <w:highlight w:val="none"/>
                <w:lang w:val="en-US" w:eastAsia="zh-CN"/>
                <w14:textFill>
                  <w14:solidFill>
                    <w14:schemeClr w14:val="tx1"/>
                  </w14:solidFill>
                </w14:textFill>
              </w:rPr>
              <w:t>一体化生产废水处理站</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、空压机区域等</w:t>
            </w:r>
            <w:r>
              <w:rPr>
                <w:rFonts w:hint="default" w:ascii="Times New Roman" w:hAnsi="Times New Roman" w:cs="Times New Roman"/>
                <w:color w:val="000000" w:themeColor="text1"/>
                <w:sz w:val="24"/>
                <w:highlight w:val="none"/>
                <w:lang w:val="en-US" w:eastAsia="zh-CN"/>
                <w14:textFill>
                  <w14:solidFill>
                    <w14:schemeClr w14:val="tx1"/>
                  </w14:solidFill>
                </w14:textFill>
              </w:rPr>
              <w:t>重点污染防治区进行重点防腐防渗处理，防渗层要求等效黏土防渗层Mb≥6.0m，K≤1×10</w:t>
            </w:r>
            <w:r>
              <w:rPr>
                <w:rFonts w:hint="default" w:ascii="Times New Roman" w:hAnsi="Times New Roman" w:cs="Times New Roman"/>
                <w:color w:val="000000" w:themeColor="text1"/>
                <w:sz w:val="24"/>
                <w:highlight w:val="none"/>
                <w:vertAlign w:val="superscript"/>
                <w:lang w:val="en-US" w:eastAsia="zh-CN"/>
                <w14:textFill>
                  <w14:solidFill>
                    <w14:schemeClr w14:val="tx1"/>
                  </w14:solidFill>
                </w14:textFill>
              </w:rPr>
              <w:t>-7</w:t>
            </w:r>
            <w:r>
              <w:rPr>
                <w:rFonts w:hint="default" w:ascii="Times New Roman" w:hAnsi="Times New Roman" w:cs="Times New Roman"/>
                <w:color w:val="000000" w:themeColor="text1"/>
                <w:sz w:val="24"/>
                <w:highlight w:val="none"/>
                <w:lang w:val="en-US" w:eastAsia="zh-CN"/>
                <w14:textFill>
                  <w14:solidFill>
                    <w14:schemeClr w14:val="tx1"/>
                  </w14:solidFill>
                </w14:textFill>
              </w:rPr>
              <w:t>cm/s；</w:t>
            </w:r>
          </w:p>
          <w:p w14:paraId="3857D944">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⑤</w:t>
            </w:r>
            <w:r>
              <w:rPr>
                <w:rFonts w:hint="default" w:ascii="Times New Roman" w:hAnsi="Times New Roman" w:cs="Times New Roman"/>
                <w:color w:val="000000" w:themeColor="text1"/>
                <w:sz w:val="24"/>
                <w:highlight w:val="none"/>
                <w:lang w:val="en-US" w:eastAsia="zh-CN"/>
                <w14:textFill>
                  <w14:solidFill>
                    <w14:schemeClr w14:val="tx1"/>
                  </w14:solidFill>
                </w14:textFill>
              </w:rPr>
              <w:t>水性漆</w:t>
            </w:r>
            <w:r>
              <w:rPr>
                <w:rFonts w:hint="default" w:ascii="Times New Roman" w:hAnsi="Times New Roman" w:cs="Times New Roman"/>
                <w:color w:val="000000" w:themeColor="text1"/>
                <w:sz w:val="24"/>
                <w:highlight w:val="none"/>
                <w14:textFill>
                  <w14:solidFill>
                    <w14:schemeClr w14:val="tx1"/>
                  </w14:solidFill>
                </w14:textFill>
              </w:rPr>
              <w:t>库房与生产装置区隔离，做好通风措施，设置危险化学品严禁烟火等标识、标牌，地面进行重点防腐防渗处理。根据暂存化学品理化性质配备吸油毛毡、沙子、二氧化碳灭火器等应急物资。各类化学品分开储存。</w:t>
            </w:r>
          </w:p>
          <w:p w14:paraId="5B115470">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⑥液体化学品和固体化学品原辅材料就近选择当地有资质厂家或经销商处购买。采用防水包装，由有资质运输单位进行运输进厂。上述危险化学品运输必须严格执行国家《危险品运输管理规定》运输线路尽可能避让水体和限制通行路段。</w:t>
            </w:r>
          </w:p>
          <w:p w14:paraId="1BF1A677">
            <w:pPr>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2）</w:t>
            </w:r>
            <w:r>
              <w:rPr>
                <w:rFonts w:hint="default" w:ascii="Times New Roman" w:hAnsi="Times New Roman" w:cs="Times New Roman"/>
                <w:b/>
                <w:bCs/>
                <w:color w:val="000000" w:themeColor="text1"/>
                <w:sz w:val="24"/>
                <w:highlight w:val="none"/>
                <w14:textFill>
                  <w14:solidFill>
                    <w14:schemeClr w14:val="tx1"/>
                  </w14:solidFill>
                </w14:textFill>
              </w:rPr>
              <w:t>火灾、爆炸事故防范措施</w:t>
            </w:r>
          </w:p>
          <w:p w14:paraId="56A75C50">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日常根据需求按需（桶装方式）转运至各生产车间内，且各库房门口均设有截流沟和收集池，因此各液体原料基本不可能发生泄漏，且在发生消防事故时，可使用干粉、消防沙进行灭火，同时，采取日常保持库房内、外设置充足的应急物资，以及加强对消防设备的维护保养、及时更换过期消防设施等措施，可避免火灾的发生。另外，建设单位需定期对操作人员进行安全生产与安全知识培训，并制定严格的安全操作规程，熟悉库房灭火器材的位置和灭火器的使用方法。在可燃液体燃着时，应立即拿开着火区域内的一切可燃物质，关闭通风器，防止扩大燃烧，较大的着火事故应立即报警。</w:t>
            </w:r>
          </w:p>
          <w:p w14:paraId="241C592B">
            <w:pPr>
              <w:keepNext w:val="0"/>
              <w:keepLines w:val="0"/>
              <w:pageBreakBefore w:val="0"/>
              <w:widowControl w:val="0"/>
              <w:numPr>
                <w:ilvl w:val="0"/>
                <w:numId w:val="0"/>
              </w:numPr>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3）</w:t>
            </w:r>
            <w:r>
              <w:rPr>
                <w:rFonts w:hint="default" w:ascii="Times New Roman" w:hAnsi="Times New Roman" w:cs="Times New Roman"/>
                <w:b/>
                <w:bCs/>
                <w:color w:val="000000" w:themeColor="text1"/>
                <w:sz w:val="24"/>
                <w:highlight w:val="none"/>
                <w14:textFill>
                  <w14:solidFill>
                    <w14:schemeClr w14:val="tx1"/>
                  </w14:solidFill>
                </w14:textFill>
              </w:rPr>
              <w:t>应急要求</w:t>
            </w:r>
          </w:p>
          <w:p w14:paraId="04A81247">
            <w:pPr>
              <w:keepNext w:val="0"/>
              <w:keepLines w:val="0"/>
              <w:pageBreakBefore w:val="0"/>
              <w:widowControl w:val="0"/>
              <w:suppressLineNumbers w:val="0"/>
              <w:shd w:val="clear" w:color="auto" w:fill="auto"/>
              <w:kinsoku/>
              <w:wordWrap/>
              <w:overflowPunct/>
              <w:topLinePunct w:val="0"/>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环境风险应急救援体系工业园为提高企业应对突发环境事件应急能力，维护社会稳定，企业应制定环境风险应急预案，成立应急救援小组，每年开展应急演练。项目应与园区及园区污水处理站风险应急预案进行衔接，按照园区制定的应急救援体系，以园区应急救援指挥中心为核心，与区级（上级）和企业（下级）应急救援中心联动的三级救援管理体系。</w:t>
            </w:r>
          </w:p>
          <w:p w14:paraId="730CE335">
            <w:pPr>
              <w:keepNext w:val="0"/>
              <w:keepLines w:val="0"/>
              <w:pageBreakBefore w:val="0"/>
              <w:widowControl w:val="0"/>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建设单位应根据《企业事业单位突发环境事件应急预案备案管理实施办法》等相关文件要求编制</w:t>
            </w:r>
            <w:r>
              <w:rPr>
                <w:rFonts w:hint="default" w:ascii="Times New Roman" w:hAnsi="Times New Roman" w:cs="Times New Roman"/>
                <w:bCs/>
                <w:color w:val="000000" w:themeColor="text1"/>
                <w:sz w:val="24"/>
                <w:highlight w:val="none"/>
                <w14:textFill>
                  <w14:solidFill>
                    <w14:schemeClr w14:val="tx1"/>
                  </w14:solidFill>
                </w14:textFill>
              </w:rPr>
              <w:t>环境</w:t>
            </w:r>
            <w:r>
              <w:rPr>
                <w:rFonts w:hint="default" w:ascii="Times New Roman" w:hAnsi="Times New Roman" w:cs="Times New Roman"/>
                <w:color w:val="000000" w:themeColor="text1"/>
                <w:sz w:val="24"/>
                <w:highlight w:val="none"/>
                <w14:textFill>
                  <w14:solidFill>
                    <w14:schemeClr w14:val="tx1"/>
                  </w14:solidFill>
                </w14:textFill>
              </w:rPr>
              <w:t>事件应急预案，配备相应的应急物资、设施设备等，并结合实际情况，开展环境应急预案的培训、宣传和必要的应急演练，发生或者可能发生突发环境事件时及时启动环境事件应急预案。</w:t>
            </w:r>
          </w:p>
          <w:p w14:paraId="1F284CE4">
            <w:pPr>
              <w:keepNext w:val="0"/>
              <w:keepLines w:val="0"/>
              <w:pageBreakBefore w:val="0"/>
              <w:widowControl w:val="0"/>
              <w:numPr>
                <w:ilvl w:val="0"/>
                <w:numId w:val="0"/>
              </w:numPr>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2" w:firstLineChars="200"/>
              <w:textAlignment w:val="auto"/>
              <w:rPr>
                <w:rFonts w:hint="default" w:ascii="Times New Roman" w:hAnsi="Times New Roman" w:cs="Times New Roman"/>
                <w:b/>
                <w:bCs w:val="0"/>
                <w:color w:val="000000" w:themeColor="text1"/>
                <w:sz w:val="24"/>
                <w:highlight w:val="none"/>
                <w14:textFill>
                  <w14:solidFill>
                    <w14:schemeClr w14:val="tx1"/>
                  </w14:solidFill>
                </w14:textFill>
              </w:rPr>
            </w:pPr>
            <w:r>
              <w:rPr>
                <w:rFonts w:hint="default" w:ascii="Times New Roman" w:hAnsi="Times New Roman" w:cs="Times New Roman"/>
                <w:b/>
                <w:bCs w:val="0"/>
                <w:color w:val="000000" w:themeColor="text1"/>
                <w:kern w:val="2"/>
                <w:sz w:val="24"/>
                <w:szCs w:val="24"/>
                <w:lang w:val="en-US" w:eastAsia="zh-CN" w:bidi="ar-SA"/>
                <w14:textFill>
                  <w14:solidFill>
                    <w14:schemeClr w14:val="tx1"/>
                  </w14:solidFill>
                </w14:textFill>
              </w:rPr>
              <w:t>4）</w:t>
            </w:r>
            <w:r>
              <w:rPr>
                <w:rFonts w:hint="default" w:ascii="Times New Roman" w:hAnsi="Times New Roman" w:cs="Times New Roman"/>
                <w:b/>
                <w:bCs w:val="0"/>
                <w:color w:val="000000" w:themeColor="text1"/>
                <w:sz w:val="24"/>
                <w:highlight w:val="none"/>
                <w14:textFill>
                  <w14:solidFill>
                    <w14:schemeClr w14:val="tx1"/>
                  </w14:solidFill>
                </w14:textFill>
              </w:rPr>
              <w:t>其他措施</w:t>
            </w:r>
          </w:p>
          <w:p w14:paraId="723E4E4A">
            <w:pPr>
              <w:keepNext w:val="0"/>
              <w:keepLines w:val="0"/>
              <w:pageBreakBefore w:val="0"/>
              <w:widowControl w:val="0"/>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①强化</w:t>
            </w:r>
            <w:r>
              <w:rPr>
                <w:rFonts w:hint="default" w:ascii="Times New Roman" w:hAnsi="Times New Roman" w:cs="Times New Roman"/>
                <w:bCs/>
                <w:color w:val="000000" w:themeColor="text1"/>
                <w:spacing w:val="-10"/>
                <w:sz w:val="24"/>
                <w:highlight w:val="none"/>
                <w14:textFill>
                  <w14:solidFill>
                    <w14:schemeClr w14:val="tx1"/>
                  </w14:solidFill>
                </w14:textFill>
              </w:rPr>
              <w:t>风险</w:t>
            </w:r>
            <w:r>
              <w:rPr>
                <w:rFonts w:hint="default" w:ascii="Times New Roman" w:hAnsi="Times New Roman" w:cs="Times New Roman"/>
                <w:color w:val="000000" w:themeColor="text1"/>
                <w:sz w:val="24"/>
                <w:highlight w:val="none"/>
                <w14:textFill>
                  <w14:solidFill>
                    <w14:schemeClr w14:val="tx1"/>
                  </w14:solidFill>
                </w14:textFill>
              </w:rPr>
              <w:t>意识、加强安全管理</w:t>
            </w:r>
          </w:p>
          <w:p w14:paraId="4798572C">
            <w:pPr>
              <w:keepNext w:val="0"/>
              <w:keepLines w:val="0"/>
              <w:pageBreakBefore w:val="0"/>
              <w:widowControl w:val="0"/>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安全生产是企业立厂之本，对事故风险较大的企业来说，一定要强化风险意识、加强安全管理，具体要求如下：必须将“安全第一，以防为主”作为公司经营的基本原则；必须进行广泛系统的培训，使所有操作人员熟悉自己的岗位，树立严谨规范的操作作风，并且在任何紧急状况下都能随时对工艺装置进行控制，并及时、独立、正确地实施相关应急措施。</w:t>
            </w:r>
          </w:p>
          <w:p w14:paraId="59E92830">
            <w:pPr>
              <w:keepNext w:val="0"/>
              <w:keepLines w:val="0"/>
              <w:pageBreakBefore w:val="0"/>
              <w:widowControl w:val="0"/>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②生产过程风险防范</w:t>
            </w:r>
          </w:p>
          <w:p w14:paraId="29773B07">
            <w:pPr>
              <w:keepNext w:val="0"/>
              <w:keepLines w:val="0"/>
              <w:pageBreakBefore w:val="0"/>
              <w:widowControl w:val="0"/>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为使环境风险减小到最低限度，必须加强劳动安全卫生管理，制定完备、有效的安全防范措施，尽可能降低该项目环境风险事故发生的概率及事故发生后的环境影响。</w:t>
            </w:r>
          </w:p>
          <w:p w14:paraId="45543198">
            <w:pPr>
              <w:keepNext w:val="0"/>
              <w:keepLines w:val="0"/>
              <w:pageBreakBefore w:val="0"/>
              <w:widowControl w:val="0"/>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a、为确保处理效率，在车间设备检修期间，末端处理系统也应同时进行检修，日常应有专人负责进行维护。</w:t>
            </w:r>
          </w:p>
          <w:p w14:paraId="5DC964B0">
            <w:pPr>
              <w:keepNext w:val="0"/>
              <w:keepLines w:val="0"/>
              <w:pageBreakBefore w:val="0"/>
              <w:widowControl w:val="0"/>
              <w:suppressLineNumbers w:val="0"/>
              <w:shd w:val="clear" w:color="auto" w:fill="auto"/>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b、要求企业委托有资质单位进行废气收集、治理、排放系统的设计、安装。</w:t>
            </w:r>
          </w:p>
          <w:p w14:paraId="1B23FBFC">
            <w:pPr>
              <w:keepNext w:val="0"/>
              <w:keepLines w:val="0"/>
              <w:pageBreakBefore w:val="0"/>
              <w:widowControl w:val="0"/>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c、废气处理设施应委派专人负责管理、维护，建立运行台账制度。</w:t>
            </w:r>
          </w:p>
          <w:p w14:paraId="4FA9132E">
            <w:pPr>
              <w:keepNext w:val="0"/>
              <w:keepLines w:val="0"/>
              <w:pageBreakBefore w:val="0"/>
              <w:widowControl w:val="0"/>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d、要求项目废气治理装置设计时需设置生产装置与废气治理装置的联控系统。生产期间废气治理装置先于生产装置启动，保证生产装置废气能够得以有效收集、治理；一旦废气收集风机发生事故，生产装置应停止运行，对环保设施进行检修，查实事故原因做好相应记录。</w:t>
            </w:r>
          </w:p>
          <w:p w14:paraId="543282E3">
            <w:pPr>
              <w:keepNext w:val="0"/>
              <w:keepLines w:val="0"/>
              <w:pageBreakBefore w:val="0"/>
              <w:widowControl w:val="0"/>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e、企业应当合理规划应急疏散通道，当发生火灾以及由此引发的次生污染事故等污染较严重的风险事故时，确保厂内及周边人员尽快撤离事故点，保障人员生命安全。</w:t>
            </w:r>
          </w:p>
          <w:p w14:paraId="111E720D">
            <w:pPr>
              <w:keepNext w:val="0"/>
              <w:keepLines w:val="0"/>
              <w:pageBreakBefore w:val="0"/>
              <w:widowControl w:val="0"/>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③储运工程风险防范</w:t>
            </w:r>
          </w:p>
          <w:p w14:paraId="27FFB2E2">
            <w:pPr>
              <w:keepNext w:val="0"/>
              <w:keepLines w:val="0"/>
              <w:pageBreakBefore w:val="0"/>
              <w:widowControl w:val="0"/>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厂外物料运输以汽车为主，选择正规运输单位负责。运输装卸过程严格按照国家有关规定执行。要求建立危险化学品监管体系，实施安全生产，主要包括以下几点：</w:t>
            </w:r>
          </w:p>
          <w:p w14:paraId="672245B3">
            <w:pPr>
              <w:keepNext w:val="0"/>
              <w:keepLines w:val="0"/>
              <w:pageBreakBefore w:val="0"/>
              <w:widowControl w:val="0"/>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a、危险化学品、危险废物不得露天堆放，须存放于专用库房，并严格遵守有关贮存的安全规定。</w:t>
            </w:r>
          </w:p>
          <w:p w14:paraId="4AC943EA">
            <w:pPr>
              <w:keepNext w:val="0"/>
              <w:keepLines w:val="0"/>
              <w:pageBreakBefore w:val="0"/>
              <w:widowControl w:val="0"/>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b、贮存危险化学品的管理人员，必须经过专业知识培训，熟悉贮存物品的特性、事故处理办法和防护知识，持证上岗，同时，必须配备有关的个人防护用品。</w:t>
            </w:r>
          </w:p>
          <w:p w14:paraId="5738FE14">
            <w:pPr>
              <w:keepNext w:val="0"/>
              <w:keepLines w:val="0"/>
              <w:pageBreakBefore w:val="0"/>
              <w:widowControl w:val="0"/>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c、贮存的危险化学品、危险废物必须设有明显的标志。</w:t>
            </w:r>
          </w:p>
          <w:p w14:paraId="1FE07359">
            <w:pPr>
              <w:keepNext w:val="0"/>
              <w:keepLines w:val="0"/>
              <w:pageBreakBefore w:val="0"/>
              <w:widowControl w:val="0"/>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d、贮存危险化学品的库房、</w:t>
            </w:r>
            <w:r>
              <w:rPr>
                <w:rFonts w:hint="default" w:ascii="Times New Roman" w:hAnsi="Times New Roman" w:cs="Times New Roman"/>
                <w:color w:val="000000" w:themeColor="text1"/>
                <w:sz w:val="24"/>
                <w:highlight w:val="none"/>
                <w:lang w:eastAsia="zh-CN"/>
                <w14:textFill>
                  <w14:solidFill>
                    <w14:schemeClr w14:val="tx1"/>
                  </w14:solidFill>
                </w14:textFill>
              </w:rPr>
              <w:t>危险废物贮存库</w:t>
            </w:r>
            <w:r>
              <w:rPr>
                <w:rFonts w:hint="default" w:ascii="Times New Roman" w:hAnsi="Times New Roman" w:cs="Times New Roman"/>
                <w:color w:val="000000" w:themeColor="text1"/>
                <w:sz w:val="24"/>
                <w:highlight w:val="none"/>
                <w14:textFill>
                  <w14:solidFill>
                    <w14:schemeClr w14:val="tx1"/>
                  </w14:solidFill>
                </w14:textFill>
              </w:rPr>
              <w:t>的消防设施、用电设施等必须符合国家规定的安全要求，配置合格的防毒器材、消防器材等应急物资。</w:t>
            </w:r>
          </w:p>
          <w:p w14:paraId="40ACDE25">
            <w:pPr>
              <w:keepNext w:val="0"/>
              <w:keepLines w:val="0"/>
              <w:pageBreakBefore w:val="0"/>
              <w:widowControl w:val="0"/>
              <w:suppressLineNumbers w:val="0"/>
              <w:shd w:val="clear" w:color="auto" w:fill="auto"/>
              <w:kinsoku/>
              <w:wordWrap/>
              <w:overflowPunct/>
              <w:autoSpaceDE w:val="0"/>
              <w:autoSpaceDN w:val="0"/>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e、危险化学品、危险废物出入库必须检查验收登记。</w:t>
            </w:r>
          </w:p>
          <w:p w14:paraId="071AADC8">
            <w:pPr>
              <w:pStyle w:val="56"/>
              <w:keepNext w:val="0"/>
              <w:keepLines w:val="0"/>
              <w:pageBreakBefore w:val="0"/>
              <w:widowControl w:val="0"/>
              <w:suppressLineNumbers w:val="0"/>
              <w:kinsoku/>
              <w:wordWrap/>
              <w:overflowPunct/>
              <w:bidi w:val="0"/>
              <w:adjustRightInd w:val="0"/>
              <w:snapToGrid w:val="0"/>
              <w:spacing w:before="0" w:beforeAutospacing="0" w:after="0" w:afterAutospacing="0" w:line="360" w:lineRule="auto"/>
              <w:ind w:left="0" w:leftChars="0" w:right="0" w:firstLine="482" w:firstLineChars="200"/>
              <w:jc w:val="left"/>
              <w:textAlignment w:val="auto"/>
              <w:rPr>
                <w:rFonts w:hint="default" w:ascii="Times New Roman" w:hAnsi="Times New Roman" w:cs="Times New Roman"/>
                <w:b/>
                <w:snapToGrid w:val="0"/>
                <w:color w:val="000000" w:themeColor="text1"/>
                <w:kern w:val="0"/>
                <w:sz w:val="24"/>
                <w:szCs w:val="24"/>
                <w14:textFill>
                  <w14:solidFill>
                    <w14:schemeClr w14:val="tx1"/>
                  </w14:solidFill>
                </w14:textFill>
              </w:rPr>
            </w:pPr>
            <w:r>
              <w:rPr>
                <w:rFonts w:hint="default" w:ascii="Times New Roman" w:hAnsi="Times New Roman" w:cs="Times New Roman"/>
                <w:b/>
                <w:snapToGrid w:val="0"/>
                <w:color w:val="000000" w:themeColor="text1"/>
                <w:kern w:val="0"/>
                <w:sz w:val="24"/>
                <w:szCs w:val="24"/>
                <w:lang w:eastAsia="zh-CN"/>
                <w14:textFill>
                  <w14:solidFill>
                    <w14:schemeClr w14:val="tx1"/>
                  </w14:solidFill>
                </w14:textFill>
              </w:rPr>
              <w:t>（</w:t>
            </w:r>
            <w:r>
              <w:rPr>
                <w:rFonts w:hint="default" w:ascii="Times New Roman" w:hAnsi="Times New Roman" w:cs="Times New Roman"/>
                <w:b/>
                <w:snapToGrid w:val="0"/>
                <w:color w:val="000000" w:themeColor="text1"/>
                <w:kern w:val="0"/>
                <w:sz w:val="24"/>
                <w:szCs w:val="24"/>
                <w:lang w:val="en-US" w:eastAsia="zh-CN"/>
                <w14:textFill>
                  <w14:solidFill>
                    <w14:schemeClr w14:val="tx1"/>
                  </w14:solidFill>
                </w14:textFill>
              </w:rPr>
              <w:t>3</w:t>
            </w:r>
            <w:r>
              <w:rPr>
                <w:rFonts w:hint="default" w:ascii="Times New Roman" w:hAnsi="Times New Roman" w:cs="Times New Roman"/>
                <w:b/>
                <w:snapToGrid w:val="0"/>
                <w:color w:val="000000" w:themeColor="text1"/>
                <w:kern w:val="0"/>
                <w:sz w:val="24"/>
                <w:szCs w:val="24"/>
                <w:lang w:eastAsia="zh-CN"/>
                <w14:textFill>
                  <w14:solidFill>
                    <w14:schemeClr w14:val="tx1"/>
                  </w14:solidFill>
                </w14:textFill>
              </w:rPr>
              <w:t>）</w:t>
            </w:r>
            <w:r>
              <w:rPr>
                <w:rFonts w:hint="default" w:ascii="Times New Roman" w:hAnsi="Times New Roman" w:cs="Times New Roman"/>
                <w:b/>
                <w:snapToGrid w:val="0"/>
                <w:color w:val="000000" w:themeColor="text1"/>
                <w:kern w:val="0"/>
                <w:sz w:val="24"/>
                <w:szCs w:val="24"/>
                <w14:textFill>
                  <w14:solidFill>
                    <w14:schemeClr w14:val="tx1"/>
                  </w14:solidFill>
                </w14:textFill>
              </w:rPr>
              <w:t>风险评价结论</w:t>
            </w:r>
          </w:p>
          <w:p w14:paraId="3858B09F">
            <w:pPr>
              <w:pStyle w:val="48"/>
              <w:keepNext w:val="0"/>
              <w:keepLines w:val="0"/>
              <w:pageBreakBefore w:val="0"/>
              <w:widowControl w:val="0"/>
              <w:suppressLineNumbers w:val="0"/>
              <w:kinsoku/>
              <w:wordWrap/>
              <w:overflowPunct/>
              <w:bidi w:val="0"/>
              <w:adjustRightInd w:val="0"/>
              <w:snapToGrid w:val="0"/>
              <w:spacing w:before="0" w:beforeAutospacing="0" w:after="0" w:afterAutospacing="0" w:line="360" w:lineRule="auto"/>
              <w:ind w:left="0" w:leftChars="0" w:right="0" w:firstLine="480" w:firstLineChars="200"/>
              <w:textAlignment w:val="auto"/>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本项目采取的风险防范措施和应急措施，具体见表4-1</w:t>
            </w:r>
            <w:r>
              <w:rPr>
                <w:rFonts w:hint="default" w:ascii="Times New Roman" w:hAnsi="Times New Roman" w:cs="Times New Roman"/>
                <w:color w:val="000000" w:themeColor="text1"/>
                <w:sz w:val="24"/>
                <w:szCs w:val="24"/>
                <w:lang w:val="en-US" w:eastAsia="zh-CN"/>
                <w14:textFill>
                  <w14:solidFill>
                    <w14:schemeClr w14:val="tx1"/>
                  </w14:solidFill>
                </w14:textFill>
              </w:rPr>
              <w:t>7</w:t>
            </w:r>
            <w:r>
              <w:rPr>
                <w:rFonts w:hint="default" w:ascii="Times New Roman" w:hAnsi="Times New Roman" w:cs="Times New Roman"/>
                <w:color w:val="000000" w:themeColor="text1"/>
                <w:sz w:val="24"/>
                <w:szCs w:val="24"/>
                <w14:textFill>
                  <w14:solidFill>
                    <w14:schemeClr w14:val="tx1"/>
                  </w14:solidFill>
                </w14:textFill>
              </w:rPr>
              <w:t>。</w:t>
            </w:r>
          </w:p>
          <w:p w14:paraId="505DC3AB">
            <w:pPr>
              <w:pStyle w:val="48"/>
              <w:keepNext w:val="0"/>
              <w:keepLines w:val="0"/>
              <w:pageBreakBefore w:val="0"/>
              <w:widowControl w:val="0"/>
              <w:suppressLineNumbers w:val="0"/>
              <w:kinsoku/>
              <w:wordWrap/>
              <w:overflowPunct/>
              <w:bidi w:val="0"/>
              <w:adjustRightInd w:val="0"/>
              <w:snapToGrid w:val="0"/>
              <w:spacing w:before="0" w:beforeAutospacing="0" w:after="0" w:afterAutospacing="0" w:line="360" w:lineRule="auto"/>
              <w:ind w:left="0" w:leftChars="0" w:right="0" w:firstLine="0"/>
              <w:jc w:val="center"/>
              <w:textAlignment w:val="auto"/>
              <w:rPr>
                <w:rFonts w:hint="default" w:ascii="Times New Roman" w:hAnsi="Times New Roman" w:cs="Times New Roman"/>
                <w:b/>
                <w:bCs/>
                <w:color w:val="000000" w:themeColor="text1"/>
                <w:sz w:val="21"/>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表4-1</w:t>
            </w:r>
            <w:r>
              <w:rPr>
                <w:rFonts w:hint="default" w:ascii="Times New Roman" w:hAnsi="Times New Roman" w:cs="Times New Roman"/>
                <w:b/>
                <w:bCs/>
                <w:color w:val="000000" w:themeColor="text1"/>
                <w:sz w:val="24"/>
                <w:szCs w:val="24"/>
                <w:lang w:val="en-US" w:eastAsia="zh-CN"/>
                <w14:textFill>
                  <w14:solidFill>
                    <w14:schemeClr w14:val="tx1"/>
                  </w14:solidFill>
                </w14:textFill>
              </w:rPr>
              <w:t>7</w:t>
            </w:r>
            <w:r>
              <w:rPr>
                <w:rFonts w:hint="default" w:ascii="Times New Roman" w:hAnsi="Times New Roman" w:cs="Times New Roman"/>
                <w:b/>
                <w:bCs/>
                <w:color w:val="000000" w:themeColor="text1"/>
                <w:sz w:val="24"/>
                <w:szCs w:val="24"/>
                <w14:textFill>
                  <w14:solidFill>
                    <w14:schemeClr w14:val="tx1"/>
                  </w14:solidFill>
                </w14:textFill>
              </w:rPr>
              <w:t xml:space="preserve"> 项目风险防范措施一览表</w:t>
            </w:r>
          </w:p>
          <w:tbl>
            <w:tblPr>
              <w:tblStyle w:val="21"/>
              <w:tblW w:w="793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46"/>
              <w:gridCol w:w="1243"/>
              <w:gridCol w:w="6248"/>
            </w:tblGrid>
            <w:tr w14:paraId="44079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2" w:hRule="atLeast"/>
                <w:jc w:val="center"/>
              </w:trPr>
              <w:tc>
                <w:tcPr>
                  <w:tcW w:w="281" w:type="pct"/>
                  <w:vAlign w:val="center"/>
                </w:tcPr>
                <w:p w14:paraId="02BB64A5">
                  <w:pPr>
                    <w:pStyle w:val="4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序号</w:t>
                  </w:r>
                </w:p>
              </w:tc>
              <w:tc>
                <w:tcPr>
                  <w:tcW w:w="783" w:type="pct"/>
                  <w:vAlign w:val="center"/>
                </w:tcPr>
                <w:p w14:paraId="67BA2B8E">
                  <w:pPr>
                    <w:pStyle w:val="4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措施名称</w:t>
                  </w:r>
                </w:p>
              </w:tc>
              <w:tc>
                <w:tcPr>
                  <w:tcW w:w="3935" w:type="pct"/>
                  <w:vAlign w:val="center"/>
                </w:tcPr>
                <w:p w14:paraId="5CED6EA8">
                  <w:pPr>
                    <w:pStyle w:val="4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内容及要求</w:t>
                  </w:r>
                </w:p>
              </w:tc>
            </w:tr>
            <w:tr w14:paraId="2973F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281" w:type="pct"/>
                  <w:vAlign w:val="center"/>
                </w:tcPr>
                <w:p w14:paraId="5212F774">
                  <w:pPr>
                    <w:pStyle w:val="4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w:t>
                  </w:r>
                </w:p>
              </w:tc>
              <w:tc>
                <w:tcPr>
                  <w:tcW w:w="783" w:type="pct"/>
                  <w:vAlign w:val="center"/>
                </w:tcPr>
                <w:p w14:paraId="73FA59A4">
                  <w:pPr>
                    <w:pStyle w:val="4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化学品泄漏风险防范措施</w:t>
                  </w:r>
                </w:p>
              </w:tc>
              <w:tc>
                <w:tcPr>
                  <w:tcW w:w="3935" w:type="pct"/>
                  <w:vAlign w:val="center"/>
                </w:tcPr>
                <w:p w14:paraId="06DF3863">
                  <w:pPr>
                    <w:pStyle w:val="48"/>
                    <w:keepNext w:val="0"/>
                    <w:keepLines w:val="0"/>
                    <w:suppressLineNumbers w:val="0"/>
                    <w:spacing w:before="0" w:beforeAutospacing="0" w:after="0" w:afterAutospacing="0" w:line="240" w:lineRule="auto"/>
                    <w:ind w:left="0" w:right="0" w:firstLine="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①</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危险废物贮存库</w:t>
                  </w:r>
                  <w:r>
                    <w:rPr>
                      <w:rFonts w:hint="default" w:ascii="Times New Roman" w:hAnsi="Times New Roman" w:cs="Times New Roman" w:eastAsiaTheme="minorEastAsia"/>
                      <w:color w:val="000000" w:themeColor="text1"/>
                      <w:sz w:val="21"/>
                      <w:szCs w:val="21"/>
                      <w14:textFill>
                        <w14:solidFill>
                          <w14:schemeClr w14:val="tx1"/>
                        </w14:solidFill>
                      </w14:textFill>
                    </w:rPr>
                    <w:t>和</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水性漆</w:t>
                  </w:r>
                  <w:r>
                    <w:rPr>
                      <w:rFonts w:hint="default" w:ascii="Times New Roman" w:hAnsi="Times New Roman" w:cs="Times New Roman" w:eastAsiaTheme="minorEastAsia"/>
                      <w:color w:val="000000" w:themeColor="text1"/>
                      <w:sz w:val="21"/>
                      <w:szCs w:val="21"/>
                      <w14:textFill>
                        <w14:solidFill>
                          <w14:schemeClr w14:val="tx1"/>
                        </w14:solidFill>
                      </w14:textFill>
                    </w:rPr>
                    <w:t>库房设置托盘，地面及墙角设置防腐防渗措施。</w:t>
                  </w:r>
                </w:p>
                <w:p w14:paraId="3EF9D61A">
                  <w:pPr>
                    <w:pStyle w:val="48"/>
                    <w:keepNext w:val="0"/>
                    <w:keepLines w:val="0"/>
                    <w:suppressLineNumbers w:val="0"/>
                    <w:spacing w:before="0" w:beforeAutospacing="0" w:after="0" w:afterAutospacing="0" w:line="240" w:lineRule="auto"/>
                    <w:ind w:left="0" w:right="0" w:firstLine="0"/>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②桶装物料存放时，应保持通风，干燥、防止日光直接照射，并应隔绝火源、远离热源。设置禁火标志及防静电措施等，配备完善的消防装备。存放区域应具有良好的通风环境。</w:t>
                  </w:r>
                </w:p>
                <w:p w14:paraId="10D2F7AB">
                  <w:pPr>
                    <w:pStyle w:val="48"/>
                    <w:keepNext w:val="0"/>
                    <w:keepLines w:val="0"/>
                    <w:suppressLineNumbers w:val="0"/>
                    <w:spacing w:before="0" w:beforeAutospacing="0" w:after="0" w:afterAutospacing="0" w:line="240" w:lineRule="auto"/>
                    <w:ind w:left="0" w:right="0" w:firstLine="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③项目厂房内长期配备足够的应急物资，确保泄漏物料及时收集、转移。</w:t>
                  </w:r>
                </w:p>
              </w:tc>
            </w:tr>
            <w:tr w14:paraId="41C03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89" w:hRule="atLeast"/>
                <w:jc w:val="center"/>
              </w:trPr>
              <w:tc>
                <w:tcPr>
                  <w:tcW w:w="281" w:type="pct"/>
                  <w:vAlign w:val="center"/>
                </w:tcPr>
                <w:p w14:paraId="214618E9">
                  <w:pPr>
                    <w:pStyle w:val="4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2</w:t>
                  </w:r>
                </w:p>
              </w:tc>
              <w:tc>
                <w:tcPr>
                  <w:tcW w:w="783" w:type="pct"/>
                  <w:vAlign w:val="center"/>
                </w:tcPr>
                <w:p w14:paraId="72790EA2">
                  <w:pPr>
                    <w:pStyle w:val="4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分区防渗措施</w:t>
                  </w:r>
                </w:p>
              </w:tc>
              <w:tc>
                <w:tcPr>
                  <w:tcW w:w="3935" w:type="pct"/>
                  <w:vAlign w:val="center"/>
                </w:tcPr>
                <w:p w14:paraId="0866A6BE">
                  <w:pPr>
                    <w:pStyle w:val="48"/>
                    <w:keepNext w:val="0"/>
                    <w:keepLines w:val="0"/>
                    <w:suppressLineNumbers w:val="0"/>
                    <w:spacing w:before="0" w:beforeAutospacing="0" w:after="0" w:afterAutospacing="0" w:line="240" w:lineRule="auto"/>
                    <w:ind w:left="0" w:right="0" w:firstLine="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lang w:eastAsia="zh-CN"/>
                      <w14:textFill>
                        <w14:solidFill>
                          <w14:schemeClr w14:val="tx1"/>
                        </w14:solidFill>
                      </w14:textFill>
                    </w:rPr>
                    <w:t>危废贮存库、水性漆库房、喷涂区、备漆间、</w:t>
                  </w:r>
                  <w:r>
                    <w:rPr>
                      <w:rFonts w:hint="eastAsia" w:ascii="Times New Roman" w:hAnsi="Times New Roman" w:cs="Times New Roman" w:eastAsiaTheme="minorEastAsia"/>
                      <w:color w:val="000000" w:themeColor="text1"/>
                      <w:sz w:val="21"/>
                      <w:lang w:eastAsia="zh-CN"/>
                      <w14:textFill>
                        <w14:solidFill>
                          <w14:schemeClr w14:val="tx1"/>
                        </w14:solidFill>
                      </w14:textFill>
                    </w:rPr>
                    <w:t>一体化生产废水处理站</w:t>
                  </w:r>
                  <w:r>
                    <w:rPr>
                      <w:rFonts w:hint="default" w:ascii="Times New Roman" w:hAnsi="Times New Roman" w:cs="Times New Roman" w:eastAsiaTheme="minorEastAsia"/>
                      <w:color w:val="000000" w:themeColor="text1"/>
                      <w:sz w:val="21"/>
                      <w:lang w:eastAsia="zh-CN"/>
                      <w14:textFill>
                        <w14:solidFill>
                          <w14:schemeClr w14:val="tx1"/>
                        </w14:solidFill>
                      </w14:textFill>
                    </w:rPr>
                    <w:t>、空压机区域</w:t>
                  </w:r>
                  <w:r>
                    <w:rPr>
                      <w:rFonts w:hint="default" w:ascii="Times New Roman" w:hAnsi="Times New Roman" w:cs="Times New Roman" w:eastAsiaTheme="minorEastAsia"/>
                      <w:color w:val="000000" w:themeColor="text1"/>
                      <w:sz w:val="21"/>
                      <w:szCs w:val="21"/>
                      <w14:textFill>
                        <w14:solidFill>
                          <w14:schemeClr w14:val="tx1"/>
                        </w14:solidFill>
                      </w14:textFill>
                    </w:rPr>
                    <w:t>为重点防渗区，采取重点防渗措施；一般固废暂存</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间</w:t>
                  </w:r>
                  <w:r>
                    <w:rPr>
                      <w:rFonts w:hint="default" w:ascii="Times New Roman" w:hAnsi="Times New Roman" w:cs="Times New Roman" w:eastAsiaTheme="minorEastAsia"/>
                      <w:color w:val="000000" w:themeColor="text1"/>
                      <w:sz w:val="21"/>
                      <w:szCs w:val="21"/>
                      <w14:textFill>
                        <w14:solidFill>
                          <w14:schemeClr w14:val="tx1"/>
                        </w14:solidFill>
                      </w14:textFill>
                    </w:rPr>
                    <w:t>属于一般防渗区，地面采取一般防渗措施。</w:t>
                  </w:r>
                </w:p>
              </w:tc>
            </w:tr>
            <w:tr w14:paraId="26189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19" w:hRule="atLeast"/>
                <w:jc w:val="center"/>
              </w:trPr>
              <w:tc>
                <w:tcPr>
                  <w:tcW w:w="281" w:type="pct"/>
                  <w:vAlign w:val="center"/>
                </w:tcPr>
                <w:p w14:paraId="0A2D2F01">
                  <w:pPr>
                    <w:pStyle w:val="4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3</w:t>
                  </w:r>
                </w:p>
              </w:tc>
              <w:tc>
                <w:tcPr>
                  <w:tcW w:w="783" w:type="pct"/>
                  <w:vAlign w:val="center"/>
                </w:tcPr>
                <w:p w14:paraId="31B003F7">
                  <w:pPr>
                    <w:pStyle w:val="4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防毒措施</w:t>
                  </w:r>
                </w:p>
              </w:tc>
              <w:tc>
                <w:tcPr>
                  <w:tcW w:w="3935" w:type="pct"/>
                  <w:vAlign w:val="center"/>
                </w:tcPr>
                <w:p w14:paraId="70B3DBFB">
                  <w:pPr>
                    <w:pStyle w:val="48"/>
                    <w:keepNext w:val="0"/>
                    <w:keepLines w:val="0"/>
                    <w:suppressLineNumbers w:val="0"/>
                    <w:spacing w:before="0" w:beforeAutospacing="0" w:after="0" w:afterAutospacing="0" w:line="240" w:lineRule="auto"/>
                    <w:ind w:left="0" w:right="0" w:firstLine="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改善工人作业环境；加强工人安全卫生教育，作业时严格按照安全生产及防护规则</w:t>
                  </w:r>
                </w:p>
              </w:tc>
            </w:tr>
            <w:tr w14:paraId="0379E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74" w:hRule="atLeast"/>
                <w:jc w:val="center"/>
              </w:trPr>
              <w:tc>
                <w:tcPr>
                  <w:tcW w:w="281" w:type="pct"/>
                  <w:vAlign w:val="center"/>
                </w:tcPr>
                <w:p w14:paraId="7544E401">
                  <w:pPr>
                    <w:pStyle w:val="4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4</w:t>
                  </w:r>
                </w:p>
              </w:tc>
              <w:tc>
                <w:tcPr>
                  <w:tcW w:w="783" w:type="pct"/>
                  <w:vAlign w:val="center"/>
                </w:tcPr>
                <w:p w14:paraId="7CC0D70A">
                  <w:pPr>
                    <w:pStyle w:val="4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安全管理措施</w:t>
                  </w:r>
                </w:p>
              </w:tc>
              <w:tc>
                <w:tcPr>
                  <w:tcW w:w="3935" w:type="pct"/>
                  <w:vAlign w:val="center"/>
                </w:tcPr>
                <w:p w14:paraId="3292E3DC">
                  <w:pPr>
                    <w:pStyle w:val="48"/>
                    <w:keepNext w:val="0"/>
                    <w:keepLines w:val="0"/>
                    <w:suppressLineNumbers w:val="0"/>
                    <w:spacing w:before="0" w:beforeAutospacing="0" w:after="0" w:afterAutospacing="0" w:line="240" w:lineRule="auto"/>
                    <w:ind w:left="0" w:right="0" w:firstLine="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设置安全管理机构，建立安全管理制度，加强人员培训，预防安全事故发生</w:t>
                  </w:r>
                </w:p>
              </w:tc>
            </w:tr>
            <w:tr w14:paraId="27C35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77" w:hRule="atLeast"/>
                <w:jc w:val="center"/>
              </w:trPr>
              <w:tc>
                <w:tcPr>
                  <w:tcW w:w="281" w:type="pct"/>
                  <w:vAlign w:val="center"/>
                </w:tcPr>
                <w:p w14:paraId="255111A4">
                  <w:pPr>
                    <w:pStyle w:val="4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5</w:t>
                  </w:r>
                </w:p>
              </w:tc>
              <w:tc>
                <w:tcPr>
                  <w:tcW w:w="783" w:type="pct"/>
                  <w:vAlign w:val="center"/>
                </w:tcPr>
                <w:p w14:paraId="6294883C">
                  <w:pPr>
                    <w:pStyle w:val="48"/>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应急预案</w:t>
                  </w:r>
                </w:p>
              </w:tc>
              <w:tc>
                <w:tcPr>
                  <w:tcW w:w="3935" w:type="pct"/>
                  <w:vAlign w:val="center"/>
                </w:tcPr>
                <w:p w14:paraId="70A18A0A">
                  <w:pPr>
                    <w:pStyle w:val="48"/>
                    <w:keepNext w:val="0"/>
                    <w:keepLines w:val="0"/>
                    <w:suppressLineNumbers w:val="0"/>
                    <w:spacing w:before="0" w:beforeAutospacing="0" w:after="0" w:afterAutospacing="0" w:line="240" w:lineRule="auto"/>
                    <w:ind w:left="0" w:right="0" w:firstLine="0"/>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制定事故应急救援预案，从组织机构、救援保障、报警通讯、应急监测及救护保障、应急处理措施、事故原因调查分析等方面制定严格的制度并定期组织培训、演练</w:t>
                  </w:r>
                </w:p>
              </w:tc>
            </w:tr>
          </w:tbl>
          <w:p w14:paraId="1CDE290C">
            <w:pPr>
              <w:pStyle w:val="7"/>
              <w:suppressLineNumbers w:val="0"/>
              <w:adjustRightInd w:val="0"/>
              <w:snapToGrid w:val="0"/>
              <w:spacing w:before="0" w:beforeAutospacing="0" w:after="0" w:afterAutospacing="0" w:line="360" w:lineRule="auto"/>
              <w:ind w:left="0" w:right="0" w:firstLine="42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b w:val="0"/>
                <w:bCs w:val="0"/>
                <w:snapToGrid w:val="0"/>
                <w:color w:val="000000" w:themeColor="text1"/>
                <w:sz w:val="24"/>
                <w:szCs w:val="24"/>
                <w14:textFill>
                  <w14:solidFill>
                    <w14:schemeClr w14:val="tx1"/>
                  </w14:solidFill>
                </w14:textFill>
              </w:rPr>
              <w:t>综上，在采取完善的环境风险防范措施并制定有效环境风险事故应急预案的前提下，项目环境风险水平可以接受。</w:t>
            </w:r>
          </w:p>
        </w:tc>
      </w:tr>
    </w:tbl>
    <w:p w14:paraId="577BAFAB">
      <w:pPr>
        <w:pStyle w:val="2"/>
        <w:rPr>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DABC8A7">
      <w:pPr>
        <w:pStyle w:val="19"/>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五、</w:t>
      </w:r>
      <w:bookmarkStart w:id="7" w:name="_Hlk54167917"/>
      <w:r>
        <w:rPr>
          <w:rFonts w:ascii="Times New Roman" w:hAnsi="Times New Roman" w:eastAsia="黑体"/>
          <w:snapToGrid w:val="0"/>
          <w:color w:val="000000" w:themeColor="text1"/>
          <w:sz w:val="30"/>
          <w:szCs w:val="30"/>
          <w14:textFill>
            <w14:solidFill>
              <w14:schemeClr w14:val="tx1"/>
            </w14:solidFill>
          </w14:textFill>
        </w:rPr>
        <w:t>环境保护措施监督检查清单</w:t>
      </w:r>
      <w:bookmarkEnd w:id="7"/>
    </w:p>
    <w:tbl>
      <w:tblPr>
        <w:tblStyle w:val="21"/>
        <w:tblW w:w="907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563"/>
        <w:gridCol w:w="1448"/>
        <w:gridCol w:w="2250"/>
        <w:gridCol w:w="2704"/>
      </w:tblGrid>
      <w:tr w14:paraId="067C02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6" w:type="dxa"/>
            <w:tcBorders>
              <w:tl2br w:val="single" w:color="auto" w:sz="4" w:space="0"/>
            </w:tcBorders>
          </w:tcPr>
          <w:p w14:paraId="40A16C3B">
            <w:pPr>
              <w:keepNext w:val="0"/>
              <w:keepLines w:val="0"/>
              <w:suppressLineNumbers w:val="0"/>
              <w:adjustRightInd w:val="0"/>
              <w:snapToGrid w:val="0"/>
              <w:spacing w:before="0" w:beforeAutospacing="0" w:after="0" w:afterAutospacing="0"/>
              <w:ind w:left="0" w:right="0"/>
              <w:jc w:val="right"/>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内容</w:t>
            </w:r>
          </w:p>
          <w:p w14:paraId="274D52A0">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要素</w:t>
            </w:r>
          </w:p>
        </w:tc>
        <w:tc>
          <w:tcPr>
            <w:tcW w:w="1563" w:type="dxa"/>
            <w:vAlign w:val="center"/>
          </w:tcPr>
          <w:p w14:paraId="561200D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排放口(编号、</w:t>
            </w:r>
          </w:p>
          <w:p w14:paraId="4F3B16C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名称)/污染源</w:t>
            </w:r>
          </w:p>
        </w:tc>
        <w:tc>
          <w:tcPr>
            <w:tcW w:w="1448" w:type="dxa"/>
            <w:vAlign w:val="center"/>
          </w:tcPr>
          <w:p w14:paraId="4242271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污染物项目</w:t>
            </w:r>
          </w:p>
        </w:tc>
        <w:tc>
          <w:tcPr>
            <w:tcW w:w="2250" w:type="dxa"/>
            <w:vAlign w:val="center"/>
          </w:tcPr>
          <w:p w14:paraId="30C1C5D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环境保护措施</w:t>
            </w:r>
          </w:p>
        </w:tc>
        <w:tc>
          <w:tcPr>
            <w:tcW w:w="2704" w:type="dxa"/>
            <w:vAlign w:val="center"/>
          </w:tcPr>
          <w:p w14:paraId="58F0792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执行标准</w:t>
            </w:r>
          </w:p>
        </w:tc>
      </w:tr>
      <w:tr w14:paraId="14490A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106" w:type="dxa"/>
            <w:vMerge w:val="restart"/>
            <w:vAlign w:val="center"/>
          </w:tcPr>
          <w:p w14:paraId="39FCF0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大气环境</w:t>
            </w:r>
          </w:p>
        </w:tc>
        <w:tc>
          <w:tcPr>
            <w:tcW w:w="1563" w:type="dxa"/>
            <w:vMerge w:val="restart"/>
            <w:vAlign w:val="center"/>
          </w:tcPr>
          <w:p w14:paraId="56081E0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喷涂废气</w:t>
            </w:r>
          </w:p>
          <w:p w14:paraId="13CB49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DA001</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1448" w:type="dxa"/>
            <w:vAlign w:val="center"/>
          </w:tcPr>
          <w:p w14:paraId="3CB9615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非甲烷总烃</w:t>
            </w: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2250" w:type="dxa"/>
            <w:vMerge w:val="restart"/>
            <w:vAlign w:val="center"/>
          </w:tcPr>
          <w:p w14:paraId="4BAC235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水帘湿式漆雾净化+</w:t>
            </w:r>
            <w:r>
              <w:rPr>
                <w:rFonts w:hint="eastAsia" w:cs="Times New Roman"/>
                <w:bCs/>
                <w:color w:val="000000" w:themeColor="text1"/>
                <w:kern w:val="0"/>
                <w:sz w:val="21"/>
                <w:szCs w:val="21"/>
                <w:highlight w:val="none"/>
                <w:lang w:val="en-US" w:eastAsia="zh-CN"/>
                <w14:textFill>
                  <w14:solidFill>
                    <w14:schemeClr w14:val="tx1"/>
                  </w14:solidFill>
                </w14:textFill>
              </w:rPr>
              <w:t>高分子过滤盒</w:t>
            </w:r>
            <w:r>
              <w:rPr>
                <w:rFonts w:hint="default" w:ascii="Times New Roman" w:hAnsi="Times New Roman" w:cs="Times New Roman"/>
                <w:bCs/>
                <w:color w:val="000000" w:themeColor="text1"/>
                <w:kern w:val="0"/>
                <w:sz w:val="21"/>
                <w:szCs w:val="21"/>
                <w:lang w:val="en-US" w:eastAsia="zh-CN"/>
                <w14:textFill>
                  <w14:solidFill>
                    <w14:schemeClr w14:val="tx1"/>
                  </w14:solidFill>
                </w14:textFill>
              </w:rPr>
              <w:t>+干式过滤棉+二级活性炭吸附</w:t>
            </w:r>
            <w:r>
              <w:rPr>
                <w:rFonts w:hint="default" w:ascii="Times New Roman" w:hAnsi="Times New Roman" w:cs="Times New Roman"/>
                <w:color w:val="000000" w:themeColor="text1"/>
                <w14:textFill>
                  <w14:solidFill>
                    <w14:schemeClr w14:val="tx1"/>
                  </w14:solidFill>
                </w14:textFill>
              </w:rPr>
              <w:t>装置</w:t>
            </w:r>
          </w:p>
        </w:tc>
        <w:tc>
          <w:tcPr>
            <w:tcW w:w="2704" w:type="dxa"/>
            <w:vAlign w:val="center"/>
          </w:tcPr>
          <w:p w14:paraId="3F7662D0">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《摩托车及汽车配件制造表面涂装大气污染物排放标准》（DB 50/660-2016）中表2“其他区域”排放限值</w:t>
            </w:r>
          </w:p>
        </w:tc>
      </w:tr>
      <w:tr w14:paraId="4F904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106" w:type="dxa"/>
            <w:vMerge w:val="continue"/>
            <w:vAlign w:val="center"/>
          </w:tcPr>
          <w:p w14:paraId="67EC154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1563" w:type="dxa"/>
            <w:vMerge w:val="continue"/>
            <w:vAlign w:val="center"/>
          </w:tcPr>
          <w:p w14:paraId="059C4A1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448" w:type="dxa"/>
            <w:vAlign w:val="center"/>
          </w:tcPr>
          <w:p w14:paraId="61719FD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臭气浓度</w:t>
            </w:r>
          </w:p>
        </w:tc>
        <w:tc>
          <w:tcPr>
            <w:tcW w:w="2250" w:type="dxa"/>
            <w:vMerge w:val="continue"/>
            <w:vAlign w:val="center"/>
          </w:tcPr>
          <w:p w14:paraId="2014A1A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2704" w:type="dxa"/>
            <w:vAlign w:val="center"/>
          </w:tcPr>
          <w:p w14:paraId="2B40979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Cs w:val="21"/>
                <w:highlight w:val="none"/>
                <w:lang w:eastAsia="zh-CN"/>
                <w14:textFill>
                  <w14:solidFill>
                    <w14:schemeClr w14:val="tx1"/>
                  </w14:solidFill>
                </w14:textFill>
              </w:rPr>
              <w:t>《</w:t>
            </w:r>
            <w:r>
              <w:rPr>
                <w:rFonts w:hint="default" w:ascii="Times New Roman" w:hAnsi="Times New Roman" w:cs="Times New Roman"/>
                <w:color w:val="000000" w:themeColor="text1"/>
                <w:szCs w:val="21"/>
                <w:highlight w:val="none"/>
                <w14:textFill>
                  <w14:solidFill>
                    <w14:schemeClr w14:val="tx1"/>
                  </w14:solidFill>
                </w14:textFill>
              </w:rPr>
              <w:t>恶臭污染物排放标准》（GB14554-93）</w:t>
            </w:r>
          </w:p>
        </w:tc>
      </w:tr>
      <w:tr w14:paraId="7E0152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106" w:type="dxa"/>
            <w:vMerge w:val="continue"/>
            <w:vAlign w:val="center"/>
          </w:tcPr>
          <w:p w14:paraId="1583C3E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1563" w:type="dxa"/>
            <w:vAlign w:val="center"/>
          </w:tcPr>
          <w:p w14:paraId="7EEB5D3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打磨废气</w:t>
            </w:r>
          </w:p>
          <w:p w14:paraId="5644641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（无组织）</w:t>
            </w:r>
          </w:p>
        </w:tc>
        <w:tc>
          <w:tcPr>
            <w:tcW w:w="1448" w:type="dxa"/>
            <w:vAlign w:val="center"/>
          </w:tcPr>
          <w:p w14:paraId="0C06BE4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颗粒物</w:t>
            </w:r>
          </w:p>
        </w:tc>
        <w:tc>
          <w:tcPr>
            <w:tcW w:w="2250" w:type="dxa"/>
            <w:vAlign w:val="center"/>
          </w:tcPr>
          <w:p w14:paraId="0ED7C77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color w:val="000000" w:themeColor="text1"/>
                <w:szCs w:val="21"/>
                <w14:textFill>
                  <w14:solidFill>
                    <w14:schemeClr w14:val="tx1"/>
                  </w14:solidFill>
                </w14:textFill>
              </w:rPr>
              <w:t>强化管理，加强通风</w:t>
            </w:r>
          </w:p>
        </w:tc>
        <w:tc>
          <w:tcPr>
            <w:tcW w:w="2704" w:type="dxa"/>
            <w:vMerge w:val="restart"/>
            <w:vAlign w:val="center"/>
          </w:tcPr>
          <w:p w14:paraId="44D9526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highlight w:val="none"/>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《摩托车及汽车配件制造表面涂装大气污染物排放标准》（DB 50/660-2016）中表2“其他区域”排放限值</w:t>
            </w:r>
          </w:p>
        </w:tc>
      </w:tr>
      <w:tr w14:paraId="554205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106" w:type="dxa"/>
            <w:vMerge w:val="continue"/>
            <w:vAlign w:val="center"/>
          </w:tcPr>
          <w:p w14:paraId="484A0A6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1563" w:type="dxa"/>
            <w:vAlign w:val="center"/>
          </w:tcPr>
          <w:p w14:paraId="038986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抛光废气</w:t>
            </w:r>
          </w:p>
          <w:p w14:paraId="3CE499DC">
            <w:pPr>
              <w:pStyle w:val="2"/>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（无组织）</w:t>
            </w:r>
          </w:p>
        </w:tc>
        <w:tc>
          <w:tcPr>
            <w:tcW w:w="1448" w:type="dxa"/>
            <w:vAlign w:val="center"/>
          </w:tcPr>
          <w:p w14:paraId="711E31F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非甲烷总烃</w:t>
            </w:r>
          </w:p>
        </w:tc>
        <w:tc>
          <w:tcPr>
            <w:tcW w:w="2250" w:type="dxa"/>
            <w:vAlign w:val="center"/>
          </w:tcPr>
          <w:p w14:paraId="594CC4D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color w:val="000000" w:themeColor="text1"/>
                <w:szCs w:val="21"/>
                <w14:textFill>
                  <w14:solidFill>
                    <w14:schemeClr w14:val="tx1"/>
                  </w14:solidFill>
                </w14:textFill>
              </w:rPr>
              <w:t>强化管理，加强通风</w:t>
            </w:r>
          </w:p>
        </w:tc>
        <w:tc>
          <w:tcPr>
            <w:tcW w:w="2704" w:type="dxa"/>
            <w:vMerge w:val="continue"/>
            <w:vAlign w:val="center"/>
          </w:tcPr>
          <w:p w14:paraId="7251ED0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highlight w:val="none"/>
                <w:lang w:eastAsia="zh-CN"/>
                <w14:textFill>
                  <w14:solidFill>
                    <w14:schemeClr w14:val="tx1"/>
                  </w14:solidFill>
                </w14:textFill>
              </w:rPr>
            </w:pPr>
          </w:p>
        </w:tc>
      </w:tr>
      <w:tr w14:paraId="3C647F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106" w:type="dxa"/>
            <w:vMerge w:val="continue"/>
            <w:vAlign w:val="center"/>
          </w:tcPr>
          <w:p w14:paraId="0424781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p>
        </w:tc>
        <w:tc>
          <w:tcPr>
            <w:tcW w:w="1563" w:type="dxa"/>
            <w:vAlign w:val="center"/>
          </w:tcPr>
          <w:p w14:paraId="46AFEB24">
            <w:pPr>
              <w:pStyle w:val="2"/>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除尘废气</w:t>
            </w:r>
            <w:r>
              <w:rPr>
                <w:rFonts w:hint="default" w:ascii="Times New Roman" w:hAnsi="Times New Roman" w:cs="Times New Roman"/>
                <w:color w:val="000000" w:themeColor="text1"/>
                <w:sz w:val="21"/>
                <w:szCs w:val="21"/>
                <w:lang w:val="en-US" w:eastAsia="zh-CN"/>
                <w14:textFill>
                  <w14:solidFill>
                    <w14:schemeClr w14:val="tx1"/>
                  </w14:solidFill>
                </w14:textFill>
              </w:rPr>
              <w:br w:type="textWrapping"/>
            </w:r>
            <w:r>
              <w:rPr>
                <w:rFonts w:hint="default" w:ascii="Times New Roman" w:hAnsi="Times New Roman" w:cs="Times New Roman"/>
                <w:color w:val="000000" w:themeColor="text1"/>
                <w:sz w:val="21"/>
                <w:szCs w:val="21"/>
                <w:lang w:val="en-US" w:eastAsia="zh-CN"/>
                <w14:textFill>
                  <w14:solidFill>
                    <w14:schemeClr w14:val="tx1"/>
                  </w14:solidFill>
                </w14:textFill>
              </w:rPr>
              <w:t>（无组织）</w:t>
            </w:r>
          </w:p>
        </w:tc>
        <w:tc>
          <w:tcPr>
            <w:tcW w:w="1448" w:type="dxa"/>
            <w:vAlign w:val="center"/>
          </w:tcPr>
          <w:p w14:paraId="44DB272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颗粒物</w:t>
            </w:r>
          </w:p>
        </w:tc>
        <w:tc>
          <w:tcPr>
            <w:tcW w:w="2250" w:type="dxa"/>
            <w:vAlign w:val="center"/>
          </w:tcPr>
          <w:p w14:paraId="7C561822">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除尘柜顶部设置过滤棉，过滤后无组织排放</w:t>
            </w:r>
          </w:p>
        </w:tc>
        <w:tc>
          <w:tcPr>
            <w:tcW w:w="2704" w:type="dxa"/>
            <w:vMerge w:val="continue"/>
            <w:vAlign w:val="center"/>
          </w:tcPr>
          <w:p w14:paraId="54D6E5F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Cs w:val="21"/>
                <w:highlight w:val="none"/>
                <w:lang w:eastAsia="zh-CN"/>
                <w14:textFill>
                  <w14:solidFill>
                    <w14:schemeClr w14:val="tx1"/>
                  </w14:solidFill>
                </w14:textFill>
              </w:rPr>
            </w:pPr>
          </w:p>
        </w:tc>
      </w:tr>
      <w:tr w14:paraId="175179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1106" w:type="dxa"/>
            <w:vMerge w:val="continue"/>
            <w:vAlign w:val="center"/>
          </w:tcPr>
          <w:p w14:paraId="0B3B618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563" w:type="dxa"/>
            <w:vAlign w:val="center"/>
          </w:tcPr>
          <w:p w14:paraId="7C3221D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天然气燃烧废气</w:t>
            </w:r>
            <w:r>
              <w:rPr>
                <w:rFonts w:hint="default" w:ascii="Times New Roman" w:hAnsi="Times New Roman" w:cs="Times New Roman"/>
                <w:color w:val="000000" w:themeColor="text1"/>
                <w:sz w:val="21"/>
                <w:szCs w:val="21"/>
                <w:lang w:val="en-US" w:eastAsia="zh-CN"/>
                <w14:textFill>
                  <w14:solidFill>
                    <w14:schemeClr w14:val="tx1"/>
                  </w14:solidFill>
                </w14:textFill>
              </w:rPr>
              <w:br w:type="textWrapping"/>
            </w:r>
            <w:r>
              <w:rPr>
                <w:rFonts w:hint="default" w:ascii="Times New Roman" w:hAnsi="Times New Roman" w:cs="Times New Roman"/>
                <w:color w:val="000000" w:themeColor="text1"/>
                <w:sz w:val="21"/>
                <w:szCs w:val="21"/>
                <w:lang w:val="en-US" w:eastAsia="zh-CN"/>
                <w14:textFill>
                  <w14:solidFill>
                    <w14:schemeClr w14:val="tx1"/>
                  </w14:solidFill>
                </w14:textFill>
              </w:rPr>
              <w:t>（DA002）</w:t>
            </w:r>
          </w:p>
        </w:tc>
        <w:tc>
          <w:tcPr>
            <w:tcW w:w="1448" w:type="dxa"/>
            <w:vAlign w:val="center"/>
          </w:tcPr>
          <w:p w14:paraId="7DCA387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eastAsia="zh-CN"/>
                <w14:textFill>
                  <w14:solidFill>
                    <w14:schemeClr w14:val="tx1"/>
                  </w14:solidFill>
                </w14:textFill>
              </w:rPr>
              <w:t>SO</w:t>
            </w:r>
            <w:r>
              <w:rPr>
                <w:rFonts w:hint="default" w:ascii="Times New Roman" w:hAnsi="Times New Roman" w:cs="Times New Roman"/>
                <w:color w:val="000000" w:themeColor="text1"/>
                <w:szCs w:val="21"/>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Cs w:val="21"/>
                <w:highlight w:val="none"/>
                <w:lang w:val="en-US" w:eastAsia="zh-CN"/>
                <w14:textFill>
                  <w14:solidFill>
                    <w14:schemeClr w14:val="tx1"/>
                  </w14:solidFill>
                </w14:textFill>
              </w:rPr>
              <w:t>、NO</w:t>
            </w:r>
            <w:r>
              <w:rPr>
                <w:rFonts w:hint="default" w:ascii="Times New Roman" w:hAnsi="Times New Roman" w:cs="Times New Roman"/>
                <w:color w:val="000000" w:themeColor="text1"/>
                <w:szCs w:val="21"/>
                <w:highlight w:val="none"/>
                <w:vertAlign w:val="subscript"/>
                <w:lang w:val="en-US" w:eastAsia="zh-CN"/>
                <w14:textFill>
                  <w14:solidFill>
                    <w14:schemeClr w14:val="tx1"/>
                  </w14:solidFill>
                </w14:textFill>
              </w:rPr>
              <w:t>X</w:t>
            </w:r>
            <w:r>
              <w:rPr>
                <w:rFonts w:hint="default" w:ascii="Times New Roman" w:hAnsi="Times New Roman" w:cs="Times New Roman"/>
                <w:color w:val="000000" w:themeColor="text1"/>
                <w:szCs w:val="21"/>
                <w:highlight w:val="none"/>
                <w:lang w:val="en-US" w:eastAsia="zh-CN"/>
                <w14:textFill>
                  <w14:solidFill>
                    <w14:schemeClr w14:val="tx1"/>
                  </w14:solidFill>
                </w14:textFill>
              </w:rPr>
              <w:t>、颗粒物、烟气黑度</w:t>
            </w:r>
          </w:p>
        </w:tc>
        <w:tc>
          <w:tcPr>
            <w:tcW w:w="2250" w:type="dxa"/>
            <w:vAlign w:val="center"/>
          </w:tcPr>
          <w:p w14:paraId="51D6E98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采用低氮燃烧技术，废气</w:t>
            </w:r>
            <w:r>
              <w:rPr>
                <w:rFonts w:hint="default" w:ascii="Times New Roman" w:hAnsi="Times New Roman" w:cs="Times New Roman"/>
                <w:color w:val="000000" w:themeColor="text1"/>
                <w:sz w:val="21"/>
                <w:szCs w:val="21"/>
                <w:highlight w:val="none"/>
                <w14:textFill>
                  <w14:solidFill>
                    <w14:schemeClr w14:val="tx1"/>
                  </w14:solidFill>
                </w14:textFill>
              </w:rPr>
              <w:t>通过1根15m高排气筒（</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DA002</w:t>
            </w:r>
            <w:r>
              <w:rPr>
                <w:rFonts w:hint="default" w:ascii="Times New Roman" w:hAnsi="Times New Roman" w:cs="Times New Roman"/>
                <w:color w:val="000000" w:themeColor="text1"/>
                <w:sz w:val="21"/>
                <w:szCs w:val="21"/>
                <w:highlight w:val="none"/>
                <w14:textFill>
                  <w14:solidFill>
                    <w14:schemeClr w14:val="tx1"/>
                  </w14:solidFill>
                </w14:textFill>
              </w:rPr>
              <w:t>）有组织排放</w:t>
            </w:r>
          </w:p>
        </w:tc>
        <w:tc>
          <w:tcPr>
            <w:tcW w:w="2704" w:type="dxa"/>
            <w:vAlign w:val="center"/>
          </w:tcPr>
          <w:p w14:paraId="35B47E1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《工业炉窑大气污染物排放标准》（DB 50/659-2016）</w:t>
            </w:r>
          </w:p>
        </w:tc>
      </w:tr>
      <w:tr w14:paraId="516F8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106" w:type="dxa"/>
            <w:vMerge w:val="continue"/>
            <w:vAlign w:val="center"/>
          </w:tcPr>
          <w:p w14:paraId="7D550B8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p>
        </w:tc>
        <w:tc>
          <w:tcPr>
            <w:tcW w:w="1563" w:type="dxa"/>
            <w:vMerge w:val="restart"/>
            <w:vAlign w:val="center"/>
          </w:tcPr>
          <w:p w14:paraId="29EF4D9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无组织废气</w:t>
            </w:r>
          </w:p>
        </w:tc>
        <w:tc>
          <w:tcPr>
            <w:tcW w:w="1448" w:type="dxa"/>
            <w:vAlign w:val="center"/>
          </w:tcPr>
          <w:p w14:paraId="5462D8C8">
            <w:pPr>
              <w:keepNext w:val="0"/>
              <w:keepLines w:val="0"/>
              <w:suppressLineNumbers w:val="0"/>
              <w:spacing w:before="0" w:beforeAutospacing="0" w:after="0" w:afterAutospacing="0" w:line="320" w:lineRule="exact"/>
              <w:ind w:left="0" w:right="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非甲烷总烃</w:t>
            </w:r>
          </w:p>
        </w:tc>
        <w:tc>
          <w:tcPr>
            <w:tcW w:w="2250" w:type="dxa"/>
            <w:vMerge w:val="restart"/>
            <w:vAlign w:val="center"/>
          </w:tcPr>
          <w:p w14:paraId="0DCD7824">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强化管理，加强通风</w:t>
            </w:r>
          </w:p>
        </w:tc>
        <w:tc>
          <w:tcPr>
            <w:tcW w:w="2704" w:type="dxa"/>
            <w:vAlign w:val="center"/>
          </w:tcPr>
          <w:p w14:paraId="1472DE39">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eastAsiaTheme="minorEastAsia"/>
                <w:bCs/>
                <w:color w:val="000000" w:themeColor="text1"/>
                <w:kern w:val="0"/>
                <w:sz w:val="21"/>
                <w:szCs w:val="21"/>
                <w:lang w:eastAsia="zh-CN"/>
                <w14:textFill>
                  <w14:solidFill>
                    <w14:schemeClr w14:val="tx1"/>
                  </w14:solidFill>
                </w14:textFill>
              </w:rPr>
            </w:pPr>
            <w:r>
              <w:rPr>
                <w:rFonts w:hint="default" w:ascii="Times New Roman" w:hAnsi="Times New Roman" w:cs="Times New Roman" w:eastAsiaTheme="minorEastAsia"/>
                <w:bCs/>
                <w:color w:val="000000" w:themeColor="text1"/>
                <w:kern w:val="0"/>
                <w:sz w:val="21"/>
                <w:szCs w:val="21"/>
                <w:lang w:eastAsia="zh-CN"/>
                <w14:textFill>
                  <w14:solidFill>
                    <w14:schemeClr w14:val="tx1"/>
                  </w14:solidFill>
                </w14:textFill>
              </w:rPr>
              <w:t>《摩托车及汽车配件制造表面涂装大气污染物排放标准》（DB 50/660-2016）中表3排放限值</w:t>
            </w:r>
          </w:p>
        </w:tc>
      </w:tr>
      <w:tr w14:paraId="22BF0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106" w:type="dxa"/>
            <w:vMerge w:val="continue"/>
            <w:vAlign w:val="center"/>
          </w:tcPr>
          <w:p w14:paraId="3BA64C1C">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themeColor="text1"/>
                <w14:textFill>
                  <w14:solidFill>
                    <w14:schemeClr w14:val="tx1"/>
                  </w14:solidFill>
                </w14:textFill>
              </w:rPr>
            </w:pPr>
          </w:p>
        </w:tc>
        <w:tc>
          <w:tcPr>
            <w:tcW w:w="1563" w:type="dxa"/>
            <w:vMerge w:val="continue"/>
            <w:vAlign w:val="center"/>
          </w:tcPr>
          <w:p w14:paraId="3D4F8807">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themeColor="text1"/>
                <w14:textFill>
                  <w14:solidFill>
                    <w14:schemeClr w14:val="tx1"/>
                  </w14:solidFill>
                </w14:textFill>
              </w:rPr>
            </w:pPr>
          </w:p>
        </w:tc>
        <w:tc>
          <w:tcPr>
            <w:tcW w:w="1448" w:type="dxa"/>
            <w:vAlign w:val="center"/>
          </w:tcPr>
          <w:p w14:paraId="074B962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颗粒物</w:t>
            </w:r>
          </w:p>
        </w:tc>
        <w:tc>
          <w:tcPr>
            <w:tcW w:w="2250" w:type="dxa"/>
            <w:vMerge w:val="continue"/>
            <w:vAlign w:val="center"/>
          </w:tcPr>
          <w:p w14:paraId="129374D5">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themeColor="text1"/>
                <w14:textFill>
                  <w14:solidFill>
                    <w14:schemeClr w14:val="tx1"/>
                  </w14:solidFill>
                </w14:textFill>
              </w:rPr>
            </w:pPr>
          </w:p>
        </w:tc>
        <w:tc>
          <w:tcPr>
            <w:tcW w:w="2704" w:type="dxa"/>
            <w:vAlign w:val="center"/>
          </w:tcPr>
          <w:p w14:paraId="04334361">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《大气污染物综合排放标准》（DB50/418-2016）</w:t>
            </w:r>
          </w:p>
        </w:tc>
      </w:tr>
      <w:tr w14:paraId="5A5473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106" w:type="dxa"/>
            <w:vMerge w:val="continue"/>
            <w:vAlign w:val="center"/>
          </w:tcPr>
          <w:p w14:paraId="354BB141">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themeColor="text1"/>
                <w14:textFill>
                  <w14:solidFill>
                    <w14:schemeClr w14:val="tx1"/>
                  </w14:solidFill>
                </w14:textFill>
              </w:rPr>
            </w:pPr>
          </w:p>
        </w:tc>
        <w:tc>
          <w:tcPr>
            <w:tcW w:w="1563" w:type="dxa"/>
            <w:vMerge w:val="continue"/>
            <w:vAlign w:val="center"/>
          </w:tcPr>
          <w:p w14:paraId="45EF3EE1">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themeColor="text1"/>
                <w14:textFill>
                  <w14:solidFill>
                    <w14:schemeClr w14:val="tx1"/>
                  </w14:solidFill>
                </w14:textFill>
              </w:rPr>
            </w:pPr>
          </w:p>
        </w:tc>
        <w:tc>
          <w:tcPr>
            <w:tcW w:w="1448" w:type="dxa"/>
            <w:vAlign w:val="center"/>
          </w:tcPr>
          <w:p w14:paraId="7B27B9C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臭气浓度</w:t>
            </w:r>
          </w:p>
        </w:tc>
        <w:tc>
          <w:tcPr>
            <w:tcW w:w="2250" w:type="dxa"/>
            <w:vMerge w:val="continue"/>
            <w:vAlign w:val="center"/>
          </w:tcPr>
          <w:p w14:paraId="14EDEF99">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themeColor="text1"/>
                <w14:textFill>
                  <w14:solidFill>
                    <w14:schemeClr w14:val="tx1"/>
                  </w14:solidFill>
                </w14:textFill>
              </w:rPr>
            </w:pPr>
          </w:p>
        </w:tc>
        <w:tc>
          <w:tcPr>
            <w:tcW w:w="2704" w:type="dxa"/>
            <w:vAlign w:val="center"/>
          </w:tcPr>
          <w:p w14:paraId="0D917367">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eastAsia="zh-CN"/>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恶臭污染物排放标准》（GB14554-93）</w:t>
            </w:r>
          </w:p>
        </w:tc>
      </w:tr>
      <w:tr w14:paraId="4A6834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106" w:type="dxa"/>
            <w:vMerge w:val="continue"/>
            <w:vAlign w:val="center"/>
          </w:tcPr>
          <w:p w14:paraId="77A14AE0">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themeColor="text1"/>
                <w14:textFill>
                  <w14:solidFill>
                    <w14:schemeClr w14:val="tx1"/>
                  </w14:solidFill>
                </w14:textFill>
              </w:rPr>
            </w:pPr>
          </w:p>
        </w:tc>
        <w:tc>
          <w:tcPr>
            <w:tcW w:w="1563" w:type="dxa"/>
            <w:vAlign w:val="center"/>
          </w:tcPr>
          <w:p w14:paraId="7B579623">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厂房外</w:t>
            </w:r>
          </w:p>
        </w:tc>
        <w:tc>
          <w:tcPr>
            <w:tcW w:w="1448" w:type="dxa"/>
            <w:vAlign w:val="center"/>
          </w:tcPr>
          <w:p w14:paraId="1C209A0F">
            <w:pPr>
              <w:adjustRightInd w:val="0"/>
              <w:snapToGrid w:val="0"/>
              <w:jc w:val="center"/>
              <w:rPr>
                <w:rFonts w:hint="default"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非甲烷总烃</w:t>
            </w:r>
          </w:p>
        </w:tc>
        <w:tc>
          <w:tcPr>
            <w:tcW w:w="2250" w:type="dxa"/>
            <w:vAlign w:val="center"/>
          </w:tcPr>
          <w:p w14:paraId="559E1B97">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highlight w:val="none"/>
                <w14:textFill>
                  <w14:solidFill>
                    <w14:schemeClr w14:val="tx1"/>
                  </w14:solidFill>
                </w14:textFill>
              </w:rPr>
              <w:t>/</w:t>
            </w:r>
          </w:p>
        </w:tc>
        <w:tc>
          <w:tcPr>
            <w:tcW w:w="2704" w:type="dxa"/>
            <w:vAlign w:val="center"/>
          </w:tcPr>
          <w:p w14:paraId="2108CF7D">
            <w:pPr>
              <w:adjustRightInd w:val="0"/>
              <w:snapToGrid w:val="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kern w:val="0"/>
                <w:szCs w:val="21"/>
                <w:highlight w:val="none"/>
                <w14:textFill>
                  <w14:solidFill>
                    <w14:schemeClr w14:val="tx1"/>
                  </w14:solidFill>
                </w14:textFill>
              </w:rPr>
              <w:t>《挥发性有机物无组织排放控制标准》（GB37822-2019）表A.1厂区内VOCs无组织排放限值（特别排放限值）</w:t>
            </w:r>
          </w:p>
        </w:tc>
      </w:tr>
      <w:tr w14:paraId="4AB3A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6" w:type="dxa"/>
            <w:vAlign w:val="center"/>
          </w:tcPr>
          <w:p w14:paraId="5C79FF1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w:t>
            </w:r>
          </w:p>
        </w:tc>
        <w:tc>
          <w:tcPr>
            <w:tcW w:w="1563" w:type="dxa"/>
            <w:vAlign w:val="center"/>
          </w:tcPr>
          <w:p w14:paraId="274AC5B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生化池排放口</w:t>
            </w:r>
          </w:p>
        </w:tc>
        <w:tc>
          <w:tcPr>
            <w:tcW w:w="1448" w:type="dxa"/>
            <w:vAlign w:val="center"/>
          </w:tcPr>
          <w:p w14:paraId="15E258DD">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BOD</w:t>
            </w:r>
            <w:r>
              <w:rPr>
                <w:rFonts w:hint="default" w:ascii="Times New Roman" w:hAnsi="Times New Roman" w:cs="Times New Roman"/>
                <w:color w:val="000000" w:themeColor="text1"/>
                <w:sz w:val="21"/>
                <w:szCs w:val="21"/>
                <w:vertAlign w:val="subscript"/>
                <w14:textFill>
                  <w14:solidFill>
                    <w14:schemeClr w14:val="tx1"/>
                  </w14:solidFill>
                </w14:textFill>
              </w:rPr>
              <w:t>5</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SS</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总磷</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石油类</w:t>
            </w:r>
          </w:p>
        </w:tc>
        <w:tc>
          <w:tcPr>
            <w:tcW w:w="2250" w:type="dxa"/>
            <w:vAlign w:val="center"/>
          </w:tcPr>
          <w:p w14:paraId="354E9756">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洗枪废水回用于调漆；洗手废水经油水分离器预处理后；水帘湿式漆雾净化废水经</w:t>
            </w:r>
            <w:r>
              <w:rPr>
                <w:rFonts w:hint="eastAsia" w:cs="Times New Roman"/>
                <w:color w:val="000000" w:themeColor="text1"/>
                <w:sz w:val="21"/>
                <w:szCs w:val="21"/>
                <w:lang w:val="en-US" w:eastAsia="zh-CN"/>
                <w14:textFill>
                  <w14:solidFill>
                    <w14:schemeClr w14:val="tx1"/>
                  </w14:solidFill>
                </w14:textFill>
              </w:rPr>
              <w:t>一体化生产废水处理站</w:t>
            </w:r>
            <w:r>
              <w:rPr>
                <w:rFonts w:hint="default" w:ascii="Times New Roman" w:hAnsi="Times New Roman" w:cs="Times New Roman"/>
                <w:color w:val="000000" w:themeColor="text1"/>
                <w:sz w:val="21"/>
                <w:szCs w:val="21"/>
                <w:lang w:val="en-US" w:eastAsia="zh-CN"/>
                <w14:textFill>
                  <w14:solidFill>
                    <w14:schemeClr w14:val="tx1"/>
                  </w14:solidFill>
                </w14:textFill>
              </w:rPr>
              <w:t>预处理；生活污水、</w:t>
            </w:r>
            <w:r>
              <w:rPr>
                <w:rFonts w:hint="eastAsia" w:cs="Times New Roman"/>
                <w:color w:val="000000" w:themeColor="text1"/>
                <w:sz w:val="21"/>
                <w:szCs w:val="21"/>
                <w:lang w:val="en-US" w:eastAsia="zh-CN"/>
                <w14:textFill>
                  <w14:solidFill>
                    <w14:schemeClr w14:val="tx1"/>
                  </w14:solidFill>
                </w14:textFill>
              </w:rPr>
              <w:t>洗手废水</w:t>
            </w:r>
            <w:r>
              <w:rPr>
                <w:rFonts w:hint="default" w:ascii="Times New Roman" w:hAnsi="Times New Roman" w:cs="Times New Roman"/>
                <w:color w:val="000000" w:themeColor="text1"/>
                <w:sz w:val="21"/>
                <w:szCs w:val="21"/>
                <w:lang w:val="en-US" w:eastAsia="zh-CN"/>
                <w14:textFill>
                  <w14:solidFill>
                    <w14:schemeClr w14:val="tx1"/>
                  </w14:solidFill>
                </w14:textFill>
              </w:rPr>
              <w:t>与</w:t>
            </w:r>
            <w:r>
              <w:rPr>
                <w:rFonts w:hint="eastAsia" w:cs="Times New Roman"/>
                <w:color w:val="000000" w:themeColor="text1"/>
                <w:sz w:val="21"/>
                <w:szCs w:val="21"/>
                <w:lang w:val="en-US" w:eastAsia="zh-CN"/>
                <w14:textFill>
                  <w14:solidFill>
                    <w14:schemeClr w14:val="tx1"/>
                  </w14:solidFill>
                </w14:textFill>
              </w:rPr>
              <w:t>一体化生产废水处理站</w:t>
            </w:r>
            <w:r>
              <w:rPr>
                <w:rFonts w:hint="default" w:ascii="Times New Roman" w:hAnsi="Times New Roman" w:cs="Times New Roman"/>
                <w:color w:val="000000" w:themeColor="text1"/>
                <w:sz w:val="21"/>
                <w:szCs w:val="21"/>
                <w:lang w:val="en-US" w:eastAsia="zh-CN"/>
                <w14:textFill>
                  <w14:solidFill>
                    <w14:schemeClr w14:val="tx1"/>
                  </w14:solidFill>
                </w14:textFill>
              </w:rPr>
              <w:t>废水一并经生化池处理</w:t>
            </w:r>
          </w:p>
        </w:tc>
        <w:tc>
          <w:tcPr>
            <w:tcW w:w="2704" w:type="dxa"/>
            <w:vAlign w:val="center"/>
          </w:tcPr>
          <w:p w14:paraId="3DE20854">
            <w:pPr>
              <w:pStyle w:val="4"/>
              <w:keepNext w:val="0"/>
              <w:keepLines w:val="0"/>
              <w:suppressLineNumbers w:val="0"/>
              <w:snapToGrid w:val="0"/>
              <w:spacing w:before="0" w:beforeAutospacing="0" w:after="0" w:afterAutospacing="0" w:line="240" w:lineRule="auto"/>
              <w:ind w:left="0" w:leftChars="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《污水综合排放标准》（GB8978-1996）三级标准</w:t>
            </w:r>
          </w:p>
        </w:tc>
      </w:tr>
      <w:tr w14:paraId="54B378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106" w:type="dxa"/>
            <w:vAlign w:val="center"/>
          </w:tcPr>
          <w:p w14:paraId="724FE1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声环境</w:t>
            </w:r>
          </w:p>
        </w:tc>
        <w:tc>
          <w:tcPr>
            <w:tcW w:w="1563" w:type="dxa"/>
            <w:vAlign w:val="center"/>
          </w:tcPr>
          <w:p w14:paraId="4AD0557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生产设备</w:t>
            </w:r>
          </w:p>
        </w:tc>
        <w:tc>
          <w:tcPr>
            <w:tcW w:w="1448" w:type="dxa"/>
            <w:vAlign w:val="center"/>
          </w:tcPr>
          <w:p w14:paraId="3FA99DA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等效A声级</w:t>
            </w:r>
          </w:p>
        </w:tc>
        <w:tc>
          <w:tcPr>
            <w:tcW w:w="2250" w:type="dxa"/>
            <w:vAlign w:val="center"/>
          </w:tcPr>
          <w:p w14:paraId="5151164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选用低噪声设备、</w:t>
            </w:r>
            <w:r>
              <w:rPr>
                <w:rFonts w:hint="default" w:ascii="Times New Roman" w:hAnsi="Times New Roman" w:cs="Times New Roman"/>
                <w:color w:val="000000" w:themeColor="text1"/>
                <w:sz w:val="21"/>
                <w:szCs w:val="21"/>
                <w14:textFill>
                  <w14:solidFill>
                    <w14:schemeClr w14:val="tx1"/>
                  </w14:solidFill>
                </w14:textFill>
              </w:rPr>
              <w:t>在设备基座与基础之间设橡胶隔振垫、厂房隔声等</w:t>
            </w:r>
          </w:p>
        </w:tc>
        <w:tc>
          <w:tcPr>
            <w:tcW w:w="2704" w:type="dxa"/>
            <w:vAlign w:val="center"/>
          </w:tcPr>
          <w:p w14:paraId="7FB6D7C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《工业企业厂界环境噪声排放标准》（GB12348-2008）3类标准</w:t>
            </w:r>
          </w:p>
        </w:tc>
      </w:tr>
      <w:tr w14:paraId="6ECF9F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6" w:type="dxa"/>
            <w:vAlign w:val="center"/>
          </w:tcPr>
          <w:p w14:paraId="57663B2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电磁辐射</w:t>
            </w:r>
          </w:p>
        </w:tc>
        <w:tc>
          <w:tcPr>
            <w:tcW w:w="1563" w:type="dxa"/>
            <w:vAlign w:val="center"/>
          </w:tcPr>
          <w:p w14:paraId="7E863E3D">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448" w:type="dxa"/>
            <w:vAlign w:val="center"/>
          </w:tcPr>
          <w:p w14:paraId="6A9D099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250" w:type="dxa"/>
            <w:vAlign w:val="center"/>
          </w:tcPr>
          <w:p w14:paraId="79CEE83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2704" w:type="dxa"/>
            <w:vAlign w:val="center"/>
          </w:tcPr>
          <w:p w14:paraId="2A7D774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66EED6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1106" w:type="dxa"/>
            <w:vAlign w:val="center"/>
          </w:tcPr>
          <w:p w14:paraId="539CABF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固体废物</w:t>
            </w:r>
          </w:p>
        </w:tc>
        <w:tc>
          <w:tcPr>
            <w:tcW w:w="7965" w:type="dxa"/>
            <w:gridSpan w:val="4"/>
            <w:vAlign w:val="center"/>
          </w:tcPr>
          <w:p w14:paraId="6F75869E">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一般固废：</w:t>
            </w:r>
            <w:r>
              <w:rPr>
                <w:rFonts w:hint="default" w:ascii="Times New Roman" w:hAnsi="Times New Roman" w:cs="Times New Roman"/>
                <w:color w:val="000000" w:themeColor="text1"/>
                <w:sz w:val="21"/>
                <w:szCs w:val="21"/>
                <w14:textFill>
                  <w14:solidFill>
                    <w14:schemeClr w14:val="tx1"/>
                  </w14:solidFill>
                </w14:textFill>
              </w:rPr>
              <w:t>设一般工业固废暂存</w:t>
            </w:r>
            <w:r>
              <w:rPr>
                <w:rFonts w:hint="default" w:ascii="Times New Roman" w:hAnsi="Times New Roman" w:cs="Times New Roman"/>
                <w:color w:val="000000" w:themeColor="text1"/>
                <w:sz w:val="21"/>
                <w:szCs w:val="21"/>
                <w:lang w:val="en-US" w:eastAsia="zh-CN"/>
                <w14:textFill>
                  <w14:solidFill>
                    <w14:schemeClr w14:val="tx1"/>
                  </w14:solidFill>
                </w14:textFill>
              </w:rPr>
              <w:t>间</w:t>
            </w:r>
            <w:r>
              <w:rPr>
                <w:rFonts w:hint="default"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val="en-US" w:eastAsia="zh-CN"/>
                <w14:textFill>
                  <w14:solidFill>
                    <w14:schemeClr w14:val="tx1"/>
                  </w14:solidFill>
                </w14:textFill>
              </w:rPr>
              <w:t>个</w:t>
            </w:r>
            <w:r>
              <w:rPr>
                <w:rFonts w:hint="default" w:ascii="Times New Roman" w:hAnsi="Times New Roman" w:cs="Times New Roman"/>
                <w:color w:val="000000" w:themeColor="text1"/>
                <w:sz w:val="21"/>
                <w:szCs w:val="21"/>
                <w14:textFill>
                  <w14:solidFill>
                    <w14:schemeClr w14:val="tx1"/>
                  </w14:solidFill>
                </w14:textFill>
              </w:rPr>
              <w:t>，做一般防渗、防流失处理，并张贴相应标识牌，主要用于暂存废边角料等。</w:t>
            </w:r>
          </w:p>
          <w:p w14:paraId="3BCC0104">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snapToGrid w:val="0"/>
                <w:color w:val="000000" w:themeColor="text1"/>
                <w:kern w:val="0"/>
                <w:sz w:val="21"/>
                <w:szCs w:val="21"/>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危险废物：</w:t>
            </w:r>
            <w:r>
              <w:rPr>
                <w:rFonts w:hint="default" w:ascii="Times New Roman" w:hAnsi="Times New Roman" w:cs="Times New Roman"/>
                <w:color w:val="000000" w:themeColor="text1"/>
                <w:sz w:val="21"/>
                <w:szCs w:val="21"/>
                <w14:textFill>
                  <w14:solidFill>
                    <w14:schemeClr w14:val="tx1"/>
                  </w14:solidFill>
                </w14:textFill>
              </w:rPr>
              <w:t>设危险废物贮存</w:t>
            </w:r>
            <w:r>
              <w:rPr>
                <w:rFonts w:hint="eastAsia" w:ascii="Times New Roman" w:hAnsi="Times New Roman" w:cs="Times New Roman"/>
                <w:color w:val="000000" w:themeColor="text1"/>
                <w:sz w:val="21"/>
                <w:szCs w:val="21"/>
                <w:lang w:val="en-US" w:eastAsia="zh-CN"/>
                <w14:textFill>
                  <w14:solidFill>
                    <w14:schemeClr w14:val="tx1"/>
                  </w14:solidFill>
                </w14:textFill>
              </w:rPr>
              <w:t>库</w:t>
            </w: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个</w:t>
            </w:r>
            <w:r>
              <w:rPr>
                <w:rFonts w:hint="default" w:ascii="Times New Roman" w:hAnsi="Times New Roman" w:cs="Times New Roman"/>
                <w:color w:val="000000" w:themeColor="text1"/>
                <w:sz w:val="21"/>
                <w:szCs w:val="21"/>
                <w14:textFill>
                  <w14:solidFill>
                    <w14:schemeClr w14:val="tx1"/>
                  </w14:solidFill>
                </w14:textFill>
              </w:rPr>
              <w:t>，用于暂存危险废物，设“六防”措施，设置托盘、张贴相应标识标牌和台账，危险废物）分类收集后，定期交有资质的单位处理。</w:t>
            </w:r>
          </w:p>
          <w:p w14:paraId="54D42BFC">
            <w:pPr>
              <w:keepNext w:val="0"/>
              <w:keepLines w:val="0"/>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snapToGrid w:val="0"/>
                <w:color w:val="000000" w:themeColor="text1"/>
                <w:kern w:val="0"/>
                <w:sz w:val="21"/>
                <w:szCs w:val="21"/>
                <w14:textFill>
                  <w14:solidFill>
                    <w14:schemeClr w14:val="tx1"/>
                  </w14:solidFill>
                </w14:textFill>
              </w:rPr>
              <w:t>生活垃圾：</w:t>
            </w:r>
            <w:r>
              <w:rPr>
                <w:rFonts w:hint="default" w:ascii="Times New Roman" w:hAnsi="Times New Roman" w:cs="Times New Roman"/>
                <w:color w:val="000000" w:themeColor="text1"/>
                <w:kern w:val="0"/>
                <w:sz w:val="21"/>
                <w:szCs w:val="21"/>
                <w14:textFill>
                  <w14:solidFill>
                    <w14:schemeClr w14:val="tx1"/>
                  </w14:solidFill>
                </w14:textFill>
              </w:rPr>
              <w:t>定期交由环卫部门清运处理。</w:t>
            </w:r>
          </w:p>
        </w:tc>
      </w:tr>
      <w:tr w14:paraId="3EDFB7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06" w:type="dxa"/>
            <w:vAlign w:val="center"/>
          </w:tcPr>
          <w:p w14:paraId="44DA766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土壤及地下水</w:t>
            </w:r>
          </w:p>
          <w:p w14:paraId="5196D56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污染防治措施</w:t>
            </w:r>
          </w:p>
        </w:tc>
        <w:tc>
          <w:tcPr>
            <w:tcW w:w="7965" w:type="dxa"/>
            <w:gridSpan w:val="4"/>
            <w:vAlign w:val="center"/>
          </w:tcPr>
          <w:p w14:paraId="001400A8">
            <w:pPr>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重点防渗区：</w:t>
            </w:r>
            <w:r>
              <w:rPr>
                <w:rFonts w:hint="default" w:ascii="Times New Roman" w:hAnsi="Times New Roman" w:cs="Times New Roman" w:eastAsiaTheme="minorEastAsia"/>
                <w:color w:val="000000" w:themeColor="text1"/>
                <w:sz w:val="21"/>
                <w:szCs w:val="21"/>
                <w14:textFill>
                  <w14:solidFill>
                    <w14:schemeClr w14:val="tx1"/>
                  </w14:solidFill>
                </w14:textFill>
              </w:rPr>
              <w:t>危废贮存库、水性漆库房、喷涂区、备漆间、</w:t>
            </w:r>
            <w:r>
              <w:rPr>
                <w:rFonts w:hint="eastAsia" w:cs="Times New Roman" w:eastAsiaTheme="minorEastAsia"/>
                <w:color w:val="000000" w:themeColor="text1"/>
                <w:sz w:val="21"/>
                <w:szCs w:val="21"/>
                <w:lang w:eastAsia="zh-CN"/>
                <w14:textFill>
                  <w14:solidFill>
                    <w14:schemeClr w14:val="tx1"/>
                  </w14:solidFill>
                </w14:textFill>
              </w:rPr>
              <w:t>一体化生产废水处理站</w:t>
            </w:r>
            <w:r>
              <w:rPr>
                <w:rFonts w:hint="default" w:ascii="Times New Roman" w:hAnsi="Times New Roman" w:cs="Times New Roman" w:eastAsiaTheme="minorEastAsia"/>
                <w:color w:val="000000" w:themeColor="text1"/>
                <w:sz w:val="21"/>
                <w:szCs w:val="21"/>
                <w14:textFill>
                  <w14:solidFill>
                    <w14:schemeClr w14:val="tx1"/>
                  </w14:solidFill>
                </w14:textFill>
              </w:rPr>
              <w:t>、空压机区域</w:t>
            </w:r>
            <w:r>
              <w:rPr>
                <w:rFonts w:hint="default" w:ascii="Times New Roman" w:hAnsi="Times New Roman" w:cs="Times New Roman"/>
                <w:bCs/>
                <w:color w:val="000000" w:themeColor="text1"/>
                <w:sz w:val="21"/>
                <w:szCs w:val="21"/>
                <w14:textFill>
                  <w14:solidFill>
                    <w14:schemeClr w14:val="tx1"/>
                  </w14:solidFill>
                </w14:textFill>
              </w:rPr>
              <w:t>需满足《环境影响评价技术导则 地下水环境》（HJ610-2016）中等效黏土防渗层厚度Mb≥6.0m，渗透系数K≤1×10</w:t>
            </w:r>
            <w:r>
              <w:rPr>
                <w:rFonts w:hint="default" w:ascii="Times New Roman" w:hAnsi="Times New Roman" w:cs="Times New Roman"/>
                <w:bCs/>
                <w:color w:val="000000" w:themeColor="text1"/>
                <w:sz w:val="21"/>
                <w:szCs w:val="21"/>
                <w:vertAlign w:val="superscript"/>
                <w14:textFill>
                  <w14:solidFill>
                    <w14:schemeClr w14:val="tx1"/>
                  </w14:solidFill>
                </w14:textFill>
              </w:rPr>
              <w:t>-7</w:t>
            </w:r>
            <w:r>
              <w:rPr>
                <w:rFonts w:hint="default" w:ascii="Times New Roman" w:hAnsi="Times New Roman" w:cs="Times New Roman"/>
                <w:bCs/>
                <w:color w:val="000000" w:themeColor="text1"/>
                <w:sz w:val="21"/>
                <w:szCs w:val="21"/>
                <w14:textFill>
                  <w14:solidFill>
                    <w14:schemeClr w14:val="tx1"/>
                  </w14:solidFill>
                </w14:textFill>
              </w:rPr>
              <w:t>cm/s的要求，或者采用2mm厚高密度聚乙烯，或者至少2mm厚其他人工材料，渗透系数≤1.0×10</w:t>
            </w:r>
            <w:r>
              <w:rPr>
                <w:rFonts w:hint="default" w:ascii="Times New Roman" w:hAnsi="Times New Roman" w:cs="Times New Roman"/>
                <w:bCs/>
                <w:color w:val="000000" w:themeColor="text1"/>
                <w:sz w:val="21"/>
                <w:szCs w:val="21"/>
                <w:vertAlign w:val="superscript"/>
                <w14:textFill>
                  <w14:solidFill>
                    <w14:schemeClr w14:val="tx1"/>
                  </w14:solidFill>
                </w14:textFill>
              </w:rPr>
              <w:t>-10</w:t>
            </w:r>
            <w:r>
              <w:rPr>
                <w:rFonts w:hint="default" w:ascii="Times New Roman" w:hAnsi="Times New Roman" w:cs="Times New Roman"/>
                <w:bCs/>
                <w:color w:val="000000" w:themeColor="text1"/>
                <w:sz w:val="21"/>
                <w:szCs w:val="21"/>
                <w14:textFill>
                  <w14:solidFill>
                    <w14:schemeClr w14:val="tx1"/>
                  </w14:solidFill>
                </w14:textFill>
              </w:rPr>
              <w:t>cm/s；危废贮存</w:t>
            </w:r>
            <w:r>
              <w:rPr>
                <w:rFonts w:hint="default" w:ascii="Times New Roman" w:hAnsi="Times New Roman" w:cs="Times New Roman"/>
                <w:bCs/>
                <w:color w:val="000000" w:themeColor="text1"/>
                <w:sz w:val="21"/>
                <w:szCs w:val="21"/>
                <w:lang w:val="en-US" w:eastAsia="zh-CN"/>
                <w14:textFill>
                  <w14:solidFill>
                    <w14:schemeClr w14:val="tx1"/>
                  </w14:solidFill>
                </w14:textFill>
              </w:rPr>
              <w:t>点</w:t>
            </w:r>
            <w:r>
              <w:rPr>
                <w:rFonts w:hint="default" w:ascii="Times New Roman" w:hAnsi="Times New Roman" w:cs="Times New Roman"/>
                <w:bCs/>
                <w:color w:val="000000" w:themeColor="text1"/>
                <w:sz w:val="21"/>
                <w:szCs w:val="21"/>
                <w14:textFill>
                  <w14:solidFill>
                    <w14:schemeClr w14:val="tx1"/>
                  </w14:solidFill>
                </w14:textFill>
              </w:rPr>
              <w:t>严格</w:t>
            </w:r>
            <w:r>
              <w:rPr>
                <w:rFonts w:hint="default" w:ascii="Times New Roman" w:hAnsi="Times New Roman" w:cs="Times New Roman"/>
                <w:color w:val="000000" w:themeColor="text1"/>
                <w:kern w:val="0"/>
                <w:sz w:val="21"/>
                <w:szCs w:val="21"/>
                <w14:textFill>
                  <w14:solidFill>
                    <w14:schemeClr w14:val="tx1"/>
                  </w14:solidFill>
                </w14:textFill>
              </w:rPr>
              <w:t>执行《危险废物贮存污染控制标准》（GB18597-2023）防腐防渗要求</w:t>
            </w:r>
            <w:r>
              <w:rPr>
                <w:rFonts w:hint="default" w:ascii="Times New Roman" w:hAnsi="Times New Roman" w:cs="Times New Roman"/>
                <w:bCs/>
                <w:color w:val="000000" w:themeColor="text1"/>
                <w:sz w:val="21"/>
                <w:szCs w:val="21"/>
                <w14:textFill>
                  <w14:solidFill>
                    <w14:schemeClr w14:val="tx1"/>
                  </w14:solidFill>
                </w14:textFill>
              </w:rPr>
              <w:t>。</w:t>
            </w:r>
          </w:p>
          <w:p w14:paraId="42CFC01F">
            <w:pPr>
              <w:pStyle w:val="56"/>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一般防渗区：一般固废暂存</w:t>
            </w:r>
            <w:r>
              <w:rPr>
                <w:rFonts w:hint="eastAsia" w:ascii="Times New Roman" w:hAnsi="Times New Roman" w:cs="Times New Roman"/>
                <w:color w:val="000000" w:themeColor="text1"/>
                <w:sz w:val="21"/>
                <w:szCs w:val="21"/>
                <w:lang w:val="en-US" w:eastAsia="zh-CN"/>
                <w14:textFill>
                  <w14:solidFill>
                    <w14:schemeClr w14:val="tx1"/>
                  </w14:solidFill>
                </w14:textFill>
              </w:rPr>
              <w:t>间</w:t>
            </w:r>
            <w:r>
              <w:rPr>
                <w:rFonts w:hint="default" w:ascii="Times New Roman" w:hAnsi="Times New Roman" w:cs="Times New Roman"/>
                <w:color w:val="000000" w:themeColor="text1"/>
                <w:sz w:val="21"/>
                <w:szCs w:val="21"/>
                <w14:textFill>
                  <w14:solidFill>
                    <w14:schemeClr w14:val="tx1"/>
                  </w14:solidFill>
                </w14:textFill>
              </w:rPr>
              <w:t>，地面应达到《环境影响评价技术导则 地下水环境》（HJ610-2016）中等效黏土防渗层厚度Mb≥1.5m，渗透系数K≤1×10</w:t>
            </w:r>
            <w:r>
              <w:rPr>
                <w:rFonts w:hint="default" w:ascii="Times New Roman" w:hAnsi="Times New Roman" w:cs="Times New Roman"/>
                <w:color w:val="000000" w:themeColor="text1"/>
                <w:sz w:val="21"/>
                <w:szCs w:val="21"/>
                <w:vertAlign w:val="superscript"/>
                <w14:textFill>
                  <w14:solidFill>
                    <w14:schemeClr w14:val="tx1"/>
                  </w14:solidFill>
                </w14:textFill>
              </w:rPr>
              <w:t>-7</w:t>
            </w:r>
            <w:r>
              <w:rPr>
                <w:rFonts w:hint="default" w:ascii="Times New Roman" w:hAnsi="Times New Roman" w:cs="Times New Roman"/>
                <w:color w:val="000000" w:themeColor="text1"/>
                <w:sz w:val="21"/>
                <w:szCs w:val="21"/>
                <w14:textFill>
                  <w14:solidFill>
                    <w14:schemeClr w14:val="tx1"/>
                  </w14:solidFill>
                </w14:textFill>
              </w:rPr>
              <w:t>cm/s的一般防渗要求。</w:t>
            </w:r>
          </w:p>
          <w:p w14:paraId="73602ABD">
            <w:pPr>
              <w:pStyle w:val="56"/>
              <w:keepNext w:val="0"/>
              <w:keepLines w:val="0"/>
              <w:suppressLineNumbers w:val="0"/>
              <w:adjustRightInd w:val="0"/>
              <w:snapToGrid w:val="0"/>
              <w:spacing w:before="0" w:beforeAutospacing="0" w:after="0" w:afterAutospacing="0"/>
              <w:ind w:left="0" w:right="0"/>
              <w:jc w:val="both"/>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简单防渗区：除重点防渗区和一般防渗区的其他区域，地面水泥硬化即可。</w:t>
            </w:r>
          </w:p>
        </w:tc>
      </w:tr>
      <w:tr w14:paraId="3C1C13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1106" w:type="dxa"/>
            <w:vAlign w:val="center"/>
          </w:tcPr>
          <w:p w14:paraId="473C3D3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生态保护措施</w:t>
            </w:r>
          </w:p>
        </w:tc>
        <w:tc>
          <w:tcPr>
            <w:tcW w:w="7965" w:type="dxa"/>
            <w:gridSpan w:val="4"/>
            <w:vAlign w:val="center"/>
          </w:tcPr>
          <w:p w14:paraId="3F73EA77">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本项目不新增用地，项目建设对区域生态环境影响较小。</w:t>
            </w:r>
          </w:p>
        </w:tc>
      </w:tr>
      <w:tr w14:paraId="0104D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106" w:type="dxa"/>
            <w:vAlign w:val="center"/>
          </w:tcPr>
          <w:p w14:paraId="19725A0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pacing w:val="-8"/>
                <w:sz w:val="21"/>
                <w:szCs w:val="21"/>
                <w14:textFill>
                  <w14:solidFill>
                    <w14:schemeClr w14:val="tx1"/>
                  </w14:solidFill>
                </w14:textFill>
              </w:rPr>
            </w:pPr>
            <w:r>
              <w:rPr>
                <w:rFonts w:hint="default" w:ascii="Times New Roman" w:hAnsi="Times New Roman" w:cs="Times New Roman"/>
                <w:color w:val="000000" w:themeColor="text1"/>
                <w:spacing w:val="-8"/>
                <w:sz w:val="21"/>
                <w:szCs w:val="21"/>
                <w14:textFill>
                  <w14:solidFill>
                    <w14:schemeClr w14:val="tx1"/>
                  </w14:solidFill>
                </w14:textFill>
              </w:rPr>
              <w:t>环境风险</w:t>
            </w:r>
          </w:p>
          <w:p w14:paraId="4433FE9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pacing w:val="-8"/>
                <w:sz w:val="21"/>
                <w:szCs w:val="21"/>
                <w14:textFill>
                  <w14:solidFill>
                    <w14:schemeClr w14:val="tx1"/>
                  </w14:solidFill>
                </w14:textFill>
              </w:rPr>
            </w:pPr>
            <w:r>
              <w:rPr>
                <w:rFonts w:hint="default" w:ascii="Times New Roman" w:hAnsi="Times New Roman" w:cs="Times New Roman"/>
                <w:color w:val="000000" w:themeColor="text1"/>
                <w:spacing w:val="-8"/>
                <w:sz w:val="21"/>
                <w:szCs w:val="21"/>
                <w14:textFill>
                  <w14:solidFill>
                    <w14:schemeClr w14:val="tx1"/>
                  </w14:solidFill>
                </w14:textFill>
              </w:rPr>
              <w:t>防范措施</w:t>
            </w:r>
          </w:p>
        </w:tc>
        <w:tc>
          <w:tcPr>
            <w:tcW w:w="7965" w:type="dxa"/>
            <w:gridSpan w:val="4"/>
            <w:vAlign w:val="center"/>
          </w:tcPr>
          <w:p w14:paraId="61B977FE">
            <w:pPr>
              <w:keepNext w:val="0"/>
              <w:keepLines w:val="0"/>
              <w:suppressLineNumbers w:val="0"/>
              <w:adjustRightInd w:val="0"/>
              <w:snapToGrid w:val="0"/>
              <w:spacing w:before="0" w:beforeAutospacing="0" w:after="0" w:afterAutospacing="0" w:line="276" w:lineRule="auto"/>
              <w:ind w:left="0" w:right="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w:t>
            </w:r>
            <w:r>
              <w:rPr>
                <w:rFonts w:hint="default" w:ascii="Times New Roman" w:hAnsi="Times New Roman" w:cs="Times New Roman" w:eastAsiaTheme="minorEastAsia"/>
                <w:color w:val="000000" w:themeColor="text1"/>
                <w:sz w:val="21"/>
                <w:szCs w:val="21"/>
                <w14:textFill>
                  <w14:solidFill>
                    <w14:schemeClr w14:val="tx1"/>
                  </w14:solidFill>
                </w14:textFill>
              </w:rPr>
              <w:t>危废贮存库、水性漆库房、喷涂区、备漆间、</w:t>
            </w:r>
            <w:r>
              <w:rPr>
                <w:rFonts w:hint="eastAsia" w:cs="Times New Roman" w:eastAsiaTheme="minorEastAsia"/>
                <w:color w:val="000000" w:themeColor="text1"/>
                <w:sz w:val="21"/>
                <w:szCs w:val="21"/>
                <w:lang w:eastAsia="zh-CN"/>
                <w14:textFill>
                  <w14:solidFill>
                    <w14:schemeClr w14:val="tx1"/>
                  </w14:solidFill>
                </w14:textFill>
              </w:rPr>
              <w:t>一体化生产废水处理站</w:t>
            </w:r>
            <w:r>
              <w:rPr>
                <w:rFonts w:hint="default" w:ascii="Times New Roman" w:hAnsi="Times New Roman" w:cs="Times New Roman" w:eastAsiaTheme="minorEastAsia"/>
                <w:color w:val="000000" w:themeColor="text1"/>
                <w:sz w:val="21"/>
                <w:szCs w:val="21"/>
                <w14:textFill>
                  <w14:solidFill>
                    <w14:schemeClr w14:val="tx1"/>
                  </w14:solidFill>
                </w14:textFill>
              </w:rPr>
              <w:t>、空压机区域</w:t>
            </w:r>
            <w:r>
              <w:rPr>
                <w:rFonts w:hint="default" w:ascii="Times New Roman" w:hAnsi="Times New Roman" w:cs="Times New Roman"/>
                <w:color w:val="000000" w:themeColor="text1"/>
                <w:kern w:val="0"/>
                <w:sz w:val="21"/>
                <w:szCs w:val="21"/>
                <w14:textFill>
                  <w14:solidFill>
                    <w14:schemeClr w14:val="tx1"/>
                  </w14:solidFill>
                </w14:textFill>
              </w:rPr>
              <w:t>设置重点防腐防渗措施，涂刷防渗漆并设置托盘，保证危险废物贮存</w:t>
            </w:r>
            <w:r>
              <w:rPr>
                <w:rFonts w:hint="eastAsia" w:ascii="Times New Roman" w:hAnsi="Times New Roman" w:cs="Times New Roman"/>
                <w:color w:val="000000" w:themeColor="text1"/>
                <w:kern w:val="0"/>
                <w:sz w:val="21"/>
                <w:szCs w:val="21"/>
                <w:lang w:val="en-US" w:eastAsia="zh-CN"/>
                <w14:textFill>
                  <w14:solidFill>
                    <w14:schemeClr w14:val="tx1"/>
                  </w14:solidFill>
                </w14:textFill>
              </w:rPr>
              <w:t>库</w:t>
            </w:r>
            <w:r>
              <w:rPr>
                <w:rFonts w:hint="default" w:ascii="Times New Roman" w:hAnsi="Times New Roman" w:cs="Times New Roman"/>
                <w:color w:val="000000" w:themeColor="text1"/>
                <w:kern w:val="0"/>
                <w:sz w:val="21"/>
                <w:szCs w:val="21"/>
                <w14:textFill>
                  <w14:solidFill>
                    <w14:schemeClr w14:val="tx1"/>
                  </w14:solidFill>
                </w14:textFill>
              </w:rPr>
              <w:t>阴凉通风、常温常压贮存，远离火种、热源，避免日光直晒、雨淋水湿，禁止与各种易燃品、油脂、粉料等混存混运，并张贴安全警示标识。</w:t>
            </w:r>
          </w:p>
          <w:p w14:paraId="2A678A73">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②环保设施风险防范措施：加强日常环境管理工作，制订“环保管理人员职责”和“环境污染防治措施”制度，加强环</w:t>
            </w:r>
            <w:r>
              <w:rPr>
                <w:rFonts w:hint="eastAsia" w:cs="Times New Roman"/>
                <w:color w:val="000000" w:themeColor="text1"/>
                <w:sz w:val="21"/>
                <w:szCs w:val="21"/>
                <w:lang w:val="en-US" w:eastAsia="zh-CN"/>
                <w14:textFill>
                  <w14:solidFill>
                    <w14:schemeClr w14:val="tx1"/>
                  </w14:solidFill>
                </w14:textFill>
              </w:rPr>
              <w:t>境</w:t>
            </w:r>
            <w:r>
              <w:rPr>
                <w:rFonts w:hint="default" w:ascii="Times New Roman" w:hAnsi="Times New Roman" w:cs="Times New Roman"/>
                <w:color w:val="000000" w:themeColor="text1"/>
                <w:sz w:val="21"/>
                <w:szCs w:val="21"/>
                <w14:textFill>
                  <w14:solidFill>
                    <w14:schemeClr w14:val="tx1"/>
                  </w14:solidFill>
                </w14:textFill>
              </w:rPr>
              <w:t>治理设施的监督和管理；加强环保设施及设备的定期检修和维护工作，发现事故隐患，及时解决，一旦不能及时解决，立即停止生产。</w:t>
            </w:r>
          </w:p>
          <w:p w14:paraId="1178D01A">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③设置安全管理机构，建立安全管理制度，增强工作人员的安全防范意识，定期进行安全知识教育，使操作人员能够应付突发事故的发生，如：火灾等。</w:t>
            </w:r>
          </w:p>
          <w:p w14:paraId="66950042">
            <w:pPr>
              <w:keepNext w:val="0"/>
              <w:keepLines w:val="0"/>
              <w:widowControl/>
              <w:suppressLineNumbers w:val="0"/>
              <w:adjustRightInd w:val="0"/>
              <w:snapToGrid w:val="0"/>
              <w:spacing w:before="0" w:beforeAutospacing="0" w:after="0" w:afterAutospacing="0"/>
              <w:ind w:left="0"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④厂区准备一定的灭火毯、灭火器、干沙等物质，可用作化学品泄漏时吸收或者灭火之用。</w:t>
            </w:r>
          </w:p>
        </w:tc>
      </w:tr>
      <w:tr w14:paraId="79B82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106" w:type="dxa"/>
            <w:vAlign w:val="center"/>
          </w:tcPr>
          <w:p w14:paraId="5F4797F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pacing w:val="-8"/>
                <w:sz w:val="21"/>
                <w:szCs w:val="21"/>
                <w14:textFill>
                  <w14:solidFill>
                    <w14:schemeClr w14:val="tx1"/>
                  </w14:solidFill>
                </w14:textFill>
              </w:rPr>
            </w:pPr>
            <w:r>
              <w:rPr>
                <w:rFonts w:hint="default" w:ascii="Times New Roman" w:hAnsi="Times New Roman" w:cs="Times New Roman"/>
                <w:color w:val="000000" w:themeColor="text1"/>
                <w:spacing w:val="-8"/>
                <w:sz w:val="21"/>
                <w:szCs w:val="21"/>
                <w14:textFill>
                  <w14:solidFill>
                    <w14:schemeClr w14:val="tx1"/>
                  </w14:solidFill>
                </w14:textFill>
              </w:rPr>
              <w:t>其他环境</w:t>
            </w:r>
          </w:p>
          <w:p w14:paraId="5CC7B75F">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000000" w:themeColor="text1"/>
                <w:spacing w:val="-8"/>
                <w:sz w:val="21"/>
                <w:szCs w:val="21"/>
                <w14:textFill>
                  <w14:solidFill>
                    <w14:schemeClr w14:val="tx1"/>
                  </w14:solidFill>
                </w14:textFill>
              </w:rPr>
            </w:pPr>
            <w:r>
              <w:rPr>
                <w:rFonts w:hint="default" w:ascii="Times New Roman" w:hAnsi="Times New Roman" w:cs="Times New Roman"/>
                <w:color w:val="000000" w:themeColor="text1"/>
                <w:spacing w:val="-8"/>
                <w:sz w:val="21"/>
                <w:szCs w:val="21"/>
                <w14:textFill>
                  <w14:solidFill>
                    <w14:schemeClr w14:val="tx1"/>
                  </w14:solidFill>
                </w14:textFill>
              </w:rPr>
              <w:t>管理要求</w:t>
            </w:r>
          </w:p>
        </w:tc>
        <w:tc>
          <w:tcPr>
            <w:tcW w:w="7965" w:type="dxa"/>
            <w:gridSpan w:val="4"/>
            <w:vAlign w:val="center"/>
          </w:tcPr>
          <w:p w14:paraId="41143D2E">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1、环境管理</w:t>
            </w:r>
          </w:p>
          <w:p w14:paraId="5792B07B">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为了执行国家有关环境保护的法律法规，做好本工程区域的环境保护工作，项目环境管理依托现有项目环保部门，负责组织、协调和监督工程区的环境保护工作，加强与环保部门的联系。</w:t>
            </w:r>
          </w:p>
          <w:p w14:paraId="77AD95CE">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（1）环境管理机构设置</w:t>
            </w:r>
          </w:p>
          <w:p w14:paraId="424575D5">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为加强工程的环境保护管理工作，根据工程性质确定运行期的环境管理任务。营运期配管理人员1人，统一负责厂区环境保护监督管理工作。</w:t>
            </w:r>
          </w:p>
          <w:p w14:paraId="7AB6F958">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（2）环境管理职责</w:t>
            </w:r>
          </w:p>
          <w:p w14:paraId="5F96612A">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项目环保责任主体为项目建设单位，为加强厂区的环境保护管理工作，发挥环境保护管理机构的作用，其主要的职责为：</w:t>
            </w:r>
          </w:p>
          <w:p w14:paraId="2F7B9A01">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①贯彻落实建设项目的“三同时”，切实按照设计要求予以实施，以确保环保设施的建设，使工程达到预期的效果。</w:t>
            </w:r>
          </w:p>
          <w:p w14:paraId="62308263">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②加强对施工过程中噪声、固体废物、废水等管理。</w:t>
            </w:r>
          </w:p>
          <w:p w14:paraId="59AC81DE">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③建立完善的环境保护规章制度（岗位责任制度、操作规程、安全生产制度、绿化、卫生管理规程等）并实施，落实环境监测制度。</w:t>
            </w:r>
          </w:p>
          <w:p w14:paraId="77A53758">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④对工程的各种运行设备、器具的正常工作进行监督管理，确保设备正常并高效运行。</w:t>
            </w:r>
          </w:p>
          <w:p w14:paraId="1C5074C6">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⑤根据污染物监测结果、设备运行指标等，做好统计工作，并建立环境档案库；编制环境保护年度计划和环境保护统计报表。</w:t>
            </w:r>
          </w:p>
          <w:p w14:paraId="79F2DBEE">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⑥搞好环境保护宣传和职工环保意识教育及技术培训等工作。</w:t>
            </w:r>
          </w:p>
          <w:p w14:paraId="24C71EA5">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eastAsiaTheme="minorEastAsia"/>
                <w:color w:val="000000" w:themeColor="text1"/>
                <w:kern w:val="0"/>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⑦负责组织突发事故的应急处理和善后事宜，维护好公众的利益。</w:t>
            </w:r>
          </w:p>
          <w:p w14:paraId="481C6901">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2、排污口设置及规范化</w:t>
            </w:r>
          </w:p>
          <w:p w14:paraId="67953AB0">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（1）排污口设置规范</w:t>
            </w:r>
          </w:p>
          <w:p w14:paraId="60B0206E">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根据重庆市</w:t>
            </w:r>
            <w:r>
              <w:rPr>
                <w:rFonts w:hint="eastAsia" w:cs="Times New Roman"/>
                <w:color w:val="000000" w:themeColor="text1"/>
                <w:kern w:val="0"/>
                <w:sz w:val="21"/>
                <w:szCs w:val="21"/>
                <w:lang w:val="en-US" w:eastAsia="zh-CN"/>
                <w14:textFill>
                  <w14:solidFill>
                    <w14:schemeClr w14:val="tx1"/>
                  </w14:solidFill>
                </w14:textFill>
              </w:rPr>
              <w:t>生态环境局</w:t>
            </w:r>
            <w:r>
              <w:rPr>
                <w:rFonts w:hint="default" w:ascii="Times New Roman" w:hAnsi="Times New Roman" w:cs="Times New Roman"/>
                <w:color w:val="000000" w:themeColor="text1"/>
                <w:kern w:val="0"/>
                <w:sz w:val="21"/>
                <w:szCs w:val="21"/>
                <w14:textFill>
                  <w14:solidFill>
                    <w14:schemeClr w14:val="tx1"/>
                  </w14:solidFill>
                </w14:textFill>
              </w:rPr>
              <w:t>《关于印发重庆市排污口规范化清理整治实施方案的通知》（渝环发〔2012〕26号）中相关要求：</w:t>
            </w:r>
          </w:p>
          <w:p w14:paraId="153CB623">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①噪声</w:t>
            </w:r>
          </w:p>
          <w:p w14:paraId="7E78D578">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a）工业企业厂界噪声监测点应在法定厂界外1米，高度1.2米以上的噪声敏感点处。</w:t>
            </w:r>
          </w:p>
          <w:p w14:paraId="0B4E9395">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b）固定噪声源厂界噪声敏感且对外界影响最大处设置该噪声源的监测点。</w:t>
            </w:r>
          </w:p>
          <w:p w14:paraId="66720FA1">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c）建筑施工噪声的测点，确定在施工场地的边界线上。</w:t>
            </w:r>
          </w:p>
          <w:p w14:paraId="6FDA637A">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d）噪声标志牌立于测点处。</w:t>
            </w:r>
          </w:p>
          <w:p w14:paraId="0E9E0AB2">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②固体废弃物</w:t>
            </w:r>
          </w:p>
          <w:p w14:paraId="5A5BF512">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企业应按照以下要求对固废暂存点进行完善：</w:t>
            </w:r>
          </w:p>
          <w:p w14:paraId="1B531832">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a）一般固体废弃物应设置专用贮存、堆放场地。</w:t>
            </w:r>
          </w:p>
          <w:p w14:paraId="41F12F2F">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b）危险废物设置专用收集贮存装置、暂存场地。贮存</w:t>
            </w:r>
            <w:r>
              <w:rPr>
                <w:rFonts w:hint="default" w:ascii="Times New Roman" w:hAnsi="Times New Roman" w:cs="Times New Roman"/>
                <w:color w:val="000000" w:themeColor="text1"/>
                <w:kern w:val="0"/>
                <w:sz w:val="21"/>
                <w:szCs w:val="21"/>
                <w:lang w:val="en-US" w:eastAsia="zh-CN"/>
                <w14:textFill>
                  <w14:solidFill>
                    <w14:schemeClr w14:val="tx1"/>
                  </w14:solidFill>
                </w14:textFill>
              </w:rPr>
              <w:t>点</w:t>
            </w:r>
            <w:r>
              <w:rPr>
                <w:rFonts w:hint="default" w:ascii="Times New Roman" w:hAnsi="Times New Roman" w:cs="Times New Roman"/>
                <w:color w:val="000000" w:themeColor="text1"/>
                <w:kern w:val="0"/>
                <w:sz w:val="21"/>
                <w:szCs w:val="21"/>
                <w14:textFill>
                  <w14:solidFill>
                    <w14:schemeClr w14:val="tx1"/>
                  </w14:solidFill>
                </w14:textFill>
              </w:rPr>
              <w:t>需防渗漏、防逸散、防流失等措施。</w:t>
            </w:r>
          </w:p>
          <w:p w14:paraId="28A36342">
            <w:pPr>
              <w:keepNext w:val="0"/>
              <w:keepLines w:val="0"/>
              <w:suppressLineNumbers w:val="0"/>
              <w:adjustRightInd w:val="0"/>
              <w:snapToGrid w:val="0"/>
              <w:spacing w:before="0" w:beforeAutospacing="0" w:after="0" w:afterAutospacing="0"/>
              <w:ind w:left="0" w:right="0" w:firstLine="420" w:firstLineChars="200"/>
              <w:jc w:val="left"/>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c）除综合利用外，固体废物的处置、贮存、堆放场应分别立标。标志牌立于边界线上。本项目一般固废和危险废物堆放场分别设1个标志牌。</w:t>
            </w:r>
          </w:p>
          <w:p w14:paraId="35726CEB">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③废气</w:t>
            </w:r>
          </w:p>
          <w:p w14:paraId="6C72F5B3">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a</w:t>
            </w:r>
            <w:r>
              <w:rPr>
                <w:rFonts w:hint="default" w:ascii="Times New Roman" w:hAnsi="Times New Roman" w:cs="Times New Roman"/>
                <w:color w:val="000000" w:themeColor="text1"/>
                <w:kern w:val="0"/>
                <w:sz w:val="21"/>
                <w:szCs w:val="21"/>
                <w:lang w:val="zh-CN"/>
                <w14:textFill>
                  <w14:solidFill>
                    <w14:schemeClr w14:val="tx1"/>
                  </w14:solidFill>
                </w14:textFill>
              </w:rPr>
              <w:t>）废气排气筒应修建采样平台，设置监测采样口，采样口的设置应符合《污染源技术规范》要求；</w:t>
            </w:r>
            <w:r>
              <w:rPr>
                <w:rFonts w:hint="default" w:ascii="Times New Roman" w:hAnsi="Times New Roman" w:cs="Times New Roman"/>
                <w:color w:val="000000" w:themeColor="text1"/>
                <w:kern w:val="0"/>
                <w:sz w:val="21"/>
                <w:szCs w:val="21"/>
                <w14:textFill>
                  <w14:solidFill>
                    <w14:schemeClr w14:val="tx1"/>
                  </w14:solidFill>
                </w14:textFill>
              </w:rPr>
              <w:t>根据《固定污染源排气中颗粒物测定与气态污染物采样方法》（GB/T16157-1996），废气排污口采样孔设置的位置应该是“距弯头、阀门、变径下游方向不小于6倍直径，上游方向不小于3倍直径”。如果是矩形烟道的，其当量直径D=2AB/（A+B），式中A、B为边长。采样口位置无法满足规范要求的，其位置由当地环境监测部门确认。</w:t>
            </w:r>
            <w:r>
              <w:rPr>
                <w:rFonts w:hint="default" w:ascii="Times New Roman" w:hAnsi="Times New Roman" w:cs="Times New Roman"/>
                <w:color w:val="000000" w:themeColor="text1"/>
                <w:kern w:val="0"/>
                <w:sz w:val="21"/>
                <w:szCs w:val="21"/>
                <w:lang w:val="zh-CN"/>
                <w14:textFill>
                  <w14:solidFill>
                    <w14:schemeClr w14:val="tx1"/>
                  </w14:solidFill>
                </w14:textFill>
              </w:rPr>
              <w:t>采样口必须设置常备电源；排气筒应设置标志牌。</w:t>
            </w:r>
          </w:p>
          <w:p w14:paraId="6F7E10C9">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2</w:t>
            </w:r>
            <w:r>
              <w:rPr>
                <w:rFonts w:hint="default" w:ascii="Times New Roman" w:hAnsi="Times New Roman" w:cs="Times New Roman"/>
                <w:color w:val="000000" w:themeColor="text1"/>
                <w:kern w:val="0"/>
                <w:sz w:val="21"/>
                <w:szCs w:val="21"/>
                <w:lang w:val="zh-CN"/>
                <w14:textFill>
                  <w14:solidFill>
                    <w14:schemeClr w14:val="tx1"/>
                  </w14:solidFill>
                </w14:textFill>
              </w:rPr>
              <w:t>）排污规范化管理</w:t>
            </w:r>
          </w:p>
          <w:p w14:paraId="184475B8">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①</w:t>
            </w:r>
            <w:r>
              <w:rPr>
                <w:rFonts w:hint="default" w:ascii="Times New Roman" w:hAnsi="Times New Roman" w:cs="Times New Roman"/>
                <w:color w:val="000000" w:themeColor="text1"/>
                <w:kern w:val="0"/>
                <w:sz w:val="21"/>
                <w:szCs w:val="21"/>
                <w:lang w:val="zh-CN"/>
                <w14:textFill>
                  <w14:solidFill>
                    <w14:schemeClr w14:val="tx1"/>
                  </w14:solidFill>
                </w14:textFill>
              </w:rPr>
              <w:t>该项目投产后，企业应如实向环境管理部门申报排污口数量、位置及所排放的主要污染物（或产生公害）的种类、数量、浓度、排放去向等情况。</w:t>
            </w:r>
          </w:p>
          <w:p w14:paraId="0A4A72E0">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②</w:t>
            </w:r>
            <w:r>
              <w:rPr>
                <w:rFonts w:hint="default" w:ascii="Times New Roman" w:hAnsi="Times New Roman" w:cs="Times New Roman"/>
                <w:color w:val="000000" w:themeColor="text1"/>
                <w:kern w:val="0"/>
                <w:sz w:val="21"/>
                <w:szCs w:val="21"/>
                <w:lang w:val="zh-CN"/>
                <w14:textFill>
                  <w14:solidFill>
                    <w14:schemeClr w14:val="tx1"/>
                  </w14:solidFill>
                </w14:textFill>
              </w:rPr>
              <w:t>该项目的废水排放实现清污分流，雨水依托厂房设置的雨水排放口，污水依托厂房设置的污水排放口。</w:t>
            </w:r>
          </w:p>
          <w:p w14:paraId="0D1E34BE">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③</w:t>
            </w:r>
            <w:r>
              <w:rPr>
                <w:rFonts w:hint="default" w:ascii="Times New Roman" w:hAnsi="Times New Roman" w:cs="Times New Roman"/>
                <w:color w:val="000000" w:themeColor="text1"/>
                <w:kern w:val="0"/>
                <w:sz w:val="21"/>
                <w:szCs w:val="21"/>
                <w:lang w:val="zh-CN"/>
                <w14:textFill>
                  <w14:solidFill>
                    <w14:schemeClr w14:val="tx1"/>
                  </w14:solidFill>
                </w14:textFill>
              </w:rPr>
              <w:t>废气排气筒设置便于采样，附近设置环境保护标志。</w:t>
            </w:r>
          </w:p>
          <w:p w14:paraId="4413786A">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④该项目危险废物须贮存于危废贮存</w:t>
            </w:r>
            <w:r>
              <w:rPr>
                <w:rFonts w:hint="default" w:ascii="Times New Roman" w:hAnsi="Times New Roman" w:cs="Times New Roman"/>
                <w:color w:val="000000" w:themeColor="text1"/>
                <w:kern w:val="0"/>
                <w:sz w:val="21"/>
                <w:szCs w:val="21"/>
                <w:lang w:val="en-US" w:eastAsia="zh-CN"/>
                <w14:textFill>
                  <w14:solidFill>
                    <w14:schemeClr w14:val="tx1"/>
                  </w14:solidFill>
                </w14:textFill>
              </w:rPr>
              <w:t>点</w:t>
            </w:r>
            <w:r>
              <w:rPr>
                <w:rFonts w:hint="default" w:ascii="Times New Roman" w:hAnsi="Times New Roman" w:cs="Times New Roman"/>
                <w:color w:val="000000" w:themeColor="text1"/>
                <w:kern w:val="0"/>
                <w:sz w:val="21"/>
                <w:szCs w:val="21"/>
                <w:lang w:val="zh-CN"/>
                <w14:textFill>
                  <w14:solidFill>
                    <w14:schemeClr w14:val="tx1"/>
                  </w14:solidFill>
                </w14:textFill>
              </w:rPr>
              <w:t>，并在贮存（处置）场设置醒目标志牌。</w:t>
            </w:r>
          </w:p>
          <w:p w14:paraId="529D5005">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lang w:val="zh-CN"/>
                <w14:textFill>
                  <w14:solidFill>
                    <w14:schemeClr w14:val="tx1"/>
                  </w14:solidFill>
                </w14:textFill>
              </w:rPr>
            </w:pPr>
            <w:r>
              <w:rPr>
                <w:rFonts w:hint="default" w:ascii="Times New Roman" w:hAnsi="Times New Roman" w:cs="Times New Roman"/>
                <w:color w:val="000000" w:themeColor="text1"/>
                <w:kern w:val="0"/>
                <w:sz w:val="21"/>
                <w:szCs w:val="21"/>
                <w:lang w:val="zh-CN"/>
                <w14:textFill>
                  <w14:solidFill>
                    <w14:schemeClr w14:val="tx1"/>
                  </w14:solidFill>
                </w14:textFill>
              </w:rPr>
              <w:t>④该项目危险废物须贮存于特定的暂存场所，并在贮存（处置）场设置醒目标志牌。</w:t>
            </w:r>
          </w:p>
          <w:p w14:paraId="78DAD634">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（3）排污许可证</w:t>
            </w:r>
          </w:p>
          <w:p w14:paraId="59AEF20C">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项目正式投产前于生态环境主管部门办理排污许可手续。</w:t>
            </w:r>
          </w:p>
          <w:p w14:paraId="14693DEB">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（4）自行监测管理</w:t>
            </w:r>
          </w:p>
          <w:p w14:paraId="4B07BFB6">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申请排污许可手续后，制定自行监测方案，定期开展废气、废水、噪声等污染源</w:t>
            </w:r>
          </w:p>
          <w:p w14:paraId="24262676">
            <w:pPr>
              <w:keepNext w:val="0"/>
              <w:keepLines w:val="0"/>
              <w:suppressLineNumbers w:val="0"/>
              <w:adjustRightInd w:val="0"/>
              <w:snapToGrid w:val="0"/>
              <w:spacing w:before="0" w:beforeAutospacing="0" w:after="0" w:afterAutospacing="0"/>
              <w:ind w:left="0" w:right="0" w:firstLine="420" w:firstLineChars="200"/>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监测，及时提交执行报告。</w:t>
            </w:r>
          </w:p>
        </w:tc>
      </w:tr>
    </w:tbl>
    <w:p w14:paraId="4F6F8DE9">
      <w:pPr>
        <w:pStyle w:val="4"/>
        <w:rPr>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5696ADF">
      <w:pPr>
        <w:pStyle w:val="19"/>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center"/>
        <w:textAlignment w:val="auto"/>
        <w:outlineLvl w:val="0"/>
        <w:rPr>
          <w:rFonts w:ascii="Times New Roman" w:hAnsi="Times New Roman"/>
          <w:snapToGrid w:val="0"/>
          <w:color w:val="000000" w:themeColor="text1"/>
          <w:sz w:val="21"/>
          <w:szCs w:val="21"/>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六、结论</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65"/>
      </w:tblGrid>
      <w:tr w14:paraId="2422AA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tcPr>
          <w:p w14:paraId="49ECDB2D">
            <w:pPr>
              <w:keepNext w:val="0"/>
              <w:keepLines w:val="0"/>
              <w:widowControl/>
              <w:suppressLineNumbers w:val="0"/>
              <w:adjustRightInd w:val="0"/>
              <w:snapToGrid w:val="0"/>
              <w:spacing w:before="0" w:beforeAutospacing="0" w:after="0" w:afterAutospacing="0" w:line="360" w:lineRule="auto"/>
              <w:ind w:left="0" w:right="0" w:firstLine="480" w:firstLineChars="200"/>
              <w:rPr>
                <w:rFonts w:hint="default"/>
                <w:color w:val="000000" w:themeColor="text1"/>
                <w:szCs w:val="21"/>
                <w14:textFill>
                  <w14:solidFill>
                    <w14:schemeClr w14:val="tx1"/>
                  </w14:solidFill>
                </w14:textFill>
              </w:rPr>
            </w:pPr>
            <w:r>
              <w:rPr>
                <w:rFonts w:hint="eastAsia"/>
                <w:color w:val="000000" w:themeColor="text1"/>
                <w:sz w:val="24"/>
                <w:szCs w:val="24"/>
                <w:lang w:eastAsia="zh-CN"/>
                <w14:textFill>
                  <w14:solidFill>
                    <w14:schemeClr w14:val="tx1"/>
                  </w14:solidFill>
                </w14:textFill>
              </w:rPr>
              <w:t>重庆三秋禾科技有限公司年产350万件摩托车配件制造项目</w:t>
            </w:r>
            <w:r>
              <w:rPr>
                <w:rFonts w:hint="default"/>
                <w:color w:val="000000" w:themeColor="text1"/>
                <w:sz w:val="24"/>
                <w:szCs w:val="24"/>
                <w14:textFill>
                  <w14:solidFill>
                    <w14:schemeClr w14:val="tx1"/>
                  </w14:solidFill>
                </w14:textFill>
              </w:rPr>
              <w:t>选址位于</w:t>
            </w:r>
            <w:r>
              <w:rPr>
                <w:rFonts w:hint="eastAsia"/>
                <w:bCs/>
                <w:color w:val="000000" w:themeColor="text1"/>
                <w:sz w:val="24"/>
                <w:szCs w:val="24"/>
                <w:lang w:eastAsia="zh-CN"/>
                <w14:textFill>
                  <w14:solidFill>
                    <w14:schemeClr w14:val="tx1"/>
                  </w14:solidFill>
                </w14:textFill>
              </w:rPr>
              <w:t>璧山区青杠街道龙青路59号</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租赁</w:t>
            </w:r>
            <w:r>
              <w:rPr>
                <w:rFonts w:hint="eastAsia"/>
                <w:color w:val="000000" w:themeColor="text1"/>
                <w:sz w:val="24"/>
                <w14:textFill>
                  <w14:solidFill>
                    <w14:schemeClr w14:val="tx1"/>
                  </w14:solidFill>
                </w14:textFill>
              </w:rPr>
              <w:t>重庆市霞艺汽车配件制造有限公司</w:t>
            </w:r>
            <w:r>
              <w:rPr>
                <w:rFonts w:hint="eastAsia"/>
                <w:color w:val="000000" w:themeColor="text1"/>
                <w:sz w:val="24"/>
                <w:lang w:val="en-US" w:eastAsia="zh-CN"/>
                <w14:textFill>
                  <w14:solidFill>
                    <w14:schemeClr w14:val="tx1"/>
                  </w14:solidFill>
                </w14:textFill>
              </w:rPr>
              <w:t>空置厂房，</w:t>
            </w:r>
            <w:r>
              <w:rPr>
                <w:rFonts w:hint="eastAsia"/>
                <w:color w:val="000000" w:themeColor="text1"/>
                <w:sz w:val="24"/>
                <w14:textFill>
                  <w14:solidFill>
                    <w14:schemeClr w14:val="tx1"/>
                  </w14:solidFill>
                </w14:textFill>
              </w:rPr>
              <w:t>主要工程位于2F，部分设施位于2F楼顶</w:t>
            </w:r>
            <w:r>
              <w:rPr>
                <w:rFonts w:hint="default"/>
                <w:color w:val="000000" w:themeColor="text1"/>
                <w:sz w:val="24"/>
                <w:szCs w:val="24"/>
                <w14:textFill>
                  <w14:solidFill>
                    <w14:schemeClr w14:val="tx1"/>
                  </w14:solidFill>
                </w14:textFill>
              </w:rPr>
              <w:t>，</w:t>
            </w:r>
            <w:r>
              <w:rPr>
                <w:rFonts w:hint="default" w:eastAsiaTheme="minorEastAsia"/>
                <w:color w:val="000000" w:themeColor="text1"/>
                <w:sz w:val="24"/>
                <w:szCs w:val="24"/>
                <w14:textFill>
                  <w14:solidFill>
                    <w14:schemeClr w14:val="tx1"/>
                  </w14:solidFill>
                </w14:textFill>
              </w:rPr>
              <w:t>符合</w:t>
            </w:r>
            <w:r>
              <w:rPr>
                <w:rFonts w:hint="eastAsia" w:eastAsiaTheme="minorEastAsia"/>
                <w:color w:val="000000" w:themeColor="text1"/>
                <w:sz w:val="24"/>
                <w:szCs w:val="24"/>
                <w14:textFill>
                  <w14:solidFill>
                    <w14:schemeClr w14:val="tx1"/>
                  </w14:solidFill>
                </w14:textFill>
              </w:rPr>
              <w:t>青杠-来凤组团</w:t>
            </w:r>
            <w:r>
              <w:rPr>
                <w:rFonts w:hint="default" w:eastAsiaTheme="minorEastAsia"/>
                <w:color w:val="000000" w:themeColor="text1"/>
                <w:sz w:val="24"/>
                <w:szCs w:val="24"/>
                <w14:textFill>
                  <w14:solidFill>
                    <w14:schemeClr w14:val="tx1"/>
                  </w14:solidFill>
                </w14:textFill>
              </w:rPr>
              <w:t>产业功能定位，符合</w:t>
            </w:r>
            <w:r>
              <w:rPr>
                <w:rFonts w:hint="eastAsia" w:eastAsiaTheme="minorEastAsia"/>
                <w:color w:val="000000" w:themeColor="text1"/>
                <w:sz w:val="24"/>
                <w:szCs w:val="24"/>
                <w:lang w:eastAsia="zh-CN"/>
                <w14:textFill>
                  <w14:solidFill>
                    <w14:schemeClr w14:val="tx1"/>
                  </w14:solidFill>
                </w14:textFill>
              </w:rPr>
              <w:t>“</w:t>
            </w:r>
            <w:r>
              <w:rPr>
                <w:rFonts w:hint="default" w:eastAsiaTheme="minorEastAsia"/>
                <w:color w:val="000000" w:themeColor="text1"/>
                <w:sz w:val="24"/>
                <w:szCs w:val="24"/>
                <w14:textFill>
                  <w14:solidFill>
                    <w14:schemeClr w14:val="tx1"/>
                  </w14:solidFill>
                </w14:textFill>
              </w:rPr>
              <w:t>三线一单</w:t>
            </w:r>
            <w:r>
              <w:rPr>
                <w:rFonts w:hint="eastAsia" w:eastAsiaTheme="minorEastAsia"/>
                <w:color w:val="000000" w:themeColor="text1"/>
                <w:sz w:val="24"/>
                <w:szCs w:val="24"/>
                <w:lang w:eastAsia="zh-CN"/>
                <w14:textFill>
                  <w14:solidFill>
                    <w14:schemeClr w14:val="tx1"/>
                  </w14:solidFill>
                </w14:textFill>
              </w:rPr>
              <w:t>”</w:t>
            </w:r>
            <w:r>
              <w:rPr>
                <w:rFonts w:hint="default" w:eastAsiaTheme="minorEastAsia"/>
                <w:color w:val="000000" w:themeColor="text1"/>
                <w:sz w:val="24"/>
                <w:szCs w:val="24"/>
                <w14:textFill>
                  <w14:solidFill>
                    <w14:schemeClr w14:val="tx1"/>
                  </w14:solidFill>
                </w14:textFill>
              </w:rPr>
              <w:t>要求，选址合理，通过采取有效的污染控制和防治措施，外排污染物可实现达标排放，对环境的影响可以接受，环境风险可控，在建设单位认真落实本评价提出的各项环保措施、确保污染物达标排放前提下，从环保角度来看，本项目建设可行。</w:t>
            </w:r>
          </w:p>
        </w:tc>
      </w:tr>
    </w:tbl>
    <w:p w14:paraId="6C746648">
      <w:pPr>
        <w:rPr>
          <w:color w:val="000000" w:themeColor="text1"/>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1A7A335">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Times New Roman" w:hAnsi="Times New Roman"/>
          <w:snapToGrid w:val="0"/>
          <w:color w:val="000000" w:themeColor="text1"/>
          <w:sz w:val="21"/>
          <w:szCs w:val="21"/>
          <w14:textFill>
            <w14:solidFill>
              <w14:schemeClr w14:val="tx1"/>
            </w14:solidFill>
          </w14:textFill>
        </w:rPr>
      </w:pPr>
      <w:r>
        <w:rPr>
          <w:rFonts w:ascii="Times New Roman" w:hAnsi="Times New Roman"/>
          <w:snapToGrid w:val="0"/>
          <w:color w:val="000000" w:themeColor="text1"/>
          <w:sz w:val="21"/>
          <w:szCs w:val="21"/>
          <w14:textFill>
            <w14:solidFill>
              <w14:schemeClr w14:val="tx1"/>
            </w14:solidFill>
          </w14:textFill>
        </w:rPr>
        <w:t>附表</w:t>
      </w:r>
    </w:p>
    <w:p w14:paraId="115C95CB">
      <w:pPr>
        <w:pStyle w:val="19"/>
        <w:keepNext w:val="0"/>
        <w:keepLines w:val="0"/>
        <w:pageBreakBefore w:val="0"/>
        <w:widowControl/>
        <w:kinsoku/>
        <w:wordWrap/>
        <w:overflowPunct/>
        <w:topLinePunct w:val="0"/>
        <w:autoSpaceDE/>
        <w:autoSpaceDN/>
        <w:bidi w:val="0"/>
        <w:spacing w:before="0" w:beforeAutospacing="0" w:after="0" w:afterAutospacing="0" w:line="360" w:lineRule="auto"/>
        <w:ind w:right="0" w:firstLine="0" w:firstLineChars="0"/>
        <w:jc w:val="center"/>
        <w:textAlignment w:val="auto"/>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建设项目污染物排放量汇总表</w:t>
      </w:r>
    </w:p>
    <w:tbl>
      <w:tblPr>
        <w:tblStyle w:val="21"/>
        <w:tblW w:w="136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1934"/>
        <w:gridCol w:w="1391"/>
        <w:gridCol w:w="1260"/>
        <w:gridCol w:w="1678"/>
        <w:gridCol w:w="1538"/>
        <w:gridCol w:w="1737"/>
        <w:gridCol w:w="1619"/>
        <w:gridCol w:w="1130"/>
      </w:tblGrid>
      <w:tr w14:paraId="703C45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319" w:type="dxa"/>
            <w:tcBorders>
              <w:tl2br w:val="single" w:color="auto" w:sz="4" w:space="0"/>
            </w:tcBorders>
            <w:tcMar>
              <w:left w:w="28" w:type="dxa"/>
              <w:right w:w="28" w:type="dxa"/>
            </w:tcMar>
            <w:vAlign w:val="center"/>
          </w:tcPr>
          <w:p w14:paraId="441B5393">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jc w:val="right"/>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t>项目</w:t>
            </w:r>
          </w:p>
          <w:p w14:paraId="09F4476E">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jc w:val="left"/>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t>分类</w:t>
            </w:r>
          </w:p>
        </w:tc>
        <w:tc>
          <w:tcPr>
            <w:tcW w:w="1934" w:type="dxa"/>
            <w:tcMar>
              <w:left w:w="28" w:type="dxa"/>
              <w:right w:w="28" w:type="dxa"/>
            </w:tcMar>
            <w:vAlign w:val="center"/>
          </w:tcPr>
          <w:p w14:paraId="4F5D52D0">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jc w:val="cente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t>污染物名称</w:t>
            </w:r>
          </w:p>
        </w:tc>
        <w:tc>
          <w:tcPr>
            <w:tcW w:w="1391" w:type="dxa"/>
            <w:tcMar>
              <w:left w:w="28" w:type="dxa"/>
              <w:right w:w="28" w:type="dxa"/>
            </w:tcMar>
            <w:vAlign w:val="center"/>
          </w:tcPr>
          <w:p w14:paraId="74BBE4D6">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jc w:val="cente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t>现有工程</w:t>
            </w:r>
          </w:p>
          <w:p w14:paraId="5EAF1BEE">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jc w:val="cente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instrText xml:space="preserve"> = 1 \* GB3 \* MERGEFORMAT </w:instrText>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cs="Times New Roman"/>
                <w:b/>
                <w:bCs/>
                <w:color w:val="000000" w:themeColor="text1"/>
                <w:kern w:val="2"/>
                <w:sz w:val="21"/>
                <w:szCs w:val="21"/>
                <w14:textFill>
                  <w14:solidFill>
                    <w14:schemeClr w14:val="tx1"/>
                  </w14:solidFill>
                </w14:textFill>
              </w:rPr>
              <w:t>①</w:t>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fldChar w:fldCharType="end"/>
            </w:r>
          </w:p>
        </w:tc>
        <w:tc>
          <w:tcPr>
            <w:tcW w:w="1260" w:type="dxa"/>
            <w:tcMar>
              <w:left w:w="28" w:type="dxa"/>
              <w:right w:w="28" w:type="dxa"/>
            </w:tcMar>
            <w:vAlign w:val="center"/>
          </w:tcPr>
          <w:p w14:paraId="465253E8">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jc w:val="cente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t>现有工程</w:t>
            </w:r>
          </w:p>
          <w:p w14:paraId="3ED9A19E">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jc w:val="cente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t>许可排放量</w:t>
            </w:r>
          </w:p>
          <w:p w14:paraId="07E8D9B6">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jc w:val="cente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instrText xml:space="preserve"> = 2 \* GB3 \* MERGEFORMAT </w:instrText>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t>②</w:t>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fldChar w:fldCharType="end"/>
            </w:r>
          </w:p>
        </w:tc>
        <w:tc>
          <w:tcPr>
            <w:tcW w:w="1678" w:type="dxa"/>
            <w:tcMar>
              <w:left w:w="28" w:type="dxa"/>
              <w:right w:w="28" w:type="dxa"/>
            </w:tcMar>
            <w:vAlign w:val="center"/>
          </w:tcPr>
          <w:p w14:paraId="4F8A3896">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jc w:val="cente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t>在建工程</w:t>
            </w:r>
          </w:p>
          <w:p w14:paraId="2FFCCB05">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jc w:val="cente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instrText xml:space="preserve"> = 3 \* GB3 \* MERGEFORMAT </w:instrText>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cs="Times New Roman"/>
                <w:b/>
                <w:bCs/>
                <w:color w:val="000000" w:themeColor="text1"/>
                <w:kern w:val="2"/>
                <w:sz w:val="21"/>
                <w:szCs w:val="21"/>
                <w14:textFill>
                  <w14:solidFill>
                    <w14:schemeClr w14:val="tx1"/>
                  </w14:solidFill>
                </w14:textFill>
              </w:rPr>
              <w:t>③</w:t>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fldChar w:fldCharType="end"/>
            </w:r>
          </w:p>
        </w:tc>
        <w:tc>
          <w:tcPr>
            <w:tcW w:w="1538" w:type="dxa"/>
            <w:tcMar>
              <w:left w:w="28" w:type="dxa"/>
              <w:right w:w="28" w:type="dxa"/>
            </w:tcMar>
            <w:vAlign w:val="center"/>
          </w:tcPr>
          <w:p w14:paraId="4FCF9463">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jc w:val="cente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t>本项目</w:t>
            </w:r>
          </w:p>
          <w:p w14:paraId="2020492D">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jc w:val="cente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instrText xml:space="preserve"> = 4 \* GB3 \* MERGEFORMAT </w:instrText>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cs="Times New Roman"/>
                <w:b/>
                <w:bCs/>
                <w:color w:val="000000" w:themeColor="text1"/>
                <w:kern w:val="2"/>
                <w:sz w:val="21"/>
                <w:szCs w:val="21"/>
                <w14:textFill>
                  <w14:solidFill>
                    <w14:schemeClr w14:val="tx1"/>
                  </w14:solidFill>
                </w14:textFill>
              </w:rPr>
              <w:t>④</w:t>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fldChar w:fldCharType="end"/>
            </w:r>
          </w:p>
        </w:tc>
        <w:tc>
          <w:tcPr>
            <w:tcW w:w="1737" w:type="dxa"/>
            <w:tcMar>
              <w:left w:w="28" w:type="dxa"/>
              <w:right w:w="28" w:type="dxa"/>
            </w:tcMar>
            <w:vAlign w:val="center"/>
          </w:tcPr>
          <w:p w14:paraId="7CBC40FA">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jc w:val="center"/>
              <w:rPr>
                <w:rFonts w:hint="default" w:ascii="Times New Roman" w:hAnsi="Times New Roman" w:cs="Times New Roman"/>
                <w:b/>
                <w:bCs/>
                <w:snapToGrid w:val="0"/>
                <w:color w:val="000000" w:themeColor="text1"/>
                <w:spacing w:val="-1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16"/>
                <w:kern w:val="21"/>
                <w:sz w:val="21"/>
                <w:szCs w:val="21"/>
                <w14:textFill>
                  <w14:solidFill>
                    <w14:schemeClr w14:val="tx1"/>
                  </w14:solidFill>
                </w14:textFill>
              </w:rPr>
              <w:t>以新带老削减量</w:t>
            </w:r>
          </w:p>
          <w:p w14:paraId="7B94B46D">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jc w:val="center"/>
              <w:rPr>
                <w:rFonts w:hint="default" w:ascii="Times New Roman" w:hAnsi="Times New Roman" w:cs="Times New Roman"/>
                <w:b/>
                <w:bCs/>
                <w:snapToGrid w:val="0"/>
                <w:color w:val="000000" w:themeColor="text1"/>
                <w:spacing w:val="-1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16"/>
                <w:kern w:val="21"/>
                <w:sz w:val="21"/>
                <w:szCs w:val="21"/>
                <w14:textFill>
                  <w14:solidFill>
                    <w14:schemeClr w14:val="tx1"/>
                  </w14:solidFill>
                </w14:textFill>
              </w:rPr>
              <w:t>（新建项目不填）</w:t>
            </w:r>
            <w:r>
              <w:rPr>
                <w:rFonts w:hint="default" w:ascii="Times New Roman" w:hAnsi="Times New Roman" w:cs="Times New Roman"/>
                <w:b/>
                <w:bCs/>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cs="Times New Roman"/>
                <w:b/>
                <w:bCs/>
                <w:snapToGrid w:val="0"/>
                <w:color w:val="000000" w:themeColor="text1"/>
                <w:spacing w:val="-16"/>
                <w:kern w:val="21"/>
                <w:sz w:val="21"/>
                <w:szCs w:val="21"/>
                <w14:textFill>
                  <w14:solidFill>
                    <w14:schemeClr w14:val="tx1"/>
                  </w14:solidFill>
                </w14:textFill>
              </w:rPr>
              <w:instrText xml:space="preserve"> = 5 \* GB3 \* MERGEFORMAT </w:instrText>
            </w:r>
            <w:r>
              <w:rPr>
                <w:rFonts w:hint="default" w:ascii="Times New Roman" w:hAnsi="Times New Roman" w:cs="Times New Roman"/>
                <w:b/>
                <w:bCs/>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cs="Times New Roman"/>
                <w:b/>
                <w:bCs/>
                <w:color w:val="000000" w:themeColor="text1"/>
                <w:kern w:val="2"/>
                <w:sz w:val="21"/>
                <w:szCs w:val="21"/>
                <w14:textFill>
                  <w14:solidFill>
                    <w14:schemeClr w14:val="tx1"/>
                  </w14:solidFill>
                </w14:textFill>
              </w:rPr>
              <w:t>⑤</w:t>
            </w:r>
            <w:r>
              <w:rPr>
                <w:rFonts w:hint="default" w:ascii="Times New Roman" w:hAnsi="Times New Roman" w:cs="Times New Roman"/>
                <w:b/>
                <w:bCs/>
                <w:snapToGrid w:val="0"/>
                <w:color w:val="000000" w:themeColor="text1"/>
                <w:spacing w:val="-16"/>
                <w:kern w:val="21"/>
                <w:sz w:val="21"/>
                <w:szCs w:val="21"/>
                <w14:textFill>
                  <w14:solidFill>
                    <w14:schemeClr w14:val="tx1"/>
                  </w14:solidFill>
                </w14:textFill>
              </w:rPr>
              <w:fldChar w:fldCharType="end"/>
            </w:r>
          </w:p>
        </w:tc>
        <w:tc>
          <w:tcPr>
            <w:tcW w:w="1619" w:type="dxa"/>
            <w:tcMar>
              <w:left w:w="28" w:type="dxa"/>
              <w:right w:w="28" w:type="dxa"/>
            </w:tcMar>
            <w:vAlign w:val="center"/>
          </w:tcPr>
          <w:p w14:paraId="5C750EB0">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rPr>
                <w:rFonts w:hint="default" w:ascii="Times New Roman" w:hAnsi="Times New Roman" w:cs="Times New Roman"/>
                <w:b/>
                <w:bCs/>
                <w:snapToGrid w:val="0"/>
                <w:color w:val="000000" w:themeColor="text1"/>
                <w:spacing w:val="-1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16"/>
                <w:kern w:val="21"/>
                <w:sz w:val="21"/>
                <w:szCs w:val="21"/>
                <w14:textFill>
                  <w14:solidFill>
                    <w14:schemeClr w14:val="tx1"/>
                  </w14:solidFill>
                </w14:textFill>
              </w:rPr>
              <w:t>本项目建成后</w:t>
            </w:r>
          </w:p>
          <w:p w14:paraId="393D2691">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rPr>
                <w:rFonts w:hint="default" w:ascii="Times New Roman" w:hAnsi="Times New Roman" w:cs="Times New Roman"/>
                <w:b/>
                <w:bCs/>
                <w:snapToGrid w:val="0"/>
                <w:color w:val="000000" w:themeColor="text1"/>
                <w:spacing w:val="-1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16"/>
                <w:kern w:val="21"/>
                <w:sz w:val="21"/>
                <w:szCs w:val="21"/>
                <w14:textFill>
                  <w14:solidFill>
                    <w14:schemeClr w14:val="tx1"/>
                  </w14:solidFill>
                </w14:textFill>
              </w:rPr>
              <w:t>全厂排放量（固体废物产生量）</w:t>
            </w:r>
            <w:r>
              <w:rPr>
                <w:rFonts w:hint="default" w:ascii="Times New Roman" w:hAnsi="Times New Roman" w:cs="Times New Roman"/>
                <w:b/>
                <w:bCs/>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cs="Times New Roman"/>
                <w:b/>
                <w:bCs/>
                <w:snapToGrid w:val="0"/>
                <w:color w:val="000000" w:themeColor="text1"/>
                <w:spacing w:val="-16"/>
                <w:kern w:val="21"/>
                <w:sz w:val="21"/>
                <w:szCs w:val="21"/>
                <w14:textFill>
                  <w14:solidFill>
                    <w14:schemeClr w14:val="tx1"/>
                  </w14:solidFill>
                </w14:textFill>
              </w:rPr>
              <w:instrText xml:space="preserve"> = 6 \* GB3 \* MERGEFORMAT </w:instrText>
            </w:r>
            <w:r>
              <w:rPr>
                <w:rFonts w:hint="default" w:ascii="Times New Roman" w:hAnsi="Times New Roman" w:cs="Times New Roman"/>
                <w:b/>
                <w:bCs/>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cs="Times New Roman"/>
                <w:b/>
                <w:bCs/>
                <w:color w:val="000000" w:themeColor="text1"/>
                <w:kern w:val="2"/>
                <w:sz w:val="21"/>
                <w:szCs w:val="21"/>
                <w14:textFill>
                  <w14:solidFill>
                    <w14:schemeClr w14:val="tx1"/>
                  </w14:solidFill>
                </w14:textFill>
              </w:rPr>
              <w:t>⑥</w:t>
            </w:r>
            <w:r>
              <w:rPr>
                <w:rFonts w:hint="default" w:ascii="Times New Roman" w:hAnsi="Times New Roman" w:cs="Times New Roman"/>
                <w:b/>
                <w:bCs/>
                <w:snapToGrid w:val="0"/>
                <w:color w:val="000000" w:themeColor="text1"/>
                <w:spacing w:val="-16"/>
                <w:kern w:val="21"/>
                <w:sz w:val="21"/>
                <w:szCs w:val="21"/>
                <w14:textFill>
                  <w14:solidFill>
                    <w14:schemeClr w14:val="tx1"/>
                  </w14:solidFill>
                </w14:textFill>
              </w:rPr>
              <w:fldChar w:fldCharType="end"/>
            </w:r>
          </w:p>
        </w:tc>
        <w:tc>
          <w:tcPr>
            <w:tcW w:w="1130" w:type="dxa"/>
            <w:tcMar>
              <w:left w:w="28" w:type="dxa"/>
              <w:right w:w="28" w:type="dxa"/>
            </w:tcMar>
            <w:vAlign w:val="center"/>
          </w:tcPr>
          <w:p w14:paraId="7EC17BBE">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t>变化量</w:t>
            </w:r>
          </w:p>
          <w:p w14:paraId="7FD4420A">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pP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instrText xml:space="preserve"> = 7 \* GB3 \* MERGEFORMAT </w:instrText>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cs="Times New Roman"/>
                <w:b/>
                <w:bCs/>
                <w:color w:val="000000" w:themeColor="text1"/>
                <w:kern w:val="2"/>
                <w:sz w:val="21"/>
                <w:szCs w:val="21"/>
                <w14:textFill>
                  <w14:solidFill>
                    <w14:schemeClr w14:val="tx1"/>
                  </w14:solidFill>
                </w14:textFill>
              </w:rPr>
              <w:t>⑦</w:t>
            </w:r>
            <w:r>
              <w:rPr>
                <w:rFonts w:hint="default" w:ascii="Times New Roman" w:hAnsi="Times New Roman" w:cs="Times New Roman"/>
                <w:b/>
                <w:bCs/>
                <w:snapToGrid w:val="0"/>
                <w:color w:val="000000" w:themeColor="text1"/>
                <w:spacing w:val="-6"/>
                <w:kern w:val="21"/>
                <w:sz w:val="21"/>
                <w:szCs w:val="21"/>
                <w14:textFill>
                  <w14:solidFill>
                    <w14:schemeClr w14:val="tx1"/>
                  </w14:solidFill>
                </w14:textFill>
              </w:rPr>
              <w:fldChar w:fldCharType="end"/>
            </w:r>
          </w:p>
        </w:tc>
      </w:tr>
      <w:tr w14:paraId="5470F6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19" w:type="dxa"/>
            <w:vMerge w:val="restart"/>
            <w:vAlign w:val="center"/>
          </w:tcPr>
          <w:p w14:paraId="13AC6490">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废气</w:t>
            </w:r>
          </w:p>
        </w:tc>
        <w:tc>
          <w:tcPr>
            <w:tcW w:w="1934" w:type="dxa"/>
            <w:vAlign w:val="center"/>
          </w:tcPr>
          <w:p w14:paraId="55A88C85">
            <w:pPr>
              <w:pStyle w:val="50"/>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非甲烷总烃</w:t>
            </w:r>
          </w:p>
        </w:tc>
        <w:tc>
          <w:tcPr>
            <w:tcW w:w="1391" w:type="dxa"/>
            <w:shd w:val="clear" w:color="auto" w:fill="auto"/>
            <w:vAlign w:val="center"/>
          </w:tcPr>
          <w:p w14:paraId="47AB4383">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shd w:val="clear" w:color="auto" w:fill="auto"/>
            <w:vAlign w:val="center"/>
          </w:tcPr>
          <w:p w14:paraId="4256D792">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shd w:val="clear" w:color="auto" w:fill="auto"/>
            <w:vAlign w:val="center"/>
          </w:tcPr>
          <w:p w14:paraId="56F2637C">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143802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0.554</w:t>
            </w:r>
          </w:p>
        </w:tc>
        <w:tc>
          <w:tcPr>
            <w:tcW w:w="1737" w:type="dxa"/>
            <w:shd w:val="clear" w:color="auto" w:fill="auto"/>
            <w:vAlign w:val="center"/>
          </w:tcPr>
          <w:p w14:paraId="3F6D4E12">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0B6C99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0.554</w:t>
            </w:r>
          </w:p>
        </w:tc>
        <w:tc>
          <w:tcPr>
            <w:tcW w:w="1130" w:type="dxa"/>
            <w:shd w:val="clear" w:color="auto" w:fill="auto"/>
            <w:vAlign w:val="center"/>
          </w:tcPr>
          <w:p w14:paraId="54057B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0.554</w:t>
            </w:r>
          </w:p>
        </w:tc>
      </w:tr>
      <w:tr w14:paraId="68C23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19" w:type="dxa"/>
            <w:vMerge w:val="continue"/>
            <w:vAlign w:val="center"/>
          </w:tcPr>
          <w:p w14:paraId="3D09EA70">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vAlign w:val="center"/>
          </w:tcPr>
          <w:p w14:paraId="38F60162">
            <w:pPr>
              <w:pStyle w:val="50"/>
              <w:keepNext w:val="0"/>
              <w:keepLines w:val="0"/>
              <w:pageBreakBefore w:val="0"/>
              <w:suppressLineNumbers w:val="0"/>
              <w:kinsoku/>
              <w:wordWrap/>
              <w:overflowPunct/>
              <w:topLinePunct w:val="0"/>
              <w:bidi w:val="0"/>
              <w:spacing w:before="0" w:beforeAutospacing="0" w:after="0" w:afterAutospacing="0" w:line="240" w:lineRule="auto"/>
              <w:ind w:left="0" w:right="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颗粒物</w:t>
            </w:r>
          </w:p>
        </w:tc>
        <w:tc>
          <w:tcPr>
            <w:tcW w:w="1391" w:type="dxa"/>
            <w:shd w:val="clear" w:color="auto" w:fill="auto"/>
            <w:vAlign w:val="center"/>
          </w:tcPr>
          <w:p w14:paraId="3B7A000E">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shd w:val="clear" w:color="auto" w:fill="auto"/>
            <w:vAlign w:val="center"/>
          </w:tcPr>
          <w:p w14:paraId="6F113611">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shd w:val="clear" w:color="auto" w:fill="auto"/>
            <w:vAlign w:val="center"/>
          </w:tcPr>
          <w:p w14:paraId="219B2F01">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7E4E1DB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0.338</w:t>
            </w:r>
          </w:p>
        </w:tc>
        <w:tc>
          <w:tcPr>
            <w:tcW w:w="1737" w:type="dxa"/>
            <w:shd w:val="clear" w:color="auto" w:fill="auto"/>
            <w:vAlign w:val="center"/>
          </w:tcPr>
          <w:p w14:paraId="33D0DE0B">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33D5DC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0.338</w:t>
            </w:r>
          </w:p>
        </w:tc>
        <w:tc>
          <w:tcPr>
            <w:tcW w:w="1130" w:type="dxa"/>
            <w:shd w:val="clear" w:color="auto" w:fill="auto"/>
            <w:vAlign w:val="center"/>
          </w:tcPr>
          <w:p w14:paraId="37EE4D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+0.338</w:t>
            </w:r>
          </w:p>
        </w:tc>
      </w:tr>
      <w:tr w14:paraId="58807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19" w:type="dxa"/>
            <w:vMerge w:val="continue"/>
            <w:vAlign w:val="center"/>
          </w:tcPr>
          <w:p w14:paraId="28AA238D">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shd w:val="clear" w:color="auto" w:fill="auto"/>
            <w:vAlign w:val="center"/>
          </w:tcPr>
          <w:p w14:paraId="3666DE9B">
            <w:pPr>
              <w:widowControl/>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SO</w:t>
            </w:r>
            <w:r>
              <w:rPr>
                <w:rFonts w:hint="default" w:ascii="Times New Roman" w:hAnsi="Times New Roman" w:cs="Times New Roman"/>
                <w:color w:val="000000" w:themeColor="text1"/>
                <w:kern w:val="0"/>
                <w:sz w:val="21"/>
                <w:szCs w:val="21"/>
                <w:highlight w:val="none"/>
                <w:vertAlign w:val="subscript"/>
                <w:lang w:val="en-US" w:eastAsia="zh-CN" w:bidi="ar"/>
                <w14:textFill>
                  <w14:solidFill>
                    <w14:schemeClr w14:val="tx1"/>
                  </w14:solidFill>
                </w14:textFill>
              </w:rPr>
              <w:t>2</w:t>
            </w:r>
          </w:p>
        </w:tc>
        <w:tc>
          <w:tcPr>
            <w:tcW w:w="1391" w:type="dxa"/>
            <w:shd w:val="clear" w:color="auto" w:fill="auto"/>
            <w:vAlign w:val="center"/>
          </w:tcPr>
          <w:p w14:paraId="30E756BA">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shd w:val="clear" w:color="auto" w:fill="auto"/>
            <w:vAlign w:val="center"/>
          </w:tcPr>
          <w:p w14:paraId="5EDFDFCE">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shd w:val="clear" w:color="auto" w:fill="auto"/>
            <w:vAlign w:val="center"/>
          </w:tcPr>
          <w:p w14:paraId="092E0840">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shd w:val="clear" w:color="auto" w:fill="auto"/>
            <w:vAlign w:val="center"/>
          </w:tcPr>
          <w:p w14:paraId="28C951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0.030 </w:t>
            </w:r>
          </w:p>
        </w:tc>
        <w:tc>
          <w:tcPr>
            <w:tcW w:w="1737" w:type="dxa"/>
            <w:shd w:val="clear" w:color="auto" w:fill="auto"/>
            <w:vAlign w:val="center"/>
          </w:tcPr>
          <w:p w14:paraId="5F473D3B">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6D379B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0.030 </w:t>
            </w:r>
          </w:p>
        </w:tc>
        <w:tc>
          <w:tcPr>
            <w:tcW w:w="1130" w:type="dxa"/>
            <w:shd w:val="clear" w:color="auto" w:fill="auto"/>
            <w:vAlign w:val="center"/>
          </w:tcPr>
          <w:p w14:paraId="51D77D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0.030 </w:t>
            </w:r>
          </w:p>
        </w:tc>
      </w:tr>
      <w:tr w14:paraId="65740D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19" w:type="dxa"/>
            <w:vMerge w:val="continue"/>
            <w:vAlign w:val="center"/>
          </w:tcPr>
          <w:p w14:paraId="681D6792">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shd w:val="clear" w:color="auto" w:fill="auto"/>
            <w:vAlign w:val="center"/>
          </w:tcPr>
          <w:p w14:paraId="768C4BA6">
            <w:pPr>
              <w:widowControl/>
              <w:jc w:val="center"/>
              <w:textAlignment w:val="center"/>
              <w:rPr>
                <w:rFonts w:hint="default" w:ascii="Times New Roman" w:hAnsi="Times New Roman" w:cs="Times New Roman" w:eastAsiaTheme="minorEastAsia"/>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highlight w:val="none"/>
                <w:lang w:val="en-US" w:eastAsia="zh-CN" w:bidi="ar"/>
                <w14:textFill>
                  <w14:solidFill>
                    <w14:schemeClr w14:val="tx1"/>
                  </w14:solidFill>
                </w14:textFill>
              </w:rPr>
              <w:t>NO</w:t>
            </w:r>
            <w:r>
              <w:rPr>
                <w:rFonts w:hint="default" w:ascii="Times New Roman" w:hAnsi="Times New Roman" w:cs="Times New Roman"/>
                <w:color w:val="000000" w:themeColor="text1"/>
                <w:kern w:val="0"/>
                <w:sz w:val="21"/>
                <w:szCs w:val="21"/>
                <w:highlight w:val="none"/>
                <w:vertAlign w:val="subscript"/>
                <w:lang w:val="en-US" w:eastAsia="zh-CN" w:bidi="ar"/>
                <w14:textFill>
                  <w14:solidFill>
                    <w14:schemeClr w14:val="tx1"/>
                  </w14:solidFill>
                </w14:textFill>
              </w:rPr>
              <w:t>X</w:t>
            </w:r>
          </w:p>
        </w:tc>
        <w:tc>
          <w:tcPr>
            <w:tcW w:w="1391" w:type="dxa"/>
            <w:shd w:val="clear" w:color="auto" w:fill="auto"/>
            <w:vAlign w:val="center"/>
          </w:tcPr>
          <w:p w14:paraId="36ADD4D6">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shd w:val="clear" w:color="auto" w:fill="auto"/>
            <w:vAlign w:val="center"/>
          </w:tcPr>
          <w:p w14:paraId="28F2AE18">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shd w:val="clear" w:color="auto" w:fill="auto"/>
            <w:vAlign w:val="center"/>
          </w:tcPr>
          <w:p w14:paraId="46929930">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shd w:val="clear" w:color="auto" w:fill="auto"/>
            <w:vAlign w:val="center"/>
          </w:tcPr>
          <w:p w14:paraId="4F071D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0.140</w:t>
            </w:r>
          </w:p>
        </w:tc>
        <w:tc>
          <w:tcPr>
            <w:tcW w:w="1737" w:type="dxa"/>
            <w:shd w:val="clear" w:color="auto" w:fill="auto"/>
            <w:vAlign w:val="center"/>
          </w:tcPr>
          <w:p w14:paraId="5B7089A4">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vAlign w:val="center"/>
          </w:tcPr>
          <w:p w14:paraId="781375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0.140</w:t>
            </w:r>
          </w:p>
        </w:tc>
        <w:tc>
          <w:tcPr>
            <w:tcW w:w="1130" w:type="dxa"/>
            <w:vAlign w:val="center"/>
          </w:tcPr>
          <w:p w14:paraId="3D75D3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+0.140</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r>
      <w:tr w14:paraId="76A644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19" w:type="dxa"/>
            <w:vMerge w:val="restart"/>
            <w:vAlign w:val="center"/>
          </w:tcPr>
          <w:p w14:paraId="2D5A522E">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废水</w:t>
            </w:r>
          </w:p>
        </w:tc>
        <w:tc>
          <w:tcPr>
            <w:tcW w:w="1934" w:type="dxa"/>
            <w:vAlign w:val="center"/>
          </w:tcPr>
          <w:p w14:paraId="312A419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COD</w:t>
            </w:r>
          </w:p>
        </w:tc>
        <w:tc>
          <w:tcPr>
            <w:tcW w:w="1391" w:type="dxa"/>
            <w:vAlign w:val="center"/>
          </w:tcPr>
          <w:p w14:paraId="481CD164">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vAlign w:val="center"/>
          </w:tcPr>
          <w:p w14:paraId="40B1230D">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vAlign w:val="center"/>
          </w:tcPr>
          <w:p w14:paraId="56D09081">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63A532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0.0095 </w:t>
            </w:r>
          </w:p>
        </w:tc>
        <w:tc>
          <w:tcPr>
            <w:tcW w:w="1737" w:type="dxa"/>
            <w:vAlign w:val="center"/>
          </w:tcPr>
          <w:p w14:paraId="21900146">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w:t>
            </w:r>
          </w:p>
        </w:tc>
        <w:tc>
          <w:tcPr>
            <w:tcW w:w="1619" w:type="dxa"/>
            <w:vAlign w:val="center"/>
          </w:tcPr>
          <w:p w14:paraId="318276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0.0095 </w:t>
            </w:r>
          </w:p>
        </w:tc>
        <w:tc>
          <w:tcPr>
            <w:tcW w:w="1130" w:type="dxa"/>
            <w:vAlign w:val="center"/>
          </w:tcPr>
          <w:p w14:paraId="634C7D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0.0095 </w:t>
            </w:r>
          </w:p>
        </w:tc>
      </w:tr>
      <w:tr w14:paraId="40E0C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19" w:type="dxa"/>
            <w:vMerge w:val="continue"/>
            <w:vAlign w:val="center"/>
          </w:tcPr>
          <w:p w14:paraId="79642353">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vAlign w:val="center"/>
          </w:tcPr>
          <w:p w14:paraId="6132C78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BOD</w:t>
            </w:r>
            <w:r>
              <w:rPr>
                <w:rFonts w:hint="default" w:ascii="Times New Roman" w:hAnsi="Times New Roman" w:cs="Times New Roman"/>
                <w:color w:val="000000" w:themeColor="text1"/>
                <w:kern w:val="0"/>
                <w:sz w:val="21"/>
                <w:szCs w:val="21"/>
                <w:vertAlign w:val="subscript"/>
                <w14:textFill>
                  <w14:solidFill>
                    <w14:schemeClr w14:val="tx1"/>
                  </w14:solidFill>
                </w14:textFill>
              </w:rPr>
              <w:t>5</w:t>
            </w:r>
          </w:p>
        </w:tc>
        <w:tc>
          <w:tcPr>
            <w:tcW w:w="1391" w:type="dxa"/>
            <w:vAlign w:val="center"/>
          </w:tcPr>
          <w:p w14:paraId="2CFBFB99">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vAlign w:val="center"/>
          </w:tcPr>
          <w:p w14:paraId="3A8C3950">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vAlign w:val="center"/>
          </w:tcPr>
          <w:p w14:paraId="506481AB">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0508AE2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0.0017 </w:t>
            </w:r>
          </w:p>
        </w:tc>
        <w:tc>
          <w:tcPr>
            <w:tcW w:w="1737" w:type="dxa"/>
            <w:vAlign w:val="center"/>
          </w:tcPr>
          <w:p w14:paraId="1807F30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w:t>
            </w:r>
          </w:p>
        </w:tc>
        <w:tc>
          <w:tcPr>
            <w:tcW w:w="1619" w:type="dxa"/>
            <w:vAlign w:val="center"/>
          </w:tcPr>
          <w:p w14:paraId="04C4BF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0.0017 </w:t>
            </w:r>
          </w:p>
        </w:tc>
        <w:tc>
          <w:tcPr>
            <w:tcW w:w="1130" w:type="dxa"/>
            <w:vAlign w:val="center"/>
          </w:tcPr>
          <w:p w14:paraId="30B670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0.0017 </w:t>
            </w:r>
          </w:p>
        </w:tc>
      </w:tr>
      <w:tr w14:paraId="7BC3C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19" w:type="dxa"/>
            <w:vMerge w:val="continue"/>
            <w:vAlign w:val="center"/>
          </w:tcPr>
          <w:p w14:paraId="191D0303">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vAlign w:val="center"/>
          </w:tcPr>
          <w:p w14:paraId="2F81048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SS</w:t>
            </w:r>
          </w:p>
        </w:tc>
        <w:tc>
          <w:tcPr>
            <w:tcW w:w="1391" w:type="dxa"/>
            <w:vAlign w:val="center"/>
          </w:tcPr>
          <w:p w14:paraId="6EE7FD3D">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vAlign w:val="center"/>
          </w:tcPr>
          <w:p w14:paraId="742BA625">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vAlign w:val="center"/>
          </w:tcPr>
          <w:p w14:paraId="13962B8F">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75BD07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0.0032 </w:t>
            </w:r>
          </w:p>
        </w:tc>
        <w:tc>
          <w:tcPr>
            <w:tcW w:w="1737" w:type="dxa"/>
            <w:vAlign w:val="center"/>
          </w:tcPr>
          <w:p w14:paraId="3C4EA757">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w:t>
            </w:r>
          </w:p>
        </w:tc>
        <w:tc>
          <w:tcPr>
            <w:tcW w:w="1619" w:type="dxa"/>
            <w:vAlign w:val="center"/>
          </w:tcPr>
          <w:p w14:paraId="6421F6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0.0032 </w:t>
            </w:r>
          </w:p>
        </w:tc>
        <w:tc>
          <w:tcPr>
            <w:tcW w:w="1130" w:type="dxa"/>
            <w:vAlign w:val="center"/>
          </w:tcPr>
          <w:p w14:paraId="662839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0.0032 </w:t>
            </w:r>
          </w:p>
        </w:tc>
      </w:tr>
      <w:tr w14:paraId="14351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19" w:type="dxa"/>
            <w:vMerge w:val="continue"/>
            <w:vAlign w:val="center"/>
          </w:tcPr>
          <w:p w14:paraId="45A2DDEF">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vAlign w:val="center"/>
          </w:tcPr>
          <w:p w14:paraId="498D65A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NH</w:t>
            </w:r>
            <w:r>
              <w:rPr>
                <w:rFonts w:hint="default" w:ascii="Times New Roman" w:hAnsi="Times New Roman" w:cs="Times New Roman"/>
                <w:color w:val="000000" w:themeColor="text1"/>
                <w:kern w:val="0"/>
                <w:sz w:val="21"/>
                <w:szCs w:val="21"/>
                <w:vertAlign w:val="subscript"/>
                <w14:textFill>
                  <w14:solidFill>
                    <w14:schemeClr w14:val="tx1"/>
                  </w14:solidFill>
                </w14:textFill>
              </w:rPr>
              <w:t>3</w:t>
            </w:r>
            <w:r>
              <w:rPr>
                <w:rFonts w:hint="default" w:ascii="Times New Roman" w:hAnsi="Times New Roman" w:cs="Times New Roman"/>
                <w:color w:val="000000" w:themeColor="text1"/>
                <w:kern w:val="0"/>
                <w:sz w:val="21"/>
                <w:szCs w:val="21"/>
                <w14:textFill>
                  <w14:solidFill>
                    <w14:schemeClr w14:val="tx1"/>
                  </w14:solidFill>
                </w14:textFill>
              </w:rPr>
              <w:t>-N</w:t>
            </w:r>
          </w:p>
        </w:tc>
        <w:tc>
          <w:tcPr>
            <w:tcW w:w="1391" w:type="dxa"/>
            <w:vAlign w:val="center"/>
          </w:tcPr>
          <w:p w14:paraId="4E80FFB7">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vAlign w:val="center"/>
          </w:tcPr>
          <w:p w14:paraId="43664AFA">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vAlign w:val="center"/>
          </w:tcPr>
          <w:p w14:paraId="23DE7A9A">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7BB56F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0.0004 </w:t>
            </w:r>
          </w:p>
        </w:tc>
        <w:tc>
          <w:tcPr>
            <w:tcW w:w="1737" w:type="dxa"/>
            <w:vAlign w:val="center"/>
          </w:tcPr>
          <w:p w14:paraId="020D03CC">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w:t>
            </w:r>
          </w:p>
        </w:tc>
        <w:tc>
          <w:tcPr>
            <w:tcW w:w="1619" w:type="dxa"/>
            <w:vAlign w:val="center"/>
          </w:tcPr>
          <w:p w14:paraId="7622E4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0.0004 </w:t>
            </w:r>
          </w:p>
        </w:tc>
        <w:tc>
          <w:tcPr>
            <w:tcW w:w="1130" w:type="dxa"/>
            <w:vAlign w:val="center"/>
          </w:tcPr>
          <w:p w14:paraId="027835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0.0004 </w:t>
            </w:r>
          </w:p>
        </w:tc>
      </w:tr>
      <w:tr w14:paraId="21B0BE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1319" w:type="dxa"/>
            <w:vMerge w:val="continue"/>
            <w:vAlign w:val="center"/>
          </w:tcPr>
          <w:p w14:paraId="585EB65E">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vAlign w:val="center"/>
          </w:tcPr>
          <w:p w14:paraId="6521385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总磷</w:t>
            </w:r>
          </w:p>
        </w:tc>
        <w:tc>
          <w:tcPr>
            <w:tcW w:w="1391" w:type="dxa"/>
            <w:vAlign w:val="center"/>
          </w:tcPr>
          <w:p w14:paraId="117E77AF">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vAlign w:val="center"/>
          </w:tcPr>
          <w:p w14:paraId="717A290A">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vAlign w:val="center"/>
          </w:tcPr>
          <w:p w14:paraId="1F850958">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43745A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0.0001 </w:t>
            </w:r>
          </w:p>
        </w:tc>
        <w:tc>
          <w:tcPr>
            <w:tcW w:w="1737" w:type="dxa"/>
            <w:vAlign w:val="center"/>
          </w:tcPr>
          <w:p w14:paraId="0CFA149E">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w:t>
            </w:r>
          </w:p>
        </w:tc>
        <w:tc>
          <w:tcPr>
            <w:tcW w:w="1619" w:type="dxa"/>
            <w:vAlign w:val="center"/>
          </w:tcPr>
          <w:p w14:paraId="236360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0.0001 </w:t>
            </w:r>
          </w:p>
        </w:tc>
        <w:tc>
          <w:tcPr>
            <w:tcW w:w="1130" w:type="dxa"/>
            <w:vAlign w:val="center"/>
          </w:tcPr>
          <w:p w14:paraId="365AA2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0.0001 </w:t>
            </w:r>
          </w:p>
        </w:tc>
      </w:tr>
      <w:tr w14:paraId="1560C2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19" w:type="dxa"/>
            <w:vMerge w:val="continue"/>
            <w:vAlign w:val="center"/>
          </w:tcPr>
          <w:p w14:paraId="0F1C6FB7">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vAlign w:val="center"/>
          </w:tcPr>
          <w:p w14:paraId="4D38759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石油类</w:t>
            </w:r>
          </w:p>
        </w:tc>
        <w:tc>
          <w:tcPr>
            <w:tcW w:w="1391" w:type="dxa"/>
            <w:vAlign w:val="center"/>
          </w:tcPr>
          <w:p w14:paraId="09659843">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vAlign w:val="center"/>
          </w:tcPr>
          <w:p w14:paraId="71AFDE31">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vAlign w:val="center"/>
          </w:tcPr>
          <w:p w14:paraId="62BCE8EA">
            <w:pPr>
              <w:keepNext w:val="0"/>
              <w:keepLines w:val="0"/>
              <w:pageBreakBefore w:val="0"/>
              <w:suppressLineNumbers w:val="0"/>
              <w:kinsoku/>
              <w:wordWrap/>
              <w:overflowPunct/>
              <w:topLinePunct w:val="0"/>
              <w:bidi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5E6BE5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0.00003 </w:t>
            </w:r>
          </w:p>
        </w:tc>
        <w:tc>
          <w:tcPr>
            <w:tcW w:w="1737" w:type="dxa"/>
            <w:vAlign w:val="center"/>
          </w:tcPr>
          <w:p w14:paraId="434A6D51">
            <w:pPr>
              <w:keepNext w:val="0"/>
              <w:keepLines w:val="0"/>
              <w:pageBreakBefore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w:t>
            </w:r>
          </w:p>
        </w:tc>
        <w:tc>
          <w:tcPr>
            <w:tcW w:w="1619" w:type="dxa"/>
            <w:vAlign w:val="center"/>
          </w:tcPr>
          <w:p w14:paraId="4DB001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0.00003 </w:t>
            </w:r>
          </w:p>
        </w:tc>
        <w:tc>
          <w:tcPr>
            <w:tcW w:w="1130" w:type="dxa"/>
            <w:vAlign w:val="center"/>
          </w:tcPr>
          <w:p w14:paraId="6C2EF1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0.00003 </w:t>
            </w:r>
          </w:p>
        </w:tc>
      </w:tr>
      <w:tr w14:paraId="7E5FE9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319" w:type="dxa"/>
            <w:vAlign w:val="center"/>
          </w:tcPr>
          <w:p w14:paraId="1101F833">
            <w:pPr>
              <w:pStyle w:val="50"/>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生活垃圾</w:t>
            </w:r>
          </w:p>
        </w:tc>
        <w:tc>
          <w:tcPr>
            <w:tcW w:w="1934" w:type="dxa"/>
            <w:vAlign w:val="center"/>
          </w:tcPr>
          <w:p w14:paraId="44F4295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生活垃圾</w:t>
            </w:r>
          </w:p>
        </w:tc>
        <w:tc>
          <w:tcPr>
            <w:tcW w:w="1391" w:type="dxa"/>
            <w:vAlign w:val="center"/>
          </w:tcPr>
          <w:p w14:paraId="7879A5EF">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vAlign w:val="center"/>
          </w:tcPr>
          <w:p w14:paraId="685403FE">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vAlign w:val="center"/>
          </w:tcPr>
          <w:p w14:paraId="05FE5342">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7AEB79C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3</w:t>
            </w:r>
          </w:p>
        </w:tc>
        <w:tc>
          <w:tcPr>
            <w:tcW w:w="1737" w:type="dxa"/>
            <w:vAlign w:val="center"/>
          </w:tcPr>
          <w:p w14:paraId="1D843052">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359000F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3</w:t>
            </w:r>
          </w:p>
        </w:tc>
        <w:tc>
          <w:tcPr>
            <w:tcW w:w="1130" w:type="dxa"/>
            <w:shd w:val="clear" w:color="auto" w:fill="auto"/>
            <w:vAlign w:val="center"/>
          </w:tcPr>
          <w:p w14:paraId="2322A10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+3</w:t>
            </w:r>
          </w:p>
        </w:tc>
      </w:tr>
      <w:tr w14:paraId="13975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1319" w:type="dxa"/>
            <w:vMerge w:val="restart"/>
            <w:vAlign w:val="center"/>
          </w:tcPr>
          <w:p w14:paraId="083B1036">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right="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一般工业</w:t>
            </w:r>
          </w:p>
          <w:p w14:paraId="241DD70C">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固体废物</w:t>
            </w:r>
          </w:p>
        </w:tc>
        <w:tc>
          <w:tcPr>
            <w:tcW w:w="1934" w:type="dxa"/>
            <w:shd w:val="clear" w:color="auto" w:fill="auto"/>
            <w:vAlign w:val="center"/>
          </w:tcPr>
          <w:p w14:paraId="54E477F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废砂纸</w:t>
            </w:r>
          </w:p>
        </w:tc>
        <w:tc>
          <w:tcPr>
            <w:tcW w:w="1391" w:type="dxa"/>
            <w:vAlign w:val="center"/>
          </w:tcPr>
          <w:p w14:paraId="01264B85">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vAlign w:val="center"/>
          </w:tcPr>
          <w:p w14:paraId="2CD522A7">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vAlign w:val="center"/>
          </w:tcPr>
          <w:p w14:paraId="7CC195BE">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372D3D5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0.5</w:t>
            </w:r>
          </w:p>
        </w:tc>
        <w:tc>
          <w:tcPr>
            <w:tcW w:w="1737" w:type="dxa"/>
            <w:vAlign w:val="center"/>
          </w:tcPr>
          <w:p w14:paraId="32101BC9">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094F87E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0.5</w:t>
            </w:r>
          </w:p>
        </w:tc>
        <w:tc>
          <w:tcPr>
            <w:tcW w:w="1130" w:type="dxa"/>
            <w:shd w:val="clear" w:color="auto" w:fill="auto"/>
            <w:vAlign w:val="center"/>
          </w:tcPr>
          <w:p w14:paraId="5FD94C0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+0.5</w:t>
            </w:r>
          </w:p>
        </w:tc>
      </w:tr>
      <w:tr w14:paraId="0A792C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319" w:type="dxa"/>
            <w:vMerge w:val="continue"/>
            <w:vAlign w:val="center"/>
          </w:tcPr>
          <w:p w14:paraId="7D3D3AA4">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shd w:val="clear" w:color="auto" w:fill="auto"/>
            <w:vAlign w:val="center"/>
          </w:tcPr>
          <w:p w14:paraId="77AE77C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废贴花纸</w:t>
            </w:r>
          </w:p>
        </w:tc>
        <w:tc>
          <w:tcPr>
            <w:tcW w:w="1391" w:type="dxa"/>
            <w:shd w:val="clear" w:color="auto" w:fill="auto"/>
            <w:vAlign w:val="center"/>
          </w:tcPr>
          <w:p w14:paraId="28301599">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shd w:val="clear" w:color="auto" w:fill="auto"/>
            <w:vAlign w:val="center"/>
          </w:tcPr>
          <w:p w14:paraId="610CC046">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shd w:val="clear" w:color="auto" w:fill="auto"/>
            <w:vAlign w:val="center"/>
          </w:tcPr>
          <w:p w14:paraId="4B450B36">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5913CE4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0.2</w:t>
            </w:r>
          </w:p>
        </w:tc>
        <w:tc>
          <w:tcPr>
            <w:tcW w:w="1737" w:type="dxa"/>
            <w:vAlign w:val="center"/>
          </w:tcPr>
          <w:p w14:paraId="550959FD">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376BA16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0.2</w:t>
            </w:r>
          </w:p>
        </w:tc>
        <w:tc>
          <w:tcPr>
            <w:tcW w:w="1130" w:type="dxa"/>
            <w:shd w:val="clear" w:color="auto" w:fill="auto"/>
            <w:vAlign w:val="center"/>
          </w:tcPr>
          <w:p w14:paraId="37A5594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+0.2</w:t>
            </w:r>
          </w:p>
        </w:tc>
      </w:tr>
      <w:tr w14:paraId="5D5BC3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19" w:type="dxa"/>
            <w:vMerge w:val="continue"/>
            <w:vAlign w:val="center"/>
          </w:tcPr>
          <w:p w14:paraId="44C1A4DF">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shd w:val="clear" w:color="auto" w:fill="auto"/>
            <w:vAlign w:val="center"/>
          </w:tcPr>
          <w:p w14:paraId="4053760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不合格品</w:t>
            </w:r>
          </w:p>
        </w:tc>
        <w:tc>
          <w:tcPr>
            <w:tcW w:w="1391" w:type="dxa"/>
            <w:vAlign w:val="center"/>
          </w:tcPr>
          <w:p w14:paraId="5564E86B">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vAlign w:val="center"/>
          </w:tcPr>
          <w:p w14:paraId="34224B99">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vAlign w:val="center"/>
          </w:tcPr>
          <w:p w14:paraId="70C6FDE9">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27B5E61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w:t>
            </w:r>
            <w:r>
              <w:rPr>
                <w:rFonts w:hint="eastAsia" w:cs="Times New Roman"/>
                <w:color w:val="000000" w:themeColor="text1"/>
                <w:kern w:val="0"/>
                <w:sz w:val="21"/>
                <w:szCs w:val="21"/>
                <w:lang w:val="en-US" w:eastAsia="zh-CN"/>
                <w14:textFill>
                  <w14:solidFill>
                    <w14:schemeClr w14:val="tx1"/>
                  </w14:solidFill>
                </w14:textFill>
              </w:rPr>
              <w:t>1</w:t>
            </w:r>
          </w:p>
        </w:tc>
        <w:tc>
          <w:tcPr>
            <w:tcW w:w="1737" w:type="dxa"/>
            <w:vAlign w:val="center"/>
          </w:tcPr>
          <w:p w14:paraId="49A5EFCB">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607ECB7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w:t>
            </w:r>
            <w:r>
              <w:rPr>
                <w:rFonts w:hint="eastAsia" w:cs="Times New Roman"/>
                <w:color w:val="000000" w:themeColor="text1"/>
                <w:kern w:val="0"/>
                <w:sz w:val="21"/>
                <w:szCs w:val="21"/>
                <w:lang w:val="en-US" w:eastAsia="zh-CN"/>
                <w14:textFill>
                  <w14:solidFill>
                    <w14:schemeClr w14:val="tx1"/>
                  </w14:solidFill>
                </w14:textFill>
              </w:rPr>
              <w:t>1</w:t>
            </w:r>
          </w:p>
        </w:tc>
        <w:tc>
          <w:tcPr>
            <w:tcW w:w="1130" w:type="dxa"/>
            <w:shd w:val="clear" w:color="auto" w:fill="auto"/>
            <w:vAlign w:val="center"/>
          </w:tcPr>
          <w:p w14:paraId="4098CA5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w:t>
            </w:r>
            <w:r>
              <w:rPr>
                <w:rFonts w:hint="eastAsia" w:cs="Times New Roman"/>
                <w:color w:val="000000" w:themeColor="text1"/>
                <w:kern w:val="0"/>
                <w:sz w:val="21"/>
                <w:szCs w:val="21"/>
                <w:lang w:val="en-US" w:eastAsia="zh-CN"/>
                <w14:textFill>
                  <w14:solidFill>
                    <w14:schemeClr w14:val="tx1"/>
                  </w14:solidFill>
                </w14:textFill>
              </w:rPr>
              <w:t>1</w:t>
            </w:r>
          </w:p>
        </w:tc>
      </w:tr>
      <w:tr w14:paraId="4DD804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319" w:type="dxa"/>
            <w:vMerge w:val="continue"/>
            <w:vAlign w:val="center"/>
          </w:tcPr>
          <w:p w14:paraId="1A44A1A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14:textFill>
                  <w14:solidFill>
                    <w14:schemeClr w14:val="tx1"/>
                  </w14:solidFill>
                </w14:textFill>
              </w:rPr>
            </w:pPr>
          </w:p>
        </w:tc>
        <w:tc>
          <w:tcPr>
            <w:tcW w:w="1934" w:type="dxa"/>
            <w:shd w:val="clear" w:color="auto" w:fill="auto"/>
            <w:vAlign w:val="center"/>
          </w:tcPr>
          <w:p w14:paraId="2064DC4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未沾染危化品和危险废物的包装物</w:t>
            </w:r>
          </w:p>
        </w:tc>
        <w:tc>
          <w:tcPr>
            <w:tcW w:w="1391" w:type="dxa"/>
            <w:shd w:val="clear" w:color="auto" w:fill="auto"/>
            <w:vAlign w:val="center"/>
          </w:tcPr>
          <w:p w14:paraId="1C9513B6">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shd w:val="clear" w:color="auto" w:fill="auto"/>
            <w:vAlign w:val="center"/>
          </w:tcPr>
          <w:p w14:paraId="249196BC">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shd w:val="clear" w:color="auto" w:fill="auto"/>
            <w:vAlign w:val="center"/>
          </w:tcPr>
          <w:p w14:paraId="2E578D19">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20928ED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0.2</w:t>
            </w:r>
          </w:p>
        </w:tc>
        <w:tc>
          <w:tcPr>
            <w:tcW w:w="1737" w:type="dxa"/>
            <w:vAlign w:val="center"/>
          </w:tcPr>
          <w:p w14:paraId="3C3B09A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46D1DE5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0.2</w:t>
            </w:r>
          </w:p>
        </w:tc>
        <w:tc>
          <w:tcPr>
            <w:tcW w:w="1130" w:type="dxa"/>
            <w:shd w:val="clear" w:color="auto" w:fill="auto"/>
            <w:vAlign w:val="center"/>
          </w:tcPr>
          <w:p w14:paraId="61B15D2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+0.2</w:t>
            </w:r>
          </w:p>
        </w:tc>
      </w:tr>
      <w:tr w14:paraId="6ADED0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continue"/>
            <w:vAlign w:val="center"/>
          </w:tcPr>
          <w:p w14:paraId="69FAA06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14:textFill>
                  <w14:solidFill>
                    <w14:schemeClr w14:val="tx1"/>
                  </w14:solidFill>
                </w14:textFill>
              </w:rPr>
            </w:pPr>
          </w:p>
        </w:tc>
        <w:tc>
          <w:tcPr>
            <w:tcW w:w="1934" w:type="dxa"/>
            <w:shd w:val="clear" w:color="auto" w:fill="auto"/>
            <w:vAlign w:val="center"/>
          </w:tcPr>
          <w:p w14:paraId="6CCB0FA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含尘过滤棉</w:t>
            </w:r>
          </w:p>
        </w:tc>
        <w:tc>
          <w:tcPr>
            <w:tcW w:w="1391" w:type="dxa"/>
            <w:shd w:val="clear" w:color="auto" w:fill="auto"/>
            <w:vAlign w:val="center"/>
          </w:tcPr>
          <w:p w14:paraId="7E6039FE">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shd w:val="clear" w:color="auto" w:fill="auto"/>
            <w:vAlign w:val="center"/>
          </w:tcPr>
          <w:p w14:paraId="44F56B35">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shd w:val="clear" w:color="auto" w:fill="auto"/>
            <w:vAlign w:val="center"/>
          </w:tcPr>
          <w:p w14:paraId="0AC46E4E">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2E3A7583">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0.1</w:t>
            </w:r>
          </w:p>
        </w:tc>
        <w:tc>
          <w:tcPr>
            <w:tcW w:w="1737" w:type="dxa"/>
            <w:vAlign w:val="center"/>
          </w:tcPr>
          <w:p w14:paraId="5C8217F8">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380762A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0.1</w:t>
            </w:r>
          </w:p>
        </w:tc>
        <w:tc>
          <w:tcPr>
            <w:tcW w:w="1130" w:type="dxa"/>
            <w:shd w:val="clear" w:color="auto" w:fill="auto"/>
            <w:vAlign w:val="center"/>
          </w:tcPr>
          <w:p w14:paraId="6158784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+0.1</w:t>
            </w:r>
          </w:p>
        </w:tc>
      </w:tr>
      <w:tr w14:paraId="40118F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restart"/>
            <w:vAlign w:val="center"/>
          </w:tcPr>
          <w:p w14:paraId="6D66AC62">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危险废物</w:t>
            </w:r>
          </w:p>
        </w:tc>
        <w:tc>
          <w:tcPr>
            <w:tcW w:w="1934" w:type="dxa"/>
            <w:vAlign w:val="center"/>
          </w:tcPr>
          <w:p w14:paraId="24CA272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废水性漆</w:t>
            </w:r>
          </w:p>
        </w:tc>
        <w:tc>
          <w:tcPr>
            <w:tcW w:w="1391" w:type="dxa"/>
            <w:vAlign w:val="center"/>
          </w:tcPr>
          <w:p w14:paraId="4BA1CF24">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vAlign w:val="center"/>
          </w:tcPr>
          <w:p w14:paraId="14A615CA">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vAlign w:val="center"/>
          </w:tcPr>
          <w:p w14:paraId="2E9AEADF">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shd w:val="clear" w:color="auto" w:fill="auto"/>
            <w:vAlign w:val="center"/>
          </w:tcPr>
          <w:p w14:paraId="4D81B78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0.1</w:t>
            </w:r>
          </w:p>
        </w:tc>
        <w:tc>
          <w:tcPr>
            <w:tcW w:w="1737" w:type="dxa"/>
            <w:vAlign w:val="center"/>
          </w:tcPr>
          <w:p w14:paraId="3BE8E17F">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74321C1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0.1</w:t>
            </w:r>
          </w:p>
        </w:tc>
        <w:tc>
          <w:tcPr>
            <w:tcW w:w="1130" w:type="dxa"/>
            <w:shd w:val="clear" w:color="auto" w:fill="auto"/>
            <w:vAlign w:val="center"/>
          </w:tcPr>
          <w:p w14:paraId="62FDCB1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+0.1</w:t>
            </w:r>
          </w:p>
        </w:tc>
      </w:tr>
      <w:tr w14:paraId="78D987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continue"/>
            <w:vAlign w:val="center"/>
          </w:tcPr>
          <w:p w14:paraId="786EA54D">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vAlign w:val="center"/>
          </w:tcPr>
          <w:p w14:paraId="247309A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废水性漆桶</w:t>
            </w:r>
          </w:p>
        </w:tc>
        <w:tc>
          <w:tcPr>
            <w:tcW w:w="1391" w:type="dxa"/>
            <w:vAlign w:val="center"/>
          </w:tcPr>
          <w:p w14:paraId="6BE0D8FD">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vAlign w:val="center"/>
          </w:tcPr>
          <w:p w14:paraId="50110473">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vAlign w:val="center"/>
          </w:tcPr>
          <w:p w14:paraId="5D607CF1">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shd w:val="clear" w:color="auto" w:fill="auto"/>
            <w:vAlign w:val="center"/>
          </w:tcPr>
          <w:p w14:paraId="68C0EEA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0.2</w:t>
            </w:r>
            <w:r>
              <w:rPr>
                <w:rFonts w:hint="eastAsia" w:cs="Times New Roman"/>
                <w:color w:val="000000" w:themeColor="text1"/>
                <w:kern w:val="0"/>
                <w:sz w:val="21"/>
                <w:szCs w:val="21"/>
                <w:lang w:val="en-US" w:eastAsia="zh-CN"/>
                <w14:textFill>
                  <w14:solidFill>
                    <w14:schemeClr w14:val="tx1"/>
                  </w14:solidFill>
                </w14:textFill>
              </w:rPr>
              <w:t>9</w:t>
            </w:r>
            <w:r>
              <w:rPr>
                <w:rFonts w:hint="default" w:ascii="Times New Roman" w:hAnsi="Times New Roman" w:cs="Times New Roman"/>
                <w:color w:val="000000" w:themeColor="text1"/>
                <w:kern w:val="0"/>
                <w:sz w:val="21"/>
                <w:szCs w:val="21"/>
                <w:lang w:val="en-US" w:eastAsia="zh-CN"/>
                <w14:textFill>
                  <w14:solidFill>
                    <w14:schemeClr w14:val="tx1"/>
                  </w14:solidFill>
                </w14:textFill>
              </w:rPr>
              <w:t>4</w:t>
            </w:r>
          </w:p>
        </w:tc>
        <w:tc>
          <w:tcPr>
            <w:tcW w:w="1737" w:type="dxa"/>
            <w:vAlign w:val="center"/>
          </w:tcPr>
          <w:p w14:paraId="35C90AD0">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503FF40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0.2</w:t>
            </w:r>
            <w:r>
              <w:rPr>
                <w:rFonts w:hint="eastAsia" w:cs="Times New Roman"/>
                <w:color w:val="000000" w:themeColor="text1"/>
                <w:kern w:val="0"/>
                <w:sz w:val="21"/>
                <w:szCs w:val="21"/>
                <w:lang w:val="en-US" w:eastAsia="zh-CN"/>
                <w14:textFill>
                  <w14:solidFill>
                    <w14:schemeClr w14:val="tx1"/>
                  </w14:solidFill>
                </w14:textFill>
              </w:rPr>
              <w:t>9</w:t>
            </w:r>
            <w:r>
              <w:rPr>
                <w:rFonts w:hint="default" w:ascii="Times New Roman" w:hAnsi="Times New Roman" w:cs="Times New Roman"/>
                <w:color w:val="000000" w:themeColor="text1"/>
                <w:kern w:val="0"/>
                <w:sz w:val="21"/>
                <w:szCs w:val="21"/>
                <w:lang w:val="en-US" w:eastAsia="zh-CN"/>
                <w14:textFill>
                  <w14:solidFill>
                    <w14:schemeClr w14:val="tx1"/>
                  </w14:solidFill>
                </w14:textFill>
              </w:rPr>
              <w:t>4</w:t>
            </w:r>
          </w:p>
        </w:tc>
        <w:tc>
          <w:tcPr>
            <w:tcW w:w="1130" w:type="dxa"/>
            <w:shd w:val="clear" w:color="auto" w:fill="auto"/>
            <w:vAlign w:val="center"/>
          </w:tcPr>
          <w:p w14:paraId="4F0F17A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+0.2</w:t>
            </w:r>
            <w:r>
              <w:rPr>
                <w:rFonts w:hint="eastAsia" w:cs="Times New Roman"/>
                <w:color w:val="000000" w:themeColor="text1"/>
                <w:kern w:val="0"/>
                <w:sz w:val="21"/>
                <w:szCs w:val="21"/>
                <w:lang w:val="en-US" w:eastAsia="zh-CN"/>
                <w14:textFill>
                  <w14:solidFill>
                    <w14:schemeClr w14:val="tx1"/>
                  </w14:solidFill>
                </w14:textFill>
              </w:rPr>
              <w:t>9</w:t>
            </w:r>
            <w:r>
              <w:rPr>
                <w:rFonts w:hint="default" w:ascii="Times New Roman" w:hAnsi="Times New Roman" w:cs="Times New Roman"/>
                <w:color w:val="000000" w:themeColor="text1"/>
                <w:kern w:val="0"/>
                <w:sz w:val="21"/>
                <w:szCs w:val="21"/>
                <w:lang w:val="en-US" w:eastAsia="zh-CN"/>
                <w14:textFill>
                  <w14:solidFill>
                    <w14:schemeClr w14:val="tx1"/>
                  </w14:solidFill>
                </w14:textFill>
              </w:rPr>
              <w:t>4</w:t>
            </w:r>
          </w:p>
        </w:tc>
      </w:tr>
      <w:tr w14:paraId="4DC39A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continue"/>
            <w:vAlign w:val="center"/>
          </w:tcPr>
          <w:p w14:paraId="357D3B68">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shd w:val="clear" w:color="auto" w:fill="auto"/>
            <w:vAlign w:val="center"/>
          </w:tcPr>
          <w:p w14:paraId="37BA893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水性漆渣</w:t>
            </w:r>
          </w:p>
        </w:tc>
        <w:tc>
          <w:tcPr>
            <w:tcW w:w="1391" w:type="dxa"/>
            <w:shd w:val="clear" w:color="auto" w:fill="auto"/>
            <w:vAlign w:val="center"/>
          </w:tcPr>
          <w:p w14:paraId="4E80873B">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shd w:val="clear" w:color="auto" w:fill="auto"/>
            <w:vAlign w:val="center"/>
          </w:tcPr>
          <w:p w14:paraId="70D50136">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shd w:val="clear" w:color="auto" w:fill="auto"/>
            <w:vAlign w:val="center"/>
          </w:tcPr>
          <w:p w14:paraId="0844DF0D">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shd w:val="clear" w:color="auto" w:fill="auto"/>
            <w:vAlign w:val="center"/>
          </w:tcPr>
          <w:p w14:paraId="63BFD84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5.29</w:t>
            </w:r>
          </w:p>
        </w:tc>
        <w:tc>
          <w:tcPr>
            <w:tcW w:w="1737" w:type="dxa"/>
            <w:shd w:val="clear" w:color="auto" w:fill="auto"/>
            <w:vAlign w:val="center"/>
          </w:tcPr>
          <w:p w14:paraId="059229A6">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701C39F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9</w:t>
            </w:r>
          </w:p>
        </w:tc>
        <w:tc>
          <w:tcPr>
            <w:tcW w:w="1130" w:type="dxa"/>
            <w:shd w:val="clear" w:color="auto" w:fill="auto"/>
            <w:vAlign w:val="center"/>
          </w:tcPr>
          <w:p w14:paraId="59972C9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w:t>
            </w:r>
            <w:r>
              <w:rPr>
                <w:rFonts w:hint="eastAsia" w:cs="Times New Roman"/>
                <w:color w:val="000000" w:themeColor="text1"/>
                <w:kern w:val="0"/>
                <w:sz w:val="21"/>
                <w:szCs w:val="21"/>
                <w:lang w:val="en-US" w:eastAsia="zh-CN"/>
                <w14:textFill>
                  <w14:solidFill>
                    <w14:schemeClr w14:val="tx1"/>
                  </w14:solidFill>
                </w14:textFill>
              </w:rPr>
              <w:t>9</w:t>
            </w:r>
          </w:p>
        </w:tc>
      </w:tr>
      <w:tr w14:paraId="64696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continue"/>
            <w:vAlign w:val="center"/>
          </w:tcPr>
          <w:p w14:paraId="2E1C8765">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shd w:val="clear" w:color="auto" w:fill="auto"/>
            <w:vAlign w:val="center"/>
          </w:tcPr>
          <w:p w14:paraId="4E8C8AA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废遮蔽纸</w:t>
            </w:r>
          </w:p>
        </w:tc>
        <w:tc>
          <w:tcPr>
            <w:tcW w:w="1391" w:type="dxa"/>
            <w:shd w:val="clear" w:color="auto" w:fill="auto"/>
            <w:vAlign w:val="center"/>
          </w:tcPr>
          <w:p w14:paraId="1AB063F7">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shd w:val="clear" w:color="auto" w:fill="auto"/>
            <w:vAlign w:val="center"/>
          </w:tcPr>
          <w:p w14:paraId="4930AA25">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shd w:val="clear" w:color="auto" w:fill="auto"/>
            <w:vAlign w:val="center"/>
          </w:tcPr>
          <w:p w14:paraId="3BEB3836">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shd w:val="clear" w:color="auto" w:fill="auto"/>
            <w:vAlign w:val="center"/>
          </w:tcPr>
          <w:p w14:paraId="7F4BF14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0.5</w:t>
            </w:r>
          </w:p>
        </w:tc>
        <w:tc>
          <w:tcPr>
            <w:tcW w:w="1737" w:type="dxa"/>
            <w:shd w:val="clear" w:color="auto" w:fill="auto"/>
            <w:vAlign w:val="center"/>
          </w:tcPr>
          <w:p w14:paraId="25DC3808">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4C48125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0.5</w:t>
            </w:r>
          </w:p>
        </w:tc>
        <w:tc>
          <w:tcPr>
            <w:tcW w:w="1130" w:type="dxa"/>
            <w:shd w:val="clear" w:color="auto" w:fill="auto"/>
            <w:vAlign w:val="center"/>
          </w:tcPr>
          <w:p w14:paraId="49B7B40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+0.5</w:t>
            </w:r>
          </w:p>
        </w:tc>
      </w:tr>
      <w:tr w14:paraId="66EE1D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continue"/>
            <w:vAlign w:val="center"/>
          </w:tcPr>
          <w:p w14:paraId="0186B741">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shd w:val="clear" w:color="auto" w:fill="auto"/>
            <w:vAlign w:val="center"/>
          </w:tcPr>
          <w:p w14:paraId="4A6F27B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废过滤棉</w:t>
            </w:r>
          </w:p>
        </w:tc>
        <w:tc>
          <w:tcPr>
            <w:tcW w:w="1391" w:type="dxa"/>
            <w:shd w:val="clear" w:color="auto" w:fill="auto"/>
            <w:vAlign w:val="center"/>
          </w:tcPr>
          <w:p w14:paraId="1511044B">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shd w:val="clear" w:color="auto" w:fill="auto"/>
            <w:vAlign w:val="center"/>
          </w:tcPr>
          <w:p w14:paraId="7D4F8B23">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shd w:val="clear" w:color="auto" w:fill="auto"/>
            <w:vAlign w:val="center"/>
          </w:tcPr>
          <w:p w14:paraId="4B963338">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shd w:val="clear" w:color="auto" w:fill="auto"/>
            <w:vAlign w:val="center"/>
          </w:tcPr>
          <w:p w14:paraId="326DA53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0.5</w:t>
            </w:r>
          </w:p>
        </w:tc>
        <w:tc>
          <w:tcPr>
            <w:tcW w:w="1737" w:type="dxa"/>
            <w:shd w:val="clear" w:color="auto" w:fill="auto"/>
            <w:vAlign w:val="center"/>
          </w:tcPr>
          <w:p w14:paraId="41647C61">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49ACC16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0.5</w:t>
            </w:r>
          </w:p>
        </w:tc>
        <w:tc>
          <w:tcPr>
            <w:tcW w:w="1130" w:type="dxa"/>
            <w:shd w:val="clear" w:color="auto" w:fill="auto"/>
            <w:vAlign w:val="center"/>
          </w:tcPr>
          <w:p w14:paraId="1571B77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+0.5</w:t>
            </w:r>
          </w:p>
        </w:tc>
      </w:tr>
      <w:tr w14:paraId="03ED5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continue"/>
            <w:vAlign w:val="center"/>
          </w:tcPr>
          <w:p w14:paraId="08BCA2F4">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shd w:val="clear" w:color="auto" w:fill="auto"/>
            <w:vAlign w:val="center"/>
          </w:tcPr>
          <w:p w14:paraId="5A3A5DA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废</w:t>
            </w:r>
            <w:r>
              <w:rPr>
                <w:rFonts w:hint="default" w:ascii="Times New Roman" w:hAnsi="Times New Roman" w:cs="Times New Roman"/>
                <w:color w:val="000000" w:themeColor="text1"/>
                <w:kern w:val="0"/>
                <w:sz w:val="21"/>
                <w:szCs w:val="21"/>
                <w:lang w:val="en-US" w:eastAsia="zh-CN"/>
                <w14:textFill>
                  <w14:solidFill>
                    <w14:schemeClr w14:val="tx1"/>
                  </w14:solidFill>
                </w14:textFill>
              </w:rPr>
              <w:t>活性炭</w:t>
            </w:r>
          </w:p>
        </w:tc>
        <w:tc>
          <w:tcPr>
            <w:tcW w:w="1391" w:type="dxa"/>
            <w:shd w:val="clear" w:color="auto" w:fill="auto"/>
            <w:vAlign w:val="center"/>
          </w:tcPr>
          <w:p w14:paraId="196FBE4A">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shd w:val="clear" w:color="auto" w:fill="auto"/>
            <w:vAlign w:val="center"/>
          </w:tcPr>
          <w:p w14:paraId="435A5D5B">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shd w:val="clear" w:color="auto" w:fill="auto"/>
            <w:vAlign w:val="center"/>
          </w:tcPr>
          <w:p w14:paraId="2B17C814">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shd w:val="clear" w:color="auto" w:fill="auto"/>
            <w:vAlign w:val="center"/>
          </w:tcPr>
          <w:p w14:paraId="37D00C77">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12.73</w:t>
            </w:r>
          </w:p>
        </w:tc>
        <w:tc>
          <w:tcPr>
            <w:tcW w:w="1737" w:type="dxa"/>
            <w:shd w:val="clear" w:color="auto" w:fill="auto"/>
            <w:vAlign w:val="center"/>
          </w:tcPr>
          <w:p w14:paraId="4A26F616">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4900963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12.73</w:t>
            </w:r>
          </w:p>
        </w:tc>
        <w:tc>
          <w:tcPr>
            <w:tcW w:w="1130" w:type="dxa"/>
            <w:shd w:val="clear" w:color="auto" w:fill="auto"/>
            <w:vAlign w:val="center"/>
          </w:tcPr>
          <w:p w14:paraId="7C599BF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eastAsia" w:cs="Times New Roman"/>
                <w:color w:val="000000" w:themeColor="text1"/>
                <w:kern w:val="0"/>
                <w:sz w:val="21"/>
                <w:szCs w:val="21"/>
                <w:lang w:val="en-US" w:eastAsia="zh-CN"/>
                <w14:textFill>
                  <w14:solidFill>
                    <w14:schemeClr w14:val="tx1"/>
                  </w14:solidFill>
                </w14:textFill>
              </w:rPr>
              <w:t>+12.73</w:t>
            </w:r>
          </w:p>
        </w:tc>
      </w:tr>
      <w:tr w14:paraId="157B9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continue"/>
            <w:vAlign w:val="center"/>
          </w:tcPr>
          <w:p w14:paraId="027D7B02">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shd w:val="clear" w:color="auto" w:fill="auto"/>
            <w:vAlign w:val="center"/>
          </w:tcPr>
          <w:p w14:paraId="71A9147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废高分子过滤棉</w:t>
            </w:r>
          </w:p>
        </w:tc>
        <w:tc>
          <w:tcPr>
            <w:tcW w:w="1391" w:type="dxa"/>
            <w:shd w:val="clear" w:color="auto" w:fill="auto"/>
            <w:vAlign w:val="center"/>
          </w:tcPr>
          <w:p w14:paraId="1A5ED384">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shd w:val="clear" w:color="auto" w:fill="auto"/>
            <w:vAlign w:val="center"/>
          </w:tcPr>
          <w:p w14:paraId="103B7EC5">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shd w:val="clear" w:color="auto" w:fill="auto"/>
            <w:vAlign w:val="center"/>
          </w:tcPr>
          <w:p w14:paraId="1E245A10">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shd w:val="clear" w:color="auto" w:fill="auto"/>
            <w:vAlign w:val="center"/>
          </w:tcPr>
          <w:p w14:paraId="38ABCE7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w:t>
            </w:r>
            <w:r>
              <w:rPr>
                <w:rFonts w:hint="eastAsia" w:cs="Times New Roman"/>
                <w:color w:val="000000" w:themeColor="text1"/>
                <w:kern w:val="0"/>
                <w:sz w:val="21"/>
                <w:szCs w:val="21"/>
                <w:lang w:val="en-US" w:eastAsia="zh-CN"/>
                <w14:textFill>
                  <w14:solidFill>
                    <w14:schemeClr w14:val="tx1"/>
                  </w14:solidFill>
                </w14:textFill>
              </w:rPr>
              <w:t>12</w:t>
            </w:r>
          </w:p>
        </w:tc>
        <w:tc>
          <w:tcPr>
            <w:tcW w:w="1737" w:type="dxa"/>
            <w:shd w:val="clear" w:color="auto" w:fill="auto"/>
            <w:vAlign w:val="center"/>
          </w:tcPr>
          <w:p w14:paraId="650A4DBD">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p>
        </w:tc>
        <w:tc>
          <w:tcPr>
            <w:tcW w:w="1619" w:type="dxa"/>
            <w:shd w:val="clear" w:color="auto" w:fill="auto"/>
            <w:vAlign w:val="center"/>
          </w:tcPr>
          <w:p w14:paraId="3121400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w:t>
            </w:r>
            <w:r>
              <w:rPr>
                <w:rFonts w:hint="eastAsia" w:cs="Times New Roman"/>
                <w:color w:val="000000" w:themeColor="text1"/>
                <w:kern w:val="0"/>
                <w:sz w:val="21"/>
                <w:szCs w:val="21"/>
                <w:lang w:val="en-US" w:eastAsia="zh-CN"/>
                <w14:textFill>
                  <w14:solidFill>
                    <w14:schemeClr w14:val="tx1"/>
                  </w14:solidFill>
                </w14:textFill>
              </w:rPr>
              <w:t>12</w:t>
            </w:r>
          </w:p>
        </w:tc>
        <w:tc>
          <w:tcPr>
            <w:tcW w:w="1130" w:type="dxa"/>
            <w:shd w:val="clear" w:color="auto" w:fill="auto"/>
            <w:vAlign w:val="center"/>
          </w:tcPr>
          <w:p w14:paraId="09140EA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w:t>
            </w:r>
            <w:r>
              <w:rPr>
                <w:rFonts w:hint="eastAsia" w:cs="Times New Roman"/>
                <w:color w:val="000000" w:themeColor="text1"/>
                <w:kern w:val="0"/>
                <w:sz w:val="21"/>
                <w:szCs w:val="21"/>
                <w:lang w:val="en-US" w:eastAsia="zh-CN"/>
                <w14:textFill>
                  <w14:solidFill>
                    <w14:schemeClr w14:val="tx1"/>
                  </w14:solidFill>
                </w14:textFill>
              </w:rPr>
              <w:t>12</w:t>
            </w:r>
          </w:p>
        </w:tc>
      </w:tr>
      <w:tr w14:paraId="254D2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continue"/>
            <w:vAlign w:val="center"/>
          </w:tcPr>
          <w:p w14:paraId="6E43AEFB">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shd w:val="clear" w:color="auto" w:fill="auto"/>
            <w:vAlign w:val="center"/>
          </w:tcPr>
          <w:p w14:paraId="5842B17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含油棉纱、手套</w:t>
            </w:r>
          </w:p>
        </w:tc>
        <w:tc>
          <w:tcPr>
            <w:tcW w:w="1391" w:type="dxa"/>
            <w:shd w:val="clear" w:color="auto" w:fill="auto"/>
            <w:vAlign w:val="center"/>
          </w:tcPr>
          <w:p w14:paraId="32DBBD44">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shd w:val="clear" w:color="auto" w:fill="auto"/>
            <w:vAlign w:val="center"/>
          </w:tcPr>
          <w:p w14:paraId="0471F8D8">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shd w:val="clear" w:color="auto" w:fill="auto"/>
            <w:vAlign w:val="center"/>
          </w:tcPr>
          <w:p w14:paraId="01FC0C12">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541F134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0.02</w:t>
            </w:r>
          </w:p>
        </w:tc>
        <w:tc>
          <w:tcPr>
            <w:tcW w:w="1737" w:type="dxa"/>
            <w:shd w:val="clear" w:color="auto" w:fill="auto"/>
            <w:vAlign w:val="center"/>
          </w:tcPr>
          <w:p w14:paraId="1508A449">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37FE272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0.02</w:t>
            </w:r>
          </w:p>
        </w:tc>
        <w:tc>
          <w:tcPr>
            <w:tcW w:w="1130" w:type="dxa"/>
            <w:shd w:val="clear" w:color="auto" w:fill="auto"/>
            <w:vAlign w:val="center"/>
          </w:tcPr>
          <w:p w14:paraId="7CFF28CD">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+0.02</w:t>
            </w:r>
          </w:p>
        </w:tc>
      </w:tr>
      <w:tr w14:paraId="227400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continue"/>
            <w:vAlign w:val="center"/>
          </w:tcPr>
          <w:p w14:paraId="1F4FF5D0">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shd w:val="clear" w:color="auto" w:fill="auto"/>
            <w:vAlign w:val="center"/>
          </w:tcPr>
          <w:p w14:paraId="5125ED6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废油桶</w:t>
            </w:r>
          </w:p>
        </w:tc>
        <w:tc>
          <w:tcPr>
            <w:tcW w:w="1391" w:type="dxa"/>
            <w:shd w:val="clear" w:color="auto" w:fill="auto"/>
            <w:vAlign w:val="center"/>
          </w:tcPr>
          <w:p w14:paraId="27A233CE">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shd w:val="clear" w:color="auto" w:fill="auto"/>
            <w:vAlign w:val="center"/>
          </w:tcPr>
          <w:p w14:paraId="55FCD31D">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shd w:val="clear" w:color="auto" w:fill="auto"/>
            <w:vAlign w:val="center"/>
          </w:tcPr>
          <w:p w14:paraId="11F0554B">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0542C09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0.1</w:t>
            </w:r>
          </w:p>
        </w:tc>
        <w:tc>
          <w:tcPr>
            <w:tcW w:w="1737" w:type="dxa"/>
            <w:shd w:val="clear" w:color="auto" w:fill="auto"/>
            <w:vAlign w:val="center"/>
          </w:tcPr>
          <w:p w14:paraId="5E2BB83D">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1163E50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0.1</w:t>
            </w:r>
          </w:p>
        </w:tc>
        <w:tc>
          <w:tcPr>
            <w:tcW w:w="1130" w:type="dxa"/>
            <w:shd w:val="clear" w:color="auto" w:fill="auto"/>
            <w:vAlign w:val="center"/>
          </w:tcPr>
          <w:p w14:paraId="17B8CE24">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+0.1</w:t>
            </w:r>
          </w:p>
        </w:tc>
      </w:tr>
      <w:tr w14:paraId="79A0B8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continue"/>
            <w:vAlign w:val="center"/>
          </w:tcPr>
          <w:p w14:paraId="32E1DA30">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shd w:val="clear" w:color="auto" w:fill="auto"/>
            <w:vAlign w:val="center"/>
          </w:tcPr>
          <w:p w14:paraId="6845463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废机油</w:t>
            </w:r>
          </w:p>
        </w:tc>
        <w:tc>
          <w:tcPr>
            <w:tcW w:w="1391" w:type="dxa"/>
            <w:shd w:val="clear" w:color="auto" w:fill="auto"/>
            <w:vAlign w:val="center"/>
          </w:tcPr>
          <w:p w14:paraId="4E42E8D6">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shd w:val="clear" w:color="auto" w:fill="auto"/>
            <w:vAlign w:val="center"/>
          </w:tcPr>
          <w:p w14:paraId="55CE97AC">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shd w:val="clear" w:color="auto" w:fill="auto"/>
            <w:vAlign w:val="center"/>
          </w:tcPr>
          <w:p w14:paraId="5919218B">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shd w:val="clear" w:color="auto" w:fill="auto"/>
            <w:vAlign w:val="center"/>
          </w:tcPr>
          <w:p w14:paraId="0D073AD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0.01</w:t>
            </w:r>
          </w:p>
        </w:tc>
        <w:tc>
          <w:tcPr>
            <w:tcW w:w="1737" w:type="dxa"/>
            <w:shd w:val="clear" w:color="auto" w:fill="auto"/>
            <w:vAlign w:val="center"/>
          </w:tcPr>
          <w:p w14:paraId="231B5398">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4FFDA78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0.01</w:t>
            </w:r>
          </w:p>
        </w:tc>
        <w:tc>
          <w:tcPr>
            <w:tcW w:w="1130" w:type="dxa"/>
            <w:shd w:val="clear" w:color="auto" w:fill="auto"/>
            <w:vAlign w:val="center"/>
          </w:tcPr>
          <w:p w14:paraId="50CE3C4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+0.01</w:t>
            </w:r>
          </w:p>
        </w:tc>
      </w:tr>
      <w:tr w14:paraId="4A29CE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19" w:type="dxa"/>
            <w:vMerge w:val="continue"/>
            <w:vAlign w:val="center"/>
          </w:tcPr>
          <w:p w14:paraId="1083CD24">
            <w:pPr>
              <w:pStyle w:val="40"/>
              <w:keepNext w:val="0"/>
              <w:keepLines w:val="0"/>
              <w:pageBreakBefore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934" w:type="dxa"/>
            <w:shd w:val="clear" w:color="auto" w:fill="auto"/>
            <w:vAlign w:val="center"/>
          </w:tcPr>
          <w:p w14:paraId="52567D8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空压机含油冷凝废液</w:t>
            </w:r>
          </w:p>
        </w:tc>
        <w:tc>
          <w:tcPr>
            <w:tcW w:w="1391" w:type="dxa"/>
            <w:shd w:val="clear" w:color="auto" w:fill="auto"/>
            <w:vAlign w:val="center"/>
          </w:tcPr>
          <w:p w14:paraId="42BD9FE6">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260" w:type="dxa"/>
            <w:shd w:val="clear" w:color="auto" w:fill="auto"/>
            <w:vAlign w:val="center"/>
          </w:tcPr>
          <w:p w14:paraId="38C7CF43">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78" w:type="dxa"/>
            <w:shd w:val="clear" w:color="auto" w:fill="auto"/>
            <w:vAlign w:val="center"/>
          </w:tcPr>
          <w:p w14:paraId="67804DBB">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38" w:type="dxa"/>
            <w:vAlign w:val="center"/>
          </w:tcPr>
          <w:p w14:paraId="526D5360">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w:t>
            </w:r>
            <w:r>
              <w:rPr>
                <w:rFonts w:hint="eastAsia" w:cs="Times New Roman"/>
                <w:color w:val="000000" w:themeColor="text1"/>
                <w:kern w:val="0"/>
                <w:sz w:val="21"/>
                <w:szCs w:val="21"/>
                <w:lang w:val="en-US" w:eastAsia="zh-CN"/>
                <w14:textFill>
                  <w14:solidFill>
                    <w14:schemeClr w14:val="tx1"/>
                  </w14:solidFill>
                </w14:textFill>
              </w:rPr>
              <w:t>0</w:t>
            </w:r>
            <w:r>
              <w:rPr>
                <w:rFonts w:hint="default" w:ascii="Times New Roman" w:hAnsi="Times New Roman" w:cs="Times New Roman"/>
                <w:color w:val="000000" w:themeColor="text1"/>
                <w:kern w:val="0"/>
                <w:sz w:val="21"/>
                <w:szCs w:val="21"/>
                <w:lang w:val="en-US" w:eastAsia="zh-CN"/>
                <w14:textFill>
                  <w14:solidFill>
                    <w14:schemeClr w14:val="tx1"/>
                  </w14:solidFill>
                </w14:textFill>
              </w:rPr>
              <w:t>5</w:t>
            </w:r>
          </w:p>
        </w:tc>
        <w:tc>
          <w:tcPr>
            <w:tcW w:w="1737" w:type="dxa"/>
            <w:shd w:val="clear" w:color="auto" w:fill="auto"/>
            <w:vAlign w:val="center"/>
          </w:tcPr>
          <w:p w14:paraId="6AE18563">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619" w:type="dxa"/>
            <w:shd w:val="clear" w:color="auto" w:fill="auto"/>
            <w:vAlign w:val="center"/>
          </w:tcPr>
          <w:p w14:paraId="5BC6644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w:t>
            </w:r>
            <w:r>
              <w:rPr>
                <w:rFonts w:hint="eastAsia" w:cs="Times New Roman"/>
                <w:color w:val="000000" w:themeColor="text1"/>
                <w:kern w:val="0"/>
                <w:sz w:val="21"/>
                <w:szCs w:val="21"/>
                <w:lang w:val="en-US" w:eastAsia="zh-CN"/>
                <w14:textFill>
                  <w14:solidFill>
                    <w14:schemeClr w14:val="tx1"/>
                  </w14:solidFill>
                </w14:textFill>
              </w:rPr>
              <w:t>0</w:t>
            </w:r>
            <w:r>
              <w:rPr>
                <w:rFonts w:hint="default" w:ascii="Times New Roman" w:hAnsi="Times New Roman" w:cs="Times New Roman"/>
                <w:color w:val="000000" w:themeColor="text1"/>
                <w:kern w:val="0"/>
                <w:sz w:val="21"/>
                <w:szCs w:val="21"/>
                <w:lang w:val="en-US" w:eastAsia="zh-CN"/>
                <w14:textFill>
                  <w14:solidFill>
                    <w14:schemeClr w14:val="tx1"/>
                  </w14:solidFill>
                </w14:textFill>
              </w:rPr>
              <w:t>5</w:t>
            </w:r>
          </w:p>
        </w:tc>
        <w:tc>
          <w:tcPr>
            <w:tcW w:w="1130" w:type="dxa"/>
            <w:shd w:val="clear" w:color="auto" w:fill="auto"/>
            <w:vAlign w:val="center"/>
          </w:tcPr>
          <w:p w14:paraId="259888C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+0.</w:t>
            </w:r>
            <w:r>
              <w:rPr>
                <w:rFonts w:hint="eastAsia" w:cs="Times New Roman"/>
                <w:color w:val="000000" w:themeColor="text1"/>
                <w:kern w:val="0"/>
                <w:sz w:val="21"/>
                <w:szCs w:val="21"/>
                <w:lang w:val="en-US" w:eastAsia="zh-CN"/>
                <w14:textFill>
                  <w14:solidFill>
                    <w14:schemeClr w14:val="tx1"/>
                  </w14:solidFill>
                </w14:textFill>
              </w:rPr>
              <w:t>0</w:t>
            </w:r>
            <w:r>
              <w:rPr>
                <w:rFonts w:hint="default" w:ascii="Times New Roman" w:hAnsi="Times New Roman" w:cs="Times New Roman"/>
                <w:color w:val="000000" w:themeColor="text1"/>
                <w:kern w:val="0"/>
                <w:sz w:val="21"/>
                <w:szCs w:val="21"/>
                <w:lang w:val="en-US" w:eastAsia="zh-CN"/>
                <w14:textFill>
                  <w14:solidFill>
                    <w14:schemeClr w14:val="tx1"/>
                  </w14:solidFill>
                </w14:textFill>
              </w:rPr>
              <w:t>5</w:t>
            </w:r>
          </w:p>
        </w:tc>
      </w:tr>
    </w:tbl>
    <w:p w14:paraId="3FB11628">
      <w:pPr>
        <w:pStyle w:val="40"/>
        <w:keepNext w:val="0"/>
        <w:keepLines w:val="0"/>
        <w:pageBreakBefore w:val="0"/>
        <w:kinsoku/>
        <w:wordWrap/>
        <w:overflowPunct/>
        <w:topLinePunct w:val="0"/>
        <w:bidi w:val="0"/>
        <w:spacing w:before="0" w:beforeLines="0" w:beforeAutospacing="0" w:after="0" w:afterLines="0" w:afterAutospacing="0" w:line="240" w:lineRule="auto"/>
        <w:ind w:right="0" w:firstLine="0" w:firstLineChars="0"/>
        <w:jc w:val="left"/>
        <w:rPr>
          <w:rFonts w:ascii="Times New Roman"/>
          <w:color w:val="000000" w:themeColor="text1"/>
          <w:sz w:val="16"/>
          <w:szCs w:val="16"/>
          <w14:textFill>
            <w14:solidFill>
              <w14:schemeClr w14:val="tx1"/>
            </w14:solidFill>
          </w14:textFill>
        </w:rPr>
      </w:pPr>
      <w:r>
        <w:rPr>
          <w:rFonts w:ascii="Times New Roman"/>
          <w:snapToGrid w:val="0"/>
          <w:color w:val="000000" w:themeColor="text1"/>
          <w:kern w:val="21"/>
          <w:sz w:val="16"/>
          <w:szCs w:val="16"/>
          <w14:textFill>
            <w14:solidFill>
              <w14:schemeClr w14:val="tx1"/>
            </w14:solidFill>
          </w14:textFill>
        </w:rPr>
        <w:t>注：</w:t>
      </w:r>
      <w:r>
        <w:rPr>
          <w:rFonts w:ascii="Times New Roman"/>
          <w:snapToGrid w:val="0"/>
          <w:color w:val="000000" w:themeColor="text1"/>
          <w:spacing w:val="-16"/>
          <w:kern w:val="21"/>
          <w:sz w:val="16"/>
          <w:szCs w:val="16"/>
          <w14:textFill>
            <w14:solidFill>
              <w14:schemeClr w14:val="tx1"/>
            </w14:solidFill>
          </w14:textFill>
        </w:rPr>
        <w:fldChar w:fldCharType="begin"/>
      </w:r>
      <w:r>
        <w:rPr>
          <w:rFonts w:ascii="Times New Roman"/>
          <w:snapToGrid w:val="0"/>
          <w:color w:val="000000" w:themeColor="text1"/>
          <w:spacing w:val="-16"/>
          <w:kern w:val="21"/>
          <w:sz w:val="16"/>
          <w:szCs w:val="16"/>
          <w14:textFill>
            <w14:solidFill>
              <w14:schemeClr w14:val="tx1"/>
            </w14:solidFill>
          </w14:textFill>
        </w:rPr>
        <w:instrText xml:space="preserve"> = 6 \* GB3 \* MERGEFORMAT </w:instrText>
      </w:r>
      <w:r>
        <w:rPr>
          <w:rFonts w:ascii="Times New Roman"/>
          <w:snapToGrid w:val="0"/>
          <w:color w:val="000000" w:themeColor="text1"/>
          <w:spacing w:val="-16"/>
          <w:kern w:val="21"/>
          <w:sz w:val="16"/>
          <w:szCs w:val="16"/>
          <w14:textFill>
            <w14:solidFill>
              <w14:schemeClr w14:val="tx1"/>
            </w14:solidFill>
          </w14:textFill>
        </w:rPr>
        <w:fldChar w:fldCharType="separate"/>
      </w:r>
      <w:r>
        <w:rPr>
          <w:rFonts w:ascii="Times New Roman"/>
          <w:color w:val="000000" w:themeColor="text1"/>
          <w:sz w:val="16"/>
          <w:szCs w:val="16"/>
          <w14:textFill>
            <w14:solidFill>
              <w14:schemeClr w14:val="tx1"/>
            </w14:solidFill>
          </w14:textFill>
        </w:rPr>
        <w:t>⑥</w:t>
      </w:r>
      <w:r>
        <w:rPr>
          <w:rFonts w:ascii="Times New Roman"/>
          <w:snapToGrid w:val="0"/>
          <w:color w:val="000000" w:themeColor="text1"/>
          <w:spacing w:val="-16"/>
          <w:kern w:val="21"/>
          <w:sz w:val="16"/>
          <w:szCs w:val="16"/>
          <w14:textFill>
            <w14:solidFill>
              <w14:schemeClr w14:val="tx1"/>
            </w14:solidFill>
          </w14:textFill>
        </w:rPr>
        <w:fldChar w:fldCharType="end"/>
      </w:r>
      <w:r>
        <w:rPr>
          <w:rFonts w:ascii="Times New Roman"/>
          <w:snapToGrid w:val="0"/>
          <w:color w:val="000000" w:themeColor="text1"/>
          <w:spacing w:val="-16"/>
          <w:kern w:val="21"/>
          <w:sz w:val="16"/>
          <w:szCs w:val="16"/>
          <w14:textFill>
            <w14:solidFill>
              <w14:schemeClr w14:val="tx1"/>
            </w14:solidFill>
          </w14:textFill>
        </w:rPr>
        <w:t>=</w:t>
      </w:r>
      <w:r>
        <w:rPr>
          <w:rFonts w:ascii="Times New Roman"/>
          <w:snapToGrid w:val="0"/>
          <w:color w:val="000000" w:themeColor="text1"/>
          <w:spacing w:val="-6"/>
          <w:kern w:val="21"/>
          <w:sz w:val="16"/>
          <w:szCs w:val="16"/>
          <w14:textFill>
            <w14:solidFill>
              <w14:schemeClr w14:val="tx1"/>
            </w14:solidFill>
          </w14:textFill>
        </w:rPr>
        <w:fldChar w:fldCharType="begin"/>
      </w:r>
      <w:r>
        <w:rPr>
          <w:rFonts w:ascii="Times New Roman"/>
          <w:snapToGrid w:val="0"/>
          <w:color w:val="000000" w:themeColor="text1"/>
          <w:spacing w:val="-6"/>
          <w:kern w:val="21"/>
          <w:sz w:val="16"/>
          <w:szCs w:val="16"/>
          <w14:textFill>
            <w14:solidFill>
              <w14:schemeClr w14:val="tx1"/>
            </w14:solidFill>
          </w14:textFill>
        </w:rPr>
        <w:instrText xml:space="preserve"> = 1 \* GB3 \* MERGEFORMAT </w:instrText>
      </w:r>
      <w:r>
        <w:rPr>
          <w:rFonts w:ascii="Times New Roman"/>
          <w:snapToGrid w:val="0"/>
          <w:color w:val="000000" w:themeColor="text1"/>
          <w:spacing w:val="-6"/>
          <w:kern w:val="21"/>
          <w:sz w:val="16"/>
          <w:szCs w:val="16"/>
          <w14:textFill>
            <w14:solidFill>
              <w14:schemeClr w14:val="tx1"/>
            </w14:solidFill>
          </w14:textFill>
        </w:rPr>
        <w:fldChar w:fldCharType="separate"/>
      </w:r>
      <w:r>
        <w:rPr>
          <w:rFonts w:ascii="Times New Roman"/>
          <w:color w:val="000000" w:themeColor="text1"/>
          <w:sz w:val="16"/>
          <w:szCs w:val="16"/>
          <w14:textFill>
            <w14:solidFill>
              <w14:schemeClr w14:val="tx1"/>
            </w14:solidFill>
          </w14:textFill>
        </w:rPr>
        <w:t>①</w:t>
      </w:r>
      <w:r>
        <w:rPr>
          <w:rFonts w:ascii="Times New Roman"/>
          <w:snapToGrid w:val="0"/>
          <w:color w:val="000000" w:themeColor="text1"/>
          <w:spacing w:val="-6"/>
          <w:kern w:val="21"/>
          <w:sz w:val="16"/>
          <w:szCs w:val="16"/>
          <w14:textFill>
            <w14:solidFill>
              <w14:schemeClr w14:val="tx1"/>
            </w14:solidFill>
          </w14:textFill>
        </w:rPr>
        <w:fldChar w:fldCharType="end"/>
      </w:r>
      <w:r>
        <w:rPr>
          <w:rFonts w:ascii="Times New Roman"/>
          <w:snapToGrid w:val="0"/>
          <w:color w:val="000000" w:themeColor="text1"/>
          <w:spacing w:val="-6"/>
          <w:kern w:val="21"/>
          <w:sz w:val="16"/>
          <w:szCs w:val="16"/>
          <w14:textFill>
            <w14:solidFill>
              <w14:schemeClr w14:val="tx1"/>
            </w14:solidFill>
          </w14:textFill>
        </w:rPr>
        <w:t>+</w:t>
      </w:r>
      <w:r>
        <w:rPr>
          <w:rFonts w:ascii="Times New Roman"/>
          <w:snapToGrid w:val="0"/>
          <w:color w:val="000000" w:themeColor="text1"/>
          <w:spacing w:val="-6"/>
          <w:kern w:val="21"/>
          <w:sz w:val="16"/>
          <w:szCs w:val="16"/>
          <w14:textFill>
            <w14:solidFill>
              <w14:schemeClr w14:val="tx1"/>
            </w14:solidFill>
          </w14:textFill>
        </w:rPr>
        <w:fldChar w:fldCharType="begin"/>
      </w:r>
      <w:r>
        <w:rPr>
          <w:rFonts w:ascii="Times New Roman"/>
          <w:snapToGrid w:val="0"/>
          <w:color w:val="000000" w:themeColor="text1"/>
          <w:spacing w:val="-6"/>
          <w:kern w:val="21"/>
          <w:sz w:val="16"/>
          <w:szCs w:val="16"/>
          <w14:textFill>
            <w14:solidFill>
              <w14:schemeClr w14:val="tx1"/>
            </w14:solidFill>
          </w14:textFill>
        </w:rPr>
        <w:instrText xml:space="preserve"> = 3 \* GB3 \* MERGEFORMAT </w:instrText>
      </w:r>
      <w:r>
        <w:rPr>
          <w:rFonts w:ascii="Times New Roman"/>
          <w:snapToGrid w:val="0"/>
          <w:color w:val="000000" w:themeColor="text1"/>
          <w:spacing w:val="-6"/>
          <w:kern w:val="21"/>
          <w:sz w:val="16"/>
          <w:szCs w:val="16"/>
          <w14:textFill>
            <w14:solidFill>
              <w14:schemeClr w14:val="tx1"/>
            </w14:solidFill>
          </w14:textFill>
        </w:rPr>
        <w:fldChar w:fldCharType="separate"/>
      </w:r>
      <w:r>
        <w:rPr>
          <w:rFonts w:ascii="Times New Roman"/>
          <w:color w:val="000000" w:themeColor="text1"/>
          <w:sz w:val="16"/>
          <w:szCs w:val="16"/>
          <w14:textFill>
            <w14:solidFill>
              <w14:schemeClr w14:val="tx1"/>
            </w14:solidFill>
          </w14:textFill>
        </w:rPr>
        <w:t>③</w:t>
      </w:r>
      <w:r>
        <w:rPr>
          <w:rFonts w:ascii="Times New Roman"/>
          <w:snapToGrid w:val="0"/>
          <w:color w:val="000000" w:themeColor="text1"/>
          <w:spacing w:val="-6"/>
          <w:kern w:val="21"/>
          <w:sz w:val="16"/>
          <w:szCs w:val="16"/>
          <w14:textFill>
            <w14:solidFill>
              <w14:schemeClr w14:val="tx1"/>
            </w14:solidFill>
          </w14:textFill>
        </w:rPr>
        <w:fldChar w:fldCharType="end"/>
      </w:r>
      <w:r>
        <w:rPr>
          <w:rFonts w:ascii="Times New Roman"/>
          <w:snapToGrid w:val="0"/>
          <w:color w:val="000000" w:themeColor="text1"/>
          <w:spacing w:val="-6"/>
          <w:kern w:val="21"/>
          <w:sz w:val="16"/>
          <w:szCs w:val="16"/>
          <w14:textFill>
            <w14:solidFill>
              <w14:schemeClr w14:val="tx1"/>
            </w14:solidFill>
          </w14:textFill>
        </w:rPr>
        <w:t>+</w:t>
      </w:r>
      <w:r>
        <w:rPr>
          <w:rFonts w:ascii="Times New Roman"/>
          <w:snapToGrid w:val="0"/>
          <w:color w:val="000000" w:themeColor="text1"/>
          <w:spacing w:val="-6"/>
          <w:kern w:val="21"/>
          <w:sz w:val="16"/>
          <w:szCs w:val="16"/>
          <w14:textFill>
            <w14:solidFill>
              <w14:schemeClr w14:val="tx1"/>
            </w14:solidFill>
          </w14:textFill>
        </w:rPr>
        <w:fldChar w:fldCharType="begin"/>
      </w:r>
      <w:r>
        <w:rPr>
          <w:rFonts w:ascii="Times New Roman"/>
          <w:snapToGrid w:val="0"/>
          <w:color w:val="000000" w:themeColor="text1"/>
          <w:spacing w:val="-6"/>
          <w:kern w:val="21"/>
          <w:sz w:val="16"/>
          <w:szCs w:val="16"/>
          <w14:textFill>
            <w14:solidFill>
              <w14:schemeClr w14:val="tx1"/>
            </w14:solidFill>
          </w14:textFill>
        </w:rPr>
        <w:instrText xml:space="preserve"> = 4 \* GB3 \* MERGEFORMAT </w:instrText>
      </w:r>
      <w:r>
        <w:rPr>
          <w:rFonts w:ascii="Times New Roman"/>
          <w:snapToGrid w:val="0"/>
          <w:color w:val="000000" w:themeColor="text1"/>
          <w:spacing w:val="-6"/>
          <w:kern w:val="21"/>
          <w:sz w:val="16"/>
          <w:szCs w:val="16"/>
          <w14:textFill>
            <w14:solidFill>
              <w14:schemeClr w14:val="tx1"/>
            </w14:solidFill>
          </w14:textFill>
        </w:rPr>
        <w:fldChar w:fldCharType="separate"/>
      </w:r>
      <w:r>
        <w:rPr>
          <w:rFonts w:ascii="Times New Roman"/>
          <w:color w:val="000000" w:themeColor="text1"/>
          <w:sz w:val="16"/>
          <w:szCs w:val="16"/>
          <w14:textFill>
            <w14:solidFill>
              <w14:schemeClr w14:val="tx1"/>
            </w14:solidFill>
          </w14:textFill>
        </w:rPr>
        <w:t>④</w:t>
      </w:r>
      <w:r>
        <w:rPr>
          <w:rFonts w:ascii="Times New Roman"/>
          <w:snapToGrid w:val="0"/>
          <w:color w:val="000000" w:themeColor="text1"/>
          <w:spacing w:val="-6"/>
          <w:kern w:val="21"/>
          <w:sz w:val="16"/>
          <w:szCs w:val="16"/>
          <w14:textFill>
            <w14:solidFill>
              <w14:schemeClr w14:val="tx1"/>
            </w14:solidFill>
          </w14:textFill>
        </w:rPr>
        <w:fldChar w:fldCharType="end"/>
      </w:r>
      <w:r>
        <w:rPr>
          <w:rFonts w:ascii="Times New Roman"/>
          <w:snapToGrid w:val="0"/>
          <w:color w:val="000000" w:themeColor="text1"/>
          <w:spacing w:val="-6"/>
          <w:kern w:val="21"/>
          <w:sz w:val="16"/>
          <w:szCs w:val="16"/>
          <w14:textFill>
            <w14:solidFill>
              <w14:schemeClr w14:val="tx1"/>
            </w14:solidFill>
          </w14:textFill>
        </w:rPr>
        <w:t>-</w:t>
      </w:r>
      <w:r>
        <w:rPr>
          <w:rFonts w:ascii="Times New Roman"/>
          <w:snapToGrid w:val="0"/>
          <w:color w:val="000000" w:themeColor="text1"/>
          <w:spacing w:val="-16"/>
          <w:kern w:val="21"/>
          <w:sz w:val="16"/>
          <w:szCs w:val="16"/>
          <w14:textFill>
            <w14:solidFill>
              <w14:schemeClr w14:val="tx1"/>
            </w14:solidFill>
          </w14:textFill>
        </w:rPr>
        <w:fldChar w:fldCharType="begin"/>
      </w:r>
      <w:r>
        <w:rPr>
          <w:rFonts w:ascii="Times New Roman"/>
          <w:snapToGrid w:val="0"/>
          <w:color w:val="000000" w:themeColor="text1"/>
          <w:spacing w:val="-16"/>
          <w:kern w:val="21"/>
          <w:sz w:val="16"/>
          <w:szCs w:val="16"/>
          <w14:textFill>
            <w14:solidFill>
              <w14:schemeClr w14:val="tx1"/>
            </w14:solidFill>
          </w14:textFill>
        </w:rPr>
        <w:instrText xml:space="preserve"> = 5 \* GB3 \* MERGEFORMAT </w:instrText>
      </w:r>
      <w:r>
        <w:rPr>
          <w:rFonts w:ascii="Times New Roman"/>
          <w:snapToGrid w:val="0"/>
          <w:color w:val="000000" w:themeColor="text1"/>
          <w:spacing w:val="-16"/>
          <w:kern w:val="21"/>
          <w:sz w:val="16"/>
          <w:szCs w:val="16"/>
          <w14:textFill>
            <w14:solidFill>
              <w14:schemeClr w14:val="tx1"/>
            </w14:solidFill>
          </w14:textFill>
        </w:rPr>
        <w:fldChar w:fldCharType="separate"/>
      </w:r>
      <w:r>
        <w:rPr>
          <w:rFonts w:ascii="Times New Roman"/>
          <w:color w:val="000000" w:themeColor="text1"/>
          <w:sz w:val="16"/>
          <w:szCs w:val="16"/>
          <w14:textFill>
            <w14:solidFill>
              <w14:schemeClr w14:val="tx1"/>
            </w14:solidFill>
          </w14:textFill>
        </w:rPr>
        <w:t>⑤</w:t>
      </w:r>
      <w:r>
        <w:rPr>
          <w:rFonts w:ascii="Times New Roman"/>
          <w:snapToGrid w:val="0"/>
          <w:color w:val="000000" w:themeColor="text1"/>
          <w:spacing w:val="-16"/>
          <w:kern w:val="21"/>
          <w:sz w:val="16"/>
          <w:szCs w:val="16"/>
          <w14:textFill>
            <w14:solidFill>
              <w14:schemeClr w14:val="tx1"/>
            </w14:solidFill>
          </w14:textFill>
        </w:rPr>
        <w:fldChar w:fldCharType="end"/>
      </w:r>
      <w:r>
        <w:rPr>
          <w:rFonts w:ascii="Times New Roman"/>
          <w:snapToGrid w:val="0"/>
          <w:color w:val="000000" w:themeColor="text1"/>
          <w:spacing w:val="-16"/>
          <w:kern w:val="21"/>
          <w:sz w:val="16"/>
          <w:szCs w:val="16"/>
          <w14:textFill>
            <w14:solidFill>
              <w14:schemeClr w14:val="tx1"/>
            </w14:solidFill>
          </w14:textFill>
        </w:rPr>
        <w:t>；</w:t>
      </w:r>
      <w:r>
        <w:rPr>
          <w:rFonts w:ascii="Times New Roman"/>
          <w:snapToGrid w:val="0"/>
          <w:color w:val="000000" w:themeColor="text1"/>
          <w:spacing w:val="-6"/>
          <w:kern w:val="21"/>
          <w:sz w:val="16"/>
          <w:szCs w:val="16"/>
          <w14:textFill>
            <w14:solidFill>
              <w14:schemeClr w14:val="tx1"/>
            </w14:solidFill>
          </w14:textFill>
        </w:rPr>
        <w:fldChar w:fldCharType="begin"/>
      </w:r>
      <w:r>
        <w:rPr>
          <w:rFonts w:ascii="Times New Roman"/>
          <w:snapToGrid w:val="0"/>
          <w:color w:val="000000" w:themeColor="text1"/>
          <w:spacing w:val="-6"/>
          <w:kern w:val="21"/>
          <w:sz w:val="16"/>
          <w:szCs w:val="16"/>
          <w14:textFill>
            <w14:solidFill>
              <w14:schemeClr w14:val="tx1"/>
            </w14:solidFill>
          </w14:textFill>
        </w:rPr>
        <w:instrText xml:space="preserve"> = 7 \* GB3 \* MERGEFORMAT </w:instrText>
      </w:r>
      <w:r>
        <w:rPr>
          <w:rFonts w:ascii="Times New Roman"/>
          <w:snapToGrid w:val="0"/>
          <w:color w:val="000000" w:themeColor="text1"/>
          <w:spacing w:val="-6"/>
          <w:kern w:val="21"/>
          <w:sz w:val="16"/>
          <w:szCs w:val="16"/>
          <w14:textFill>
            <w14:solidFill>
              <w14:schemeClr w14:val="tx1"/>
            </w14:solidFill>
          </w14:textFill>
        </w:rPr>
        <w:fldChar w:fldCharType="separate"/>
      </w:r>
      <w:r>
        <w:rPr>
          <w:rFonts w:ascii="Times New Roman"/>
          <w:color w:val="000000" w:themeColor="text1"/>
          <w:sz w:val="16"/>
          <w:szCs w:val="16"/>
          <w14:textFill>
            <w14:solidFill>
              <w14:schemeClr w14:val="tx1"/>
            </w14:solidFill>
          </w14:textFill>
        </w:rPr>
        <w:t>⑦</w:t>
      </w:r>
      <w:r>
        <w:rPr>
          <w:rFonts w:ascii="Times New Roman"/>
          <w:snapToGrid w:val="0"/>
          <w:color w:val="000000" w:themeColor="text1"/>
          <w:spacing w:val="-6"/>
          <w:kern w:val="21"/>
          <w:sz w:val="16"/>
          <w:szCs w:val="16"/>
          <w14:textFill>
            <w14:solidFill>
              <w14:schemeClr w14:val="tx1"/>
            </w14:solidFill>
          </w14:textFill>
        </w:rPr>
        <w:fldChar w:fldCharType="end"/>
      </w:r>
      <w:r>
        <w:rPr>
          <w:rFonts w:ascii="Times New Roman"/>
          <w:snapToGrid w:val="0"/>
          <w:color w:val="000000" w:themeColor="text1"/>
          <w:spacing w:val="-6"/>
          <w:kern w:val="21"/>
          <w:sz w:val="16"/>
          <w:szCs w:val="16"/>
          <w14:textFill>
            <w14:solidFill>
              <w14:schemeClr w14:val="tx1"/>
            </w14:solidFill>
          </w14:textFill>
        </w:rPr>
        <w:t>=</w:t>
      </w:r>
      <w:r>
        <w:rPr>
          <w:rFonts w:ascii="Times New Roman"/>
          <w:snapToGrid w:val="0"/>
          <w:color w:val="000000" w:themeColor="text1"/>
          <w:spacing w:val="-16"/>
          <w:kern w:val="21"/>
          <w:sz w:val="16"/>
          <w:szCs w:val="16"/>
          <w14:textFill>
            <w14:solidFill>
              <w14:schemeClr w14:val="tx1"/>
            </w14:solidFill>
          </w14:textFill>
        </w:rPr>
        <w:fldChar w:fldCharType="begin"/>
      </w:r>
      <w:r>
        <w:rPr>
          <w:rFonts w:ascii="Times New Roman"/>
          <w:snapToGrid w:val="0"/>
          <w:color w:val="000000" w:themeColor="text1"/>
          <w:spacing w:val="-16"/>
          <w:kern w:val="21"/>
          <w:sz w:val="16"/>
          <w:szCs w:val="16"/>
          <w14:textFill>
            <w14:solidFill>
              <w14:schemeClr w14:val="tx1"/>
            </w14:solidFill>
          </w14:textFill>
        </w:rPr>
        <w:instrText xml:space="preserve"> = 6 \* GB3 \* MERGEFORMAT </w:instrText>
      </w:r>
      <w:r>
        <w:rPr>
          <w:rFonts w:ascii="Times New Roman"/>
          <w:snapToGrid w:val="0"/>
          <w:color w:val="000000" w:themeColor="text1"/>
          <w:spacing w:val="-16"/>
          <w:kern w:val="21"/>
          <w:sz w:val="16"/>
          <w:szCs w:val="16"/>
          <w14:textFill>
            <w14:solidFill>
              <w14:schemeClr w14:val="tx1"/>
            </w14:solidFill>
          </w14:textFill>
        </w:rPr>
        <w:fldChar w:fldCharType="separate"/>
      </w:r>
      <w:r>
        <w:rPr>
          <w:rFonts w:ascii="Times New Roman"/>
          <w:color w:val="000000" w:themeColor="text1"/>
          <w:sz w:val="16"/>
          <w:szCs w:val="16"/>
          <w14:textFill>
            <w14:solidFill>
              <w14:schemeClr w14:val="tx1"/>
            </w14:solidFill>
          </w14:textFill>
        </w:rPr>
        <w:t>⑥</w:t>
      </w:r>
      <w:r>
        <w:rPr>
          <w:rFonts w:ascii="Times New Roman"/>
          <w:snapToGrid w:val="0"/>
          <w:color w:val="000000" w:themeColor="text1"/>
          <w:spacing w:val="-16"/>
          <w:kern w:val="21"/>
          <w:sz w:val="16"/>
          <w:szCs w:val="16"/>
          <w14:textFill>
            <w14:solidFill>
              <w14:schemeClr w14:val="tx1"/>
            </w14:solidFill>
          </w14:textFill>
        </w:rPr>
        <w:fldChar w:fldCharType="end"/>
      </w:r>
      <w:r>
        <w:rPr>
          <w:rFonts w:ascii="Times New Roman"/>
          <w:snapToGrid w:val="0"/>
          <w:color w:val="000000" w:themeColor="text1"/>
          <w:spacing w:val="-16"/>
          <w:kern w:val="21"/>
          <w:sz w:val="16"/>
          <w:szCs w:val="16"/>
          <w14:textFill>
            <w14:solidFill>
              <w14:schemeClr w14:val="tx1"/>
            </w14:solidFill>
          </w14:textFill>
        </w:rPr>
        <w:t>-①</w:t>
      </w:r>
      <w:r>
        <w:rPr>
          <w:rFonts w:hint="eastAsia" w:ascii="Times New Roman"/>
          <w:snapToGrid w:val="0"/>
          <w:color w:val="000000" w:themeColor="text1"/>
          <w:spacing w:val="-16"/>
          <w:kern w:val="21"/>
          <w:sz w:val="16"/>
          <w:szCs w:val="16"/>
          <w14:textFill>
            <w14:solidFill>
              <w14:schemeClr w14:val="tx1"/>
            </w14:solidFill>
          </w14:textFill>
        </w:rPr>
        <w:t xml:space="preserve">  单位：t/a</w:t>
      </w:r>
    </w:p>
    <w:p w14:paraId="32E0FBF7">
      <w:pPr>
        <w:adjustRightInd w:val="0"/>
        <w:snapToGrid w:val="0"/>
        <w:spacing w:line="288" w:lineRule="auto"/>
        <w:jc w:val="center"/>
        <w:sectPr>
          <w:footerReference r:id="rId6" w:type="default"/>
          <w:footerReference r:id="rId7" w:type="even"/>
          <w:pgSz w:w="16838" w:h="11906" w:orient="landscape"/>
          <w:pgMar w:top="1080" w:right="1440" w:bottom="1080" w:left="1440" w:header="851" w:footer="1077" w:gutter="0"/>
          <w:pgBorders>
            <w:top w:val="none" w:sz="0" w:space="0"/>
            <w:left w:val="none" w:sz="0" w:space="0"/>
            <w:bottom w:val="none" w:sz="0" w:space="0"/>
            <w:right w:val="none" w:sz="0" w:space="0"/>
          </w:pgBorders>
          <w:pgNumType w:fmt="decimal"/>
          <w:cols w:space="720" w:num="1"/>
          <w:docGrid w:linePitch="312" w:charSpace="0"/>
        </w:sectPr>
      </w:pPr>
      <w:bookmarkStart w:id="8" w:name="_GoBack"/>
      <w:bookmarkEnd w:id="8"/>
    </w:p>
    <w:p w14:paraId="17F15620">
      <w:pPr>
        <w:rPr>
          <w:color w:val="000000" w:themeColor="text1"/>
          <w14:textFill>
            <w14:solidFill>
              <w14:schemeClr w14:val="tx1"/>
            </w14:solidFill>
          </w14:textFill>
        </w:rPr>
      </w:pPr>
    </w:p>
    <w:sectPr>
      <w:footerReference r:id="rId8"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2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Dutch801 Rm BT">
    <w:panose1 w:val="02020603060505020304"/>
    <w:charset w:val="00"/>
    <w:family w:val="roman"/>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CIDFon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方正仿宋_GBK">
    <w:altName w:val="Arial Unicode MS"/>
    <w:panose1 w:val="02000000000000000000"/>
    <w:charset w:val="86"/>
    <w:family w:val="script"/>
    <w:pitch w:val="default"/>
    <w:sig w:usb0="00000000" w:usb1="00000000" w:usb2="00082016" w:usb3="00000000" w:csb0="00040001" w:csb1="00000000"/>
  </w:font>
  <w:font w:name="Arial Unicode MS">
    <w:panose1 w:val="020B0604020202020204"/>
    <w:charset w:val="86"/>
    <w:family w:val="auto"/>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auto"/>
    <w:pitch w:val="default"/>
    <w:sig w:usb0="00000000" w:usb1="00000000" w:usb2="00000010" w:usb3="00000000" w:csb0="0006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2D5C8">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8B388">
    <w:pPr>
      <w:pStyle w:val="17"/>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E756C">
    <w:pPr>
      <w:pStyle w:val="17"/>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88175E">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14:paraId="2388175E">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372EE8">
    <w:pPr>
      <w:pStyle w:val="17"/>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005B35">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hwhg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iHCGAt0CAAAmBgAADgAAAAAAAAABACAAAAAfAQAAZHJzL2Uyb0RvYy54bWxQSwUG&#10;AAAAAAYABgBZAQAAbgYAAAAA&#10;">
              <v:fill on="f" focussize="0,0"/>
              <v:stroke on="f" weight="0.5pt"/>
              <v:imagedata o:title=""/>
              <o:lock v:ext="edit" aspectratio="f"/>
              <v:textbox inset="0mm,0mm,0mm,0mm" style="mso-fit-shape-to-text:t;">
                <w:txbxContent>
                  <w:p w14:paraId="23005B35">
                    <w:pPr>
                      <w:pStyle w:val="1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5AA65">
    <w:pPr>
      <w:pStyle w:val="17"/>
      <w:framePr w:wrap="around" w:vAnchor="text" w:hAnchor="margin" w:xAlign="center" w:y="1"/>
      <w:rPr>
        <w:rStyle w:val="24"/>
      </w:rPr>
    </w:pPr>
    <w:r>
      <w:fldChar w:fldCharType="begin"/>
    </w:r>
    <w:r>
      <w:rPr>
        <w:rStyle w:val="24"/>
      </w:rPr>
      <w:instrText xml:space="preserve">PAGE  </w:instrText>
    </w:r>
    <w:r>
      <w:fldChar w:fldCharType="end"/>
    </w:r>
  </w:p>
  <w:p w14:paraId="63615ADB">
    <w:pPr>
      <w:pStyle w:val="17"/>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B3632">
    <w:pPr>
      <w:pStyle w:val="17"/>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AB2E9BA">
                          <w:pPr>
                            <w:pStyle w:val="17"/>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5PuKjd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3k+4qN0CAAAmBgAADgAAAAAAAAABACAAAAAfAQAAZHJzL2Uyb0RvYy54bWxQSwUG&#10;AAAAAAYABgBZAQAAbgYAAAAA&#10;">
              <v:fill on="f" focussize="0,0"/>
              <v:stroke on="f" weight="0.5pt"/>
              <v:imagedata o:title=""/>
              <o:lock v:ext="edit" aspectratio="f"/>
              <v:textbox inset="0mm,0mm,0mm,0mm" style="mso-fit-shape-to-text:t;">
                <w:txbxContent>
                  <w:p w14:paraId="3AB2E9BA">
                    <w:pPr>
                      <w:pStyle w:val="17"/>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0E5008"/>
    <w:multiLevelType w:val="singleLevel"/>
    <w:tmpl w:val="060E5008"/>
    <w:lvl w:ilvl="0" w:tentative="0">
      <w:start w:val="1"/>
      <w:numFmt w:val="bullet"/>
      <w:pStyle w:val="15"/>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7064A0"/>
    <w:rsid w:val="000E3FC3"/>
    <w:rsid w:val="00247343"/>
    <w:rsid w:val="003677E8"/>
    <w:rsid w:val="00395566"/>
    <w:rsid w:val="00475B4A"/>
    <w:rsid w:val="00537C28"/>
    <w:rsid w:val="00755DF0"/>
    <w:rsid w:val="00816543"/>
    <w:rsid w:val="00861DAB"/>
    <w:rsid w:val="008D484F"/>
    <w:rsid w:val="00902C2A"/>
    <w:rsid w:val="00922010"/>
    <w:rsid w:val="00975D66"/>
    <w:rsid w:val="009F2E6D"/>
    <w:rsid w:val="00A42012"/>
    <w:rsid w:val="00A87DE8"/>
    <w:rsid w:val="00AA3CEC"/>
    <w:rsid w:val="00AD4B0B"/>
    <w:rsid w:val="00AE4C71"/>
    <w:rsid w:val="00B22BA0"/>
    <w:rsid w:val="00BC07C4"/>
    <w:rsid w:val="00C528D4"/>
    <w:rsid w:val="00CD1788"/>
    <w:rsid w:val="00CF0661"/>
    <w:rsid w:val="00D44DDF"/>
    <w:rsid w:val="01177A27"/>
    <w:rsid w:val="01277FD4"/>
    <w:rsid w:val="01297CA0"/>
    <w:rsid w:val="014D3B43"/>
    <w:rsid w:val="014F219D"/>
    <w:rsid w:val="016C5D73"/>
    <w:rsid w:val="017716F4"/>
    <w:rsid w:val="01875DDB"/>
    <w:rsid w:val="019C546F"/>
    <w:rsid w:val="019F33C3"/>
    <w:rsid w:val="01AF179F"/>
    <w:rsid w:val="01CA5CC8"/>
    <w:rsid w:val="01FD6321"/>
    <w:rsid w:val="020E3E06"/>
    <w:rsid w:val="02117D9A"/>
    <w:rsid w:val="021D0A29"/>
    <w:rsid w:val="02375F66"/>
    <w:rsid w:val="023A109F"/>
    <w:rsid w:val="024E68F9"/>
    <w:rsid w:val="0256755B"/>
    <w:rsid w:val="027D71DE"/>
    <w:rsid w:val="02866093"/>
    <w:rsid w:val="029F0CF5"/>
    <w:rsid w:val="02AD7AC3"/>
    <w:rsid w:val="02B15EAE"/>
    <w:rsid w:val="02D84414"/>
    <w:rsid w:val="02D844B5"/>
    <w:rsid w:val="02DA018C"/>
    <w:rsid w:val="02ED3F30"/>
    <w:rsid w:val="02F474A0"/>
    <w:rsid w:val="02F72AEC"/>
    <w:rsid w:val="02FC0103"/>
    <w:rsid w:val="031C2553"/>
    <w:rsid w:val="03343D40"/>
    <w:rsid w:val="033B3A37"/>
    <w:rsid w:val="035166A0"/>
    <w:rsid w:val="03520EFC"/>
    <w:rsid w:val="03A76C98"/>
    <w:rsid w:val="03AC070B"/>
    <w:rsid w:val="03AD764F"/>
    <w:rsid w:val="03B6017D"/>
    <w:rsid w:val="03CE68EB"/>
    <w:rsid w:val="03E27847"/>
    <w:rsid w:val="04006E1F"/>
    <w:rsid w:val="04273BA4"/>
    <w:rsid w:val="043A06FC"/>
    <w:rsid w:val="045F4DED"/>
    <w:rsid w:val="04605389"/>
    <w:rsid w:val="047B0B7A"/>
    <w:rsid w:val="049329AF"/>
    <w:rsid w:val="049654A1"/>
    <w:rsid w:val="049A5E25"/>
    <w:rsid w:val="04AC6FE6"/>
    <w:rsid w:val="04C2712A"/>
    <w:rsid w:val="04C579CE"/>
    <w:rsid w:val="04CB3550"/>
    <w:rsid w:val="04D255BF"/>
    <w:rsid w:val="04DA4474"/>
    <w:rsid w:val="04EF43C3"/>
    <w:rsid w:val="04F220C4"/>
    <w:rsid w:val="04FA2D68"/>
    <w:rsid w:val="04FA4B16"/>
    <w:rsid w:val="04FC088E"/>
    <w:rsid w:val="04FE23A5"/>
    <w:rsid w:val="05575AC4"/>
    <w:rsid w:val="0559183C"/>
    <w:rsid w:val="05656433"/>
    <w:rsid w:val="05772978"/>
    <w:rsid w:val="059B1E55"/>
    <w:rsid w:val="05A43768"/>
    <w:rsid w:val="05B747B5"/>
    <w:rsid w:val="05BB0A43"/>
    <w:rsid w:val="05BB4BC3"/>
    <w:rsid w:val="05C80770"/>
    <w:rsid w:val="05D62E8D"/>
    <w:rsid w:val="05E82BC0"/>
    <w:rsid w:val="05FE23E4"/>
    <w:rsid w:val="060A7835"/>
    <w:rsid w:val="06113EC5"/>
    <w:rsid w:val="0622270A"/>
    <w:rsid w:val="06230D18"/>
    <w:rsid w:val="063A1DEA"/>
    <w:rsid w:val="064562A1"/>
    <w:rsid w:val="06473D8B"/>
    <w:rsid w:val="06562220"/>
    <w:rsid w:val="065B3392"/>
    <w:rsid w:val="067E515C"/>
    <w:rsid w:val="06894493"/>
    <w:rsid w:val="06976AC0"/>
    <w:rsid w:val="06A0349B"/>
    <w:rsid w:val="06B94E6E"/>
    <w:rsid w:val="06EE06AA"/>
    <w:rsid w:val="06F134AE"/>
    <w:rsid w:val="06FD535B"/>
    <w:rsid w:val="071D4AEC"/>
    <w:rsid w:val="071E3E58"/>
    <w:rsid w:val="07237076"/>
    <w:rsid w:val="07375BAD"/>
    <w:rsid w:val="07554285"/>
    <w:rsid w:val="07591FC8"/>
    <w:rsid w:val="076F5347"/>
    <w:rsid w:val="078F7471"/>
    <w:rsid w:val="0792706D"/>
    <w:rsid w:val="07957982"/>
    <w:rsid w:val="07BB53C7"/>
    <w:rsid w:val="07C65661"/>
    <w:rsid w:val="07CC279A"/>
    <w:rsid w:val="07D94EB6"/>
    <w:rsid w:val="07F07FA3"/>
    <w:rsid w:val="07FE68AF"/>
    <w:rsid w:val="081E4EBE"/>
    <w:rsid w:val="0822060B"/>
    <w:rsid w:val="08273E74"/>
    <w:rsid w:val="08591D90"/>
    <w:rsid w:val="085C3EA8"/>
    <w:rsid w:val="088272FC"/>
    <w:rsid w:val="08837C58"/>
    <w:rsid w:val="088415B7"/>
    <w:rsid w:val="08915791"/>
    <w:rsid w:val="08A87E00"/>
    <w:rsid w:val="08B17BE1"/>
    <w:rsid w:val="08BF7F50"/>
    <w:rsid w:val="08E41D65"/>
    <w:rsid w:val="08F00FB1"/>
    <w:rsid w:val="08F0261D"/>
    <w:rsid w:val="09095327"/>
    <w:rsid w:val="09151F1E"/>
    <w:rsid w:val="091C13C7"/>
    <w:rsid w:val="0922463B"/>
    <w:rsid w:val="09267C87"/>
    <w:rsid w:val="092A3689"/>
    <w:rsid w:val="09313B11"/>
    <w:rsid w:val="0935436E"/>
    <w:rsid w:val="09376339"/>
    <w:rsid w:val="0946657C"/>
    <w:rsid w:val="097A67FC"/>
    <w:rsid w:val="098B0432"/>
    <w:rsid w:val="098B1B4B"/>
    <w:rsid w:val="099202DD"/>
    <w:rsid w:val="09AE67E0"/>
    <w:rsid w:val="09BE1339"/>
    <w:rsid w:val="09CD0A4B"/>
    <w:rsid w:val="09D27E0F"/>
    <w:rsid w:val="09D63145"/>
    <w:rsid w:val="09DA6CC4"/>
    <w:rsid w:val="09DC0F68"/>
    <w:rsid w:val="09EB777A"/>
    <w:rsid w:val="0A0C17EE"/>
    <w:rsid w:val="0A195A3E"/>
    <w:rsid w:val="0A2F5262"/>
    <w:rsid w:val="0A330C97"/>
    <w:rsid w:val="0A3C5E6F"/>
    <w:rsid w:val="0A410AF1"/>
    <w:rsid w:val="0A474359"/>
    <w:rsid w:val="0A7B2255"/>
    <w:rsid w:val="0A892BC4"/>
    <w:rsid w:val="0A90209F"/>
    <w:rsid w:val="0A99282A"/>
    <w:rsid w:val="0AA558CF"/>
    <w:rsid w:val="0AA74DF8"/>
    <w:rsid w:val="0AB363EF"/>
    <w:rsid w:val="0AB55CF1"/>
    <w:rsid w:val="0ACF355F"/>
    <w:rsid w:val="0AF81AF7"/>
    <w:rsid w:val="0AFA123A"/>
    <w:rsid w:val="0B0A6F5A"/>
    <w:rsid w:val="0B1306DF"/>
    <w:rsid w:val="0B141D0B"/>
    <w:rsid w:val="0B185CF6"/>
    <w:rsid w:val="0B247F12"/>
    <w:rsid w:val="0B2551B0"/>
    <w:rsid w:val="0B380146"/>
    <w:rsid w:val="0B3A5C6C"/>
    <w:rsid w:val="0B3B07CF"/>
    <w:rsid w:val="0B3E2722"/>
    <w:rsid w:val="0B462863"/>
    <w:rsid w:val="0B4D3BF1"/>
    <w:rsid w:val="0B6E5FE8"/>
    <w:rsid w:val="0B8769D7"/>
    <w:rsid w:val="0B882E7B"/>
    <w:rsid w:val="0B91045B"/>
    <w:rsid w:val="0BA37CB5"/>
    <w:rsid w:val="0BAA20CC"/>
    <w:rsid w:val="0BAB4F7F"/>
    <w:rsid w:val="0BD460C1"/>
    <w:rsid w:val="0BD84435"/>
    <w:rsid w:val="0BE107DE"/>
    <w:rsid w:val="0BE1258C"/>
    <w:rsid w:val="0BE5207C"/>
    <w:rsid w:val="0BED2CDE"/>
    <w:rsid w:val="0BF04C9E"/>
    <w:rsid w:val="0C23653F"/>
    <w:rsid w:val="0C3628D7"/>
    <w:rsid w:val="0C5745A7"/>
    <w:rsid w:val="0C5E598A"/>
    <w:rsid w:val="0C5E6314"/>
    <w:rsid w:val="0C602EFA"/>
    <w:rsid w:val="0C960330"/>
    <w:rsid w:val="0C9E59A1"/>
    <w:rsid w:val="0CB47CA0"/>
    <w:rsid w:val="0CCB5D63"/>
    <w:rsid w:val="0D222E5C"/>
    <w:rsid w:val="0D4728C2"/>
    <w:rsid w:val="0D4903E8"/>
    <w:rsid w:val="0D5D4CBE"/>
    <w:rsid w:val="0D731E6D"/>
    <w:rsid w:val="0D851C9F"/>
    <w:rsid w:val="0D8853B5"/>
    <w:rsid w:val="0D9941F9"/>
    <w:rsid w:val="0DAE5500"/>
    <w:rsid w:val="0DB84172"/>
    <w:rsid w:val="0DC7755F"/>
    <w:rsid w:val="0DC932D7"/>
    <w:rsid w:val="0DC9777B"/>
    <w:rsid w:val="0DD95C10"/>
    <w:rsid w:val="0DE93979"/>
    <w:rsid w:val="0DF26CD2"/>
    <w:rsid w:val="0DF5231E"/>
    <w:rsid w:val="0DFB4F97"/>
    <w:rsid w:val="0E0342FA"/>
    <w:rsid w:val="0E124C7E"/>
    <w:rsid w:val="0E1529C0"/>
    <w:rsid w:val="0E252C04"/>
    <w:rsid w:val="0E370B89"/>
    <w:rsid w:val="0E39220B"/>
    <w:rsid w:val="0E5E7EC3"/>
    <w:rsid w:val="0E765B7C"/>
    <w:rsid w:val="0E8042DE"/>
    <w:rsid w:val="0E820FEE"/>
    <w:rsid w:val="0EB53BE0"/>
    <w:rsid w:val="0EC44971"/>
    <w:rsid w:val="0EF32D02"/>
    <w:rsid w:val="0EFE3604"/>
    <w:rsid w:val="0F0E7B3C"/>
    <w:rsid w:val="0F2B6A4C"/>
    <w:rsid w:val="0F2C6214"/>
    <w:rsid w:val="0F384BB8"/>
    <w:rsid w:val="0F451083"/>
    <w:rsid w:val="0F473373"/>
    <w:rsid w:val="0F543075"/>
    <w:rsid w:val="0F59545C"/>
    <w:rsid w:val="0F696F75"/>
    <w:rsid w:val="0FAC1A22"/>
    <w:rsid w:val="0FBF0E36"/>
    <w:rsid w:val="0FC7596C"/>
    <w:rsid w:val="0FCB3DF0"/>
    <w:rsid w:val="0FD536AF"/>
    <w:rsid w:val="0FE10DAC"/>
    <w:rsid w:val="0FF24D67"/>
    <w:rsid w:val="0FF771A5"/>
    <w:rsid w:val="100565B7"/>
    <w:rsid w:val="103A04BC"/>
    <w:rsid w:val="10440C22"/>
    <w:rsid w:val="10466E61"/>
    <w:rsid w:val="10501A8E"/>
    <w:rsid w:val="105E41AB"/>
    <w:rsid w:val="107064A0"/>
    <w:rsid w:val="1077526D"/>
    <w:rsid w:val="10947BCD"/>
    <w:rsid w:val="10B1077E"/>
    <w:rsid w:val="10C761F4"/>
    <w:rsid w:val="10DB1C9F"/>
    <w:rsid w:val="10E83632"/>
    <w:rsid w:val="10FC5E0D"/>
    <w:rsid w:val="10FD7E68"/>
    <w:rsid w:val="11056D1C"/>
    <w:rsid w:val="111921EA"/>
    <w:rsid w:val="111C0DE0"/>
    <w:rsid w:val="114A128D"/>
    <w:rsid w:val="115455AE"/>
    <w:rsid w:val="1173306A"/>
    <w:rsid w:val="117417AC"/>
    <w:rsid w:val="117A1089"/>
    <w:rsid w:val="117C60AB"/>
    <w:rsid w:val="11A13517"/>
    <w:rsid w:val="11A70814"/>
    <w:rsid w:val="11AC1671"/>
    <w:rsid w:val="11AE1162"/>
    <w:rsid w:val="11BB73DB"/>
    <w:rsid w:val="11BD13A5"/>
    <w:rsid w:val="11BF3ECF"/>
    <w:rsid w:val="11C72224"/>
    <w:rsid w:val="11EC2E97"/>
    <w:rsid w:val="120A1E23"/>
    <w:rsid w:val="12132BAA"/>
    <w:rsid w:val="121F796A"/>
    <w:rsid w:val="122558D8"/>
    <w:rsid w:val="123A3203"/>
    <w:rsid w:val="123C49C0"/>
    <w:rsid w:val="123C676E"/>
    <w:rsid w:val="125C6E10"/>
    <w:rsid w:val="12BC340B"/>
    <w:rsid w:val="12CD1ABC"/>
    <w:rsid w:val="12EE5628"/>
    <w:rsid w:val="12FB7C2C"/>
    <w:rsid w:val="12FD1752"/>
    <w:rsid w:val="1312127D"/>
    <w:rsid w:val="131274CE"/>
    <w:rsid w:val="13207E3D"/>
    <w:rsid w:val="133631BD"/>
    <w:rsid w:val="134723F2"/>
    <w:rsid w:val="13826402"/>
    <w:rsid w:val="13835E38"/>
    <w:rsid w:val="138676EA"/>
    <w:rsid w:val="138F0B1F"/>
    <w:rsid w:val="13936861"/>
    <w:rsid w:val="13B10A95"/>
    <w:rsid w:val="13DD6D1E"/>
    <w:rsid w:val="14157276"/>
    <w:rsid w:val="14176148"/>
    <w:rsid w:val="143C0B97"/>
    <w:rsid w:val="14496F20"/>
    <w:rsid w:val="145B0D83"/>
    <w:rsid w:val="146833AE"/>
    <w:rsid w:val="146E4BD8"/>
    <w:rsid w:val="14726477"/>
    <w:rsid w:val="147F6DE6"/>
    <w:rsid w:val="14904B4F"/>
    <w:rsid w:val="14983A03"/>
    <w:rsid w:val="14A62F76"/>
    <w:rsid w:val="14C16A72"/>
    <w:rsid w:val="14C26904"/>
    <w:rsid w:val="14CB3DD9"/>
    <w:rsid w:val="14D56A06"/>
    <w:rsid w:val="14DB226E"/>
    <w:rsid w:val="14DF50A1"/>
    <w:rsid w:val="14F74019"/>
    <w:rsid w:val="14FE7AFD"/>
    <w:rsid w:val="15140E78"/>
    <w:rsid w:val="15267AAA"/>
    <w:rsid w:val="154E24EE"/>
    <w:rsid w:val="1587456B"/>
    <w:rsid w:val="158E48E1"/>
    <w:rsid w:val="15A207A1"/>
    <w:rsid w:val="15BA205C"/>
    <w:rsid w:val="15BB46D9"/>
    <w:rsid w:val="15C03212"/>
    <w:rsid w:val="15C26F8A"/>
    <w:rsid w:val="15C50828"/>
    <w:rsid w:val="15D05D4D"/>
    <w:rsid w:val="15D46CBD"/>
    <w:rsid w:val="15D56295"/>
    <w:rsid w:val="15DA2525"/>
    <w:rsid w:val="15E2762C"/>
    <w:rsid w:val="15FF7ADE"/>
    <w:rsid w:val="160B6BC8"/>
    <w:rsid w:val="161D0664"/>
    <w:rsid w:val="162B4B2F"/>
    <w:rsid w:val="16300397"/>
    <w:rsid w:val="16317734"/>
    <w:rsid w:val="16356CA1"/>
    <w:rsid w:val="164817EB"/>
    <w:rsid w:val="16495F90"/>
    <w:rsid w:val="1658169C"/>
    <w:rsid w:val="166E2C6E"/>
    <w:rsid w:val="16753FFC"/>
    <w:rsid w:val="167F4E7B"/>
    <w:rsid w:val="168C1346"/>
    <w:rsid w:val="16A20B69"/>
    <w:rsid w:val="16A50405"/>
    <w:rsid w:val="16AB66DE"/>
    <w:rsid w:val="16AE750E"/>
    <w:rsid w:val="16D21FE4"/>
    <w:rsid w:val="16E64EFA"/>
    <w:rsid w:val="16EA0F2C"/>
    <w:rsid w:val="16F13D7E"/>
    <w:rsid w:val="16F70437"/>
    <w:rsid w:val="16F77107"/>
    <w:rsid w:val="16F84300"/>
    <w:rsid w:val="172872C1"/>
    <w:rsid w:val="172C5003"/>
    <w:rsid w:val="174762AE"/>
    <w:rsid w:val="1749510D"/>
    <w:rsid w:val="17530D90"/>
    <w:rsid w:val="17536A39"/>
    <w:rsid w:val="17556C79"/>
    <w:rsid w:val="175932C8"/>
    <w:rsid w:val="1761165C"/>
    <w:rsid w:val="176C53FF"/>
    <w:rsid w:val="177B2398"/>
    <w:rsid w:val="17A032FB"/>
    <w:rsid w:val="17AD5A18"/>
    <w:rsid w:val="17AE5169"/>
    <w:rsid w:val="17B31280"/>
    <w:rsid w:val="17B57498"/>
    <w:rsid w:val="17CA0378"/>
    <w:rsid w:val="17E31439"/>
    <w:rsid w:val="17E7717C"/>
    <w:rsid w:val="17E94CA2"/>
    <w:rsid w:val="180C3764"/>
    <w:rsid w:val="180C6BE2"/>
    <w:rsid w:val="180E295A"/>
    <w:rsid w:val="1816180F"/>
    <w:rsid w:val="181C4AA4"/>
    <w:rsid w:val="18230FF3"/>
    <w:rsid w:val="183A07EC"/>
    <w:rsid w:val="184719C8"/>
    <w:rsid w:val="185A794E"/>
    <w:rsid w:val="185F4F64"/>
    <w:rsid w:val="18703932"/>
    <w:rsid w:val="188449CB"/>
    <w:rsid w:val="189B3AC2"/>
    <w:rsid w:val="18A61A6D"/>
    <w:rsid w:val="18AE37F5"/>
    <w:rsid w:val="18B2778A"/>
    <w:rsid w:val="18B51028"/>
    <w:rsid w:val="18B63C84"/>
    <w:rsid w:val="18EB2C9C"/>
    <w:rsid w:val="18F37025"/>
    <w:rsid w:val="190B6E9A"/>
    <w:rsid w:val="19143FA0"/>
    <w:rsid w:val="191D1A17"/>
    <w:rsid w:val="191F4B14"/>
    <w:rsid w:val="194523AC"/>
    <w:rsid w:val="19594C3C"/>
    <w:rsid w:val="1967271A"/>
    <w:rsid w:val="197C38F4"/>
    <w:rsid w:val="19913C87"/>
    <w:rsid w:val="19964344"/>
    <w:rsid w:val="199B021E"/>
    <w:rsid w:val="19C05ED6"/>
    <w:rsid w:val="19C1779A"/>
    <w:rsid w:val="19C71013"/>
    <w:rsid w:val="19CB47EA"/>
    <w:rsid w:val="19DB686C"/>
    <w:rsid w:val="19E94EA5"/>
    <w:rsid w:val="19EE47F1"/>
    <w:rsid w:val="1A045DC3"/>
    <w:rsid w:val="1A0A208E"/>
    <w:rsid w:val="1A2C356C"/>
    <w:rsid w:val="1A4A57A0"/>
    <w:rsid w:val="1A5F5C65"/>
    <w:rsid w:val="1A6D1019"/>
    <w:rsid w:val="1A6E7911"/>
    <w:rsid w:val="1A703B27"/>
    <w:rsid w:val="1A766595"/>
    <w:rsid w:val="1A8B19D1"/>
    <w:rsid w:val="1A8E38DF"/>
    <w:rsid w:val="1A9119E0"/>
    <w:rsid w:val="1AA255DC"/>
    <w:rsid w:val="1AAE3F81"/>
    <w:rsid w:val="1AB772D9"/>
    <w:rsid w:val="1ACD2659"/>
    <w:rsid w:val="1AD734D7"/>
    <w:rsid w:val="1AFD138C"/>
    <w:rsid w:val="1B0566A8"/>
    <w:rsid w:val="1B102545"/>
    <w:rsid w:val="1B106DCC"/>
    <w:rsid w:val="1B190004"/>
    <w:rsid w:val="1B1B3DEC"/>
    <w:rsid w:val="1B2B55D1"/>
    <w:rsid w:val="1B4260B3"/>
    <w:rsid w:val="1B4E0C8A"/>
    <w:rsid w:val="1B5778F1"/>
    <w:rsid w:val="1B8151F1"/>
    <w:rsid w:val="1B85552C"/>
    <w:rsid w:val="1B8845C4"/>
    <w:rsid w:val="1B8A0B27"/>
    <w:rsid w:val="1B9A7611"/>
    <w:rsid w:val="1BAB59DE"/>
    <w:rsid w:val="1BCA2B60"/>
    <w:rsid w:val="1BD468A2"/>
    <w:rsid w:val="1BE22336"/>
    <w:rsid w:val="1BF8455C"/>
    <w:rsid w:val="1BF95F5B"/>
    <w:rsid w:val="1C146065"/>
    <w:rsid w:val="1C1C4F1A"/>
    <w:rsid w:val="1C4F52EF"/>
    <w:rsid w:val="1C587E08"/>
    <w:rsid w:val="1C5A786C"/>
    <w:rsid w:val="1C6E39C8"/>
    <w:rsid w:val="1C6F7740"/>
    <w:rsid w:val="1C8054A9"/>
    <w:rsid w:val="1C966BD3"/>
    <w:rsid w:val="1C9A2A0F"/>
    <w:rsid w:val="1CA507C5"/>
    <w:rsid w:val="1CBA09BB"/>
    <w:rsid w:val="1CBC0BD7"/>
    <w:rsid w:val="1CC161ED"/>
    <w:rsid w:val="1CC932F4"/>
    <w:rsid w:val="1CCE7826"/>
    <w:rsid w:val="1CD221A8"/>
    <w:rsid w:val="1CDA34D2"/>
    <w:rsid w:val="1CDC41FF"/>
    <w:rsid w:val="1CE02EBC"/>
    <w:rsid w:val="1CE912A0"/>
    <w:rsid w:val="1CFA40C7"/>
    <w:rsid w:val="1D015729"/>
    <w:rsid w:val="1D0E0459"/>
    <w:rsid w:val="1D0E6058"/>
    <w:rsid w:val="1D181B85"/>
    <w:rsid w:val="1D1B6401"/>
    <w:rsid w:val="1D1D0F4A"/>
    <w:rsid w:val="1D1E08F1"/>
    <w:rsid w:val="1D261C54"/>
    <w:rsid w:val="1D302D06"/>
    <w:rsid w:val="1D37200B"/>
    <w:rsid w:val="1D3A5FA0"/>
    <w:rsid w:val="1D5A03F0"/>
    <w:rsid w:val="1D5D57EA"/>
    <w:rsid w:val="1D5E06E4"/>
    <w:rsid w:val="1D681191"/>
    <w:rsid w:val="1D6E69CB"/>
    <w:rsid w:val="1D7E6E01"/>
    <w:rsid w:val="1D823644"/>
    <w:rsid w:val="1D880AB9"/>
    <w:rsid w:val="1DA82330"/>
    <w:rsid w:val="1DB573D4"/>
    <w:rsid w:val="1DBE272D"/>
    <w:rsid w:val="1DC51D0D"/>
    <w:rsid w:val="1DCC36C4"/>
    <w:rsid w:val="1DD106B2"/>
    <w:rsid w:val="1DD81C25"/>
    <w:rsid w:val="1DDD0F03"/>
    <w:rsid w:val="1E0A7720"/>
    <w:rsid w:val="1E1D03AA"/>
    <w:rsid w:val="1E2A1B70"/>
    <w:rsid w:val="1E4D585F"/>
    <w:rsid w:val="1E5B61CE"/>
    <w:rsid w:val="1EA732A6"/>
    <w:rsid w:val="1EB31D24"/>
    <w:rsid w:val="1EDE5EE4"/>
    <w:rsid w:val="1EF1268E"/>
    <w:rsid w:val="1F0C7529"/>
    <w:rsid w:val="1F0E1492"/>
    <w:rsid w:val="1F2E4567"/>
    <w:rsid w:val="1F2F296F"/>
    <w:rsid w:val="1F38054B"/>
    <w:rsid w:val="1F38206B"/>
    <w:rsid w:val="1F504A2D"/>
    <w:rsid w:val="1F511DCC"/>
    <w:rsid w:val="1F544D7D"/>
    <w:rsid w:val="1F5D72F6"/>
    <w:rsid w:val="1F974FE3"/>
    <w:rsid w:val="1FB522CF"/>
    <w:rsid w:val="1FCF29CF"/>
    <w:rsid w:val="2031368A"/>
    <w:rsid w:val="20320A13"/>
    <w:rsid w:val="203377F4"/>
    <w:rsid w:val="20360CA0"/>
    <w:rsid w:val="20531852"/>
    <w:rsid w:val="20547378"/>
    <w:rsid w:val="205B4263"/>
    <w:rsid w:val="20684BD2"/>
    <w:rsid w:val="207B498E"/>
    <w:rsid w:val="20895274"/>
    <w:rsid w:val="209459C7"/>
    <w:rsid w:val="20992FDD"/>
    <w:rsid w:val="20B13B70"/>
    <w:rsid w:val="20B63B8F"/>
    <w:rsid w:val="20B834A0"/>
    <w:rsid w:val="20BA245D"/>
    <w:rsid w:val="20BD5F40"/>
    <w:rsid w:val="20CC6F0F"/>
    <w:rsid w:val="20F658A8"/>
    <w:rsid w:val="20FC568F"/>
    <w:rsid w:val="210F3FE9"/>
    <w:rsid w:val="211A0744"/>
    <w:rsid w:val="21311468"/>
    <w:rsid w:val="21463165"/>
    <w:rsid w:val="21661111"/>
    <w:rsid w:val="217A2E0F"/>
    <w:rsid w:val="21843C8D"/>
    <w:rsid w:val="21913598"/>
    <w:rsid w:val="219B4EB1"/>
    <w:rsid w:val="219E1A02"/>
    <w:rsid w:val="21AD5BD5"/>
    <w:rsid w:val="21AF5ECA"/>
    <w:rsid w:val="21CE03AD"/>
    <w:rsid w:val="21E55BA0"/>
    <w:rsid w:val="22001928"/>
    <w:rsid w:val="221072CF"/>
    <w:rsid w:val="221C5C74"/>
    <w:rsid w:val="224A3D5E"/>
    <w:rsid w:val="22513B6F"/>
    <w:rsid w:val="225B49EE"/>
    <w:rsid w:val="225E628C"/>
    <w:rsid w:val="22885A35"/>
    <w:rsid w:val="228A7081"/>
    <w:rsid w:val="22A20E20"/>
    <w:rsid w:val="22A50220"/>
    <w:rsid w:val="22A55C69"/>
    <w:rsid w:val="22B12883"/>
    <w:rsid w:val="22B33D2D"/>
    <w:rsid w:val="22BE6D2B"/>
    <w:rsid w:val="22CA56D0"/>
    <w:rsid w:val="22CC58EC"/>
    <w:rsid w:val="22D3622C"/>
    <w:rsid w:val="22E61AD1"/>
    <w:rsid w:val="22F1787E"/>
    <w:rsid w:val="230010F2"/>
    <w:rsid w:val="230967B2"/>
    <w:rsid w:val="232C1EE7"/>
    <w:rsid w:val="234607DC"/>
    <w:rsid w:val="234F5BD5"/>
    <w:rsid w:val="23645B24"/>
    <w:rsid w:val="237F470C"/>
    <w:rsid w:val="23944472"/>
    <w:rsid w:val="23BD5235"/>
    <w:rsid w:val="23C05002"/>
    <w:rsid w:val="23DE15D6"/>
    <w:rsid w:val="23DF164F"/>
    <w:rsid w:val="23E24E2D"/>
    <w:rsid w:val="23EF17F2"/>
    <w:rsid w:val="23F24EDE"/>
    <w:rsid w:val="24125580"/>
    <w:rsid w:val="24170DE9"/>
    <w:rsid w:val="24286B52"/>
    <w:rsid w:val="24316771"/>
    <w:rsid w:val="243417E3"/>
    <w:rsid w:val="243573EA"/>
    <w:rsid w:val="24433C55"/>
    <w:rsid w:val="245108AC"/>
    <w:rsid w:val="24594F5D"/>
    <w:rsid w:val="245A195E"/>
    <w:rsid w:val="245E2574"/>
    <w:rsid w:val="24816262"/>
    <w:rsid w:val="248A15BB"/>
    <w:rsid w:val="249146F7"/>
    <w:rsid w:val="24977834"/>
    <w:rsid w:val="249F7694"/>
    <w:rsid w:val="24A32153"/>
    <w:rsid w:val="24B03B5D"/>
    <w:rsid w:val="24CC572F"/>
    <w:rsid w:val="24CD1023"/>
    <w:rsid w:val="2500159F"/>
    <w:rsid w:val="251568FE"/>
    <w:rsid w:val="253A2FD0"/>
    <w:rsid w:val="25571E03"/>
    <w:rsid w:val="2584425C"/>
    <w:rsid w:val="25907E47"/>
    <w:rsid w:val="259A7F19"/>
    <w:rsid w:val="25A718F0"/>
    <w:rsid w:val="25B52AD9"/>
    <w:rsid w:val="25DD339D"/>
    <w:rsid w:val="25DD396C"/>
    <w:rsid w:val="25F969F8"/>
    <w:rsid w:val="26031625"/>
    <w:rsid w:val="260B2287"/>
    <w:rsid w:val="260F67A9"/>
    <w:rsid w:val="26153106"/>
    <w:rsid w:val="261750D0"/>
    <w:rsid w:val="26284BE7"/>
    <w:rsid w:val="262D044F"/>
    <w:rsid w:val="263537A8"/>
    <w:rsid w:val="263631A5"/>
    <w:rsid w:val="263D7E5C"/>
    <w:rsid w:val="263E05BB"/>
    <w:rsid w:val="264659B5"/>
    <w:rsid w:val="264F3C65"/>
    <w:rsid w:val="26720558"/>
    <w:rsid w:val="26881B2A"/>
    <w:rsid w:val="26914E82"/>
    <w:rsid w:val="26AF3F18"/>
    <w:rsid w:val="26B11081"/>
    <w:rsid w:val="26BE554B"/>
    <w:rsid w:val="26C85314"/>
    <w:rsid w:val="26E96EB2"/>
    <w:rsid w:val="27113AFE"/>
    <w:rsid w:val="27167E66"/>
    <w:rsid w:val="271C2272"/>
    <w:rsid w:val="27247AA4"/>
    <w:rsid w:val="272D3403"/>
    <w:rsid w:val="272F6449"/>
    <w:rsid w:val="27335F39"/>
    <w:rsid w:val="275A389E"/>
    <w:rsid w:val="27653C19"/>
    <w:rsid w:val="276B56D3"/>
    <w:rsid w:val="276C31F9"/>
    <w:rsid w:val="277025E4"/>
    <w:rsid w:val="27736336"/>
    <w:rsid w:val="27BF1CDB"/>
    <w:rsid w:val="27CF598B"/>
    <w:rsid w:val="27D668C5"/>
    <w:rsid w:val="27EB411E"/>
    <w:rsid w:val="27F3419F"/>
    <w:rsid w:val="27F51441"/>
    <w:rsid w:val="27F7539E"/>
    <w:rsid w:val="280E2503"/>
    <w:rsid w:val="28153BB7"/>
    <w:rsid w:val="28200BE6"/>
    <w:rsid w:val="28233D1F"/>
    <w:rsid w:val="28246B07"/>
    <w:rsid w:val="2858552C"/>
    <w:rsid w:val="285A74F6"/>
    <w:rsid w:val="288E0F4E"/>
    <w:rsid w:val="28BF6807"/>
    <w:rsid w:val="28D177B8"/>
    <w:rsid w:val="28D9618D"/>
    <w:rsid w:val="28EA087A"/>
    <w:rsid w:val="29192F0D"/>
    <w:rsid w:val="292024ED"/>
    <w:rsid w:val="294B5A99"/>
    <w:rsid w:val="294C5091"/>
    <w:rsid w:val="295551D7"/>
    <w:rsid w:val="295F6021"/>
    <w:rsid w:val="29936CBB"/>
    <w:rsid w:val="299E4777"/>
    <w:rsid w:val="29A66B9A"/>
    <w:rsid w:val="29A7676B"/>
    <w:rsid w:val="29D44611"/>
    <w:rsid w:val="29DB1DB9"/>
    <w:rsid w:val="29FA689B"/>
    <w:rsid w:val="2A1C7C63"/>
    <w:rsid w:val="2A1E1CDB"/>
    <w:rsid w:val="2A247694"/>
    <w:rsid w:val="2A2D4EC2"/>
    <w:rsid w:val="2A310EA7"/>
    <w:rsid w:val="2A320B29"/>
    <w:rsid w:val="2A3226A5"/>
    <w:rsid w:val="2A557CE0"/>
    <w:rsid w:val="2A64640A"/>
    <w:rsid w:val="2A684846"/>
    <w:rsid w:val="2A685EFA"/>
    <w:rsid w:val="2A720B27"/>
    <w:rsid w:val="2A9C2048"/>
    <w:rsid w:val="2AB7478C"/>
    <w:rsid w:val="2AE17A5A"/>
    <w:rsid w:val="2AE77AAF"/>
    <w:rsid w:val="2AFA0B7E"/>
    <w:rsid w:val="2AFD73C3"/>
    <w:rsid w:val="2B113B0E"/>
    <w:rsid w:val="2B592A2A"/>
    <w:rsid w:val="2B7C45EA"/>
    <w:rsid w:val="2B920D55"/>
    <w:rsid w:val="2B944ACD"/>
    <w:rsid w:val="2BB351B8"/>
    <w:rsid w:val="2BB355D0"/>
    <w:rsid w:val="2BC35FF1"/>
    <w:rsid w:val="2BC456FD"/>
    <w:rsid w:val="2BDD0222"/>
    <w:rsid w:val="2BDD6474"/>
    <w:rsid w:val="2BDE520E"/>
    <w:rsid w:val="2BE00F10"/>
    <w:rsid w:val="2BE05F64"/>
    <w:rsid w:val="2BFA427D"/>
    <w:rsid w:val="2BFC07F2"/>
    <w:rsid w:val="2C210A56"/>
    <w:rsid w:val="2C2E3173"/>
    <w:rsid w:val="2C3953D1"/>
    <w:rsid w:val="2C6B7F24"/>
    <w:rsid w:val="2C8F6197"/>
    <w:rsid w:val="2C972AC7"/>
    <w:rsid w:val="2CA70830"/>
    <w:rsid w:val="2CB35427"/>
    <w:rsid w:val="2CC413E2"/>
    <w:rsid w:val="2CC633AC"/>
    <w:rsid w:val="2CCA6FF3"/>
    <w:rsid w:val="2CD45AC9"/>
    <w:rsid w:val="2CE35D0C"/>
    <w:rsid w:val="2CF717B7"/>
    <w:rsid w:val="2D0A773C"/>
    <w:rsid w:val="2D1C7470"/>
    <w:rsid w:val="2D236108"/>
    <w:rsid w:val="2D3B381A"/>
    <w:rsid w:val="2D430559"/>
    <w:rsid w:val="2D4B68F9"/>
    <w:rsid w:val="2D550D9D"/>
    <w:rsid w:val="2D782F8C"/>
    <w:rsid w:val="2D7E77E3"/>
    <w:rsid w:val="2D8607DF"/>
    <w:rsid w:val="2D866F42"/>
    <w:rsid w:val="2D8F19F0"/>
    <w:rsid w:val="2DA07759"/>
    <w:rsid w:val="2DA7390B"/>
    <w:rsid w:val="2DA84860"/>
    <w:rsid w:val="2DB61072"/>
    <w:rsid w:val="2DD438A6"/>
    <w:rsid w:val="2DEE475B"/>
    <w:rsid w:val="2E020414"/>
    <w:rsid w:val="2E165C6D"/>
    <w:rsid w:val="2E166CE2"/>
    <w:rsid w:val="2E1D6FFC"/>
    <w:rsid w:val="2E3E3A4B"/>
    <w:rsid w:val="2E43227E"/>
    <w:rsid w:val="2E444588"/>
    <w:rsid w:val="2E4647A4"/>
    <w:rsid w:val="2E513149"/>
    <w:rsid w:val="2E5C080E"/>
    <w:rsid w:val="2E661B07"/>
    <w:rsid w:val="2E7E4EF0"/>
    <w:rsid w:val="2E7E7DC6"/>
    <w:rsid w:val="2E862DF3"/>
    <w:rsid w:val="2E8E67A4"/>
    <w:rsid w:val="2E9A064C"/>
    <w:rsid w:val="2E9B73BC"/>
    <w:rsid w:val="2E9D013C"/>
    <w:rsid w:val="2EC71164"/>
    <w:rsid w:val="2ED0406E"/>
    <w:rsid w:val="2ED61D9E"/>
    <w:rsid w:val="2EE564AE"/>
    <w:rsid w:val="2EEA15D4"/>
    <w:rsid w:val="2F067A90"/>
    <w:rsid w:val="2F0F103A"/>
    <w:rsid w:val="2F142D62"/>
    <w:rsid w:val="2F2F5238"/>
    <w:rsid w:val="2F4A02C4"/>
    <w:rsid w:val="2F575B54"/>
    <w:rsid w:val="2F5D61E3"/>
    <w:rsid w:val="2F650C5A"/>
    <w:rsid w:val="2FA86931"/>
    <w:rsid w:val="2FB15C4D"/>
    <w:rsid w:val="2FB27C17"/>
    <w:rsid w:val="2FBE748A"/>
    <w:rsid w:val="2FDB2CCA"/>
    <w:rsid w:val="2FE7539E"/>
    <w:rsid w:val="2FE9188B"/>
    <w:rsid w:val="301B154E"/>
    <w:rsid w:val="30313232"/>
    <w:rsid w:val="30322A82"/>
    <w:rsid w:val="3037278B"/>
    <w:rsid w:val="304E59DB"/>
    <w:rsid w:val="306453B6"/>
    <w:rsid w:val="308A649E"/>
    <w:rsid w:val="3091214E"/>
    <w:rsid w:val="30AB66A8"/>
    <w:rsid w:val="30B55C11"/>
    <w:rsid w:val="30B73737"/>
    <w:rsid w:val="30B82D08"/>
    <w:rsid w:val="30E3452C"/>
    <w:rsid w:val="30FA7AC8"/>
    <w:rsid w:val="310944F3"/>
    <w:rsid w:val="310E70CF"/>
    <w:rsid w:val="312E32CE"/>
    <w:rsid w:val="312E363D"/>
    <w:rsid w:val="3175714F"/>
    <w:rsid w:val="318B4D5C"/>
    <w:rsid w:val="318D4498"/>
    <w:rsid w:val="31A57A34"/>
    <w:rsid w:val="31AF3F03"/>
    <w:rsid w:val="31BF0628"/>
    <w:rsid w:val="31D67A0A"/>
    <w:rsid w:val="31DB16A7"/>
    <w:rsid w:val="31DB491E"/>
    <w:rsid w:val="31DE4CF4"/>
    <w:rsid w:val="31E63BA8"/>
    <w:rsid w:val="31E80F9E"/>
    <w:rsid w:val="31EE13DB"/>
    <w:rsid w:val="31F134B7"/>
    <w:rsid w:val="31FC33CC"/>
    <w:rsid w:val="3202443C"/>
    <w:rsid w:val="32026C34"/>
    <w:rsid w:val="32170EB9"/>
    <w:rsid w:val="321B5F48"/>
    <w:rsid w:val="322272D6"/>
    <w:rsid w:val="323B0398"/>
    <w:rsid w:val="32463916"/>
    <w:rsid w:val="324C4353"/>
    <w:rsid w:val="32676A97"/>
    <w:rsid w:val="327652E9"/>
    <w:rsid w:val="32BA2E92"/>
    <w:rsid w:val="32BB6DE3"/>
    <w:rsid w:val="32CC2D9E"/>
    <w:rsid w:val="32F01183"/>
    <w:rsid w:val="32FA5B5D"/>
    <w:rsid w:val="33114C55"/>
    <w:rsid w:val="332B3F69"/>
    <w:rsid w:val="332D5204"/>
    <w:rsid w:val="33330D02"/>
    <w:rsid w:val="334119DE"/>
    <w:rsid w:val="33460DA3"/>
    <w:rsid w:val="3350577D"/>
    <w:rsid w:val="33837901"/>
    <w:rsid w:val="338E62A6"/>
    <w:rsid w:val="339A10EE"/>
    <w:rsid w:val="33B26438"/>
    <w:rsid w:val="33B3759D"/>
    <w:rsid w:val="33B37802"/>
    <w:rsid w:val="33C125DB"/>
    <w:rsid w:val="33D01002"/>
    <w:rsid w:val="33D24C23"/>
    <w:rsid w:val="33EC7B9C"/>
    <w:rsid w:val="341A5348"/>
    <w:rsid w:val="341B222F"/>
    <w:rsid w:val="342235BE"/>
    <w:rsid w:val="34270BD4"/>
    <w:rsid w:val="34367069"/>
    <w:rsid w:val="346A6D13"/>
    <w:rsid w:val="346D2469"/>
    <w:rsid w:val="347E5715"/>
    <w:rsid w:val="347F6565"/>
    <w:rsid w:val="34AE4E51"/>
    <w:rsid w:val="34B00BC9"/>
    <w:rsid w:val="34B54432"/>
    <w:rsid w:val="34E940DB"/>
    <w:rsid w:val="34F3360F"/>
    <w:rsid w:val="351D3D85"/>
    <w:rsid w:val="35215623"/>
    <w:rsid w:val="35284C04"/>
    <w:rsid w:val="35466DBB"/>
    <w:rsid w:val="354A6E91"/>
    <w:rsid w:val="35551771"/>
    <w:rsid w:val="355552CD"/>
    <w:rsid w:val="355A28E3"/>
    <w:rsid w:val="356E638F"/>
    <w:rsid w:val="3575596F"/>
    <w:rsid w:val="358364C3"/>
    <w:rsid w:val="358B0CEF"/>
    <w:rsid w:val="359702F7"/>
    <w:rsid w:val="359C73A0"/>
    <w:rsid w:val="359F0C3E"/>
    <w:rsid w:val="35C506A4"/>
    <w:rsid w:val="35CF4C10"/>
    <w:rsid w:val="35D92F9C"/>
    <w:rsid w:val="361C403D"/>
    <w:rsid w:val="361F5C68"/>
    <w:rsid w:val="363870C8"/>
    <w:rsid w:val="36486BE0"/>
    <w:rsid w:val="36494C24"/>
    <w:rsid w:val="3660710A"/>
    <w:rsid w:val="36625BB4"/>
    <w:rsid w:val="366B04D8"/>
    <w:rsid w:val="366D4CA1"/>
    <w:rsid w:val="366E2AEA"/>
    <w:rsid w:val="366F23BE"/>
    <w:rsid w:val="367F579D"/>
    <w:rsid w:val="36853887"/>
    <w:rsid w:val="36863945"/>
    <w:rsid w:val="368F75DA"/>
    <w:rsid w:val="369D4B1D"/>
    <w:rsid w:val="36BA54BE"/>
    <w:rsid w:val="36D7354D"/>
    <w:rsid w:val="36FB1EA4"/>
    <w:rsid w:val="37054AD1"/>
    <w:rsid w:val="370E7993"/>
    <w:rsid w:val="37321D6A"/>
    <w:rsid w:val="373726F5"/>
    <w:rsid w:val="37405B09"/>
    <w:rsid w:val="375B3591"/>
    <w:rsid w:val="376B6F29"/>
    <w:rsid w:val="378B147A"/>
    <w:rsid w:val="37995737"/>
    <w:rsid w:val="37A367C3"/>
    <w:rsid w:val="37AA16F2"/>
    <w:rsid w:val="37CB5D1A"/>
    <w:rsid w:val="37D92540"/>
    <w:rsid w:val="37DD4AD6"/>
    <w:rsid w:val="37E33064"/>
    <w:rsid w:val="380052B9"/>
    <w:rsid w:val="380F20AB"/>
    <w:rsid w:val="3821593A"/>
    <w:rsid w:val="382947EF"/>
    <w:rsid w:val="38333982"/>
    <w:rsid w:val="385B0E4C"/>
    <w:rsid w:val="385C5D8D"/>
    <w:rsid w:val="385E6B8E"/>
    <w:rsid w:val="38623F43"/>
    <w:rsid w:val="38675A43"/>
    <w:rsid w:val="38710670"/>
    <w:rsid w:val="3871233E"/>
    <w:rsid w:val="38950D96"/>
    <w:rsid w:val="38A65E3F"/>
    <w:rsid w:val="38B36EDA"/>
    <w:rsid w:val="38BF4014"/>
    <w:rsid w:val="38CA5FD2"/>
    <w:rsid w:val="38CC0229"/>
    <w:rsid w:val="38E05B49"/>
    <w:rsid w:val="38E361AF"/>
    <w:rsid w:val="38EA21D0"/>
    <w:rsid w:val="38FF51E2"/>
    <w:rsid w:val="39151719"/>
    <w:rsid w:val="391C3471"/>
    <w:rsid w:val="392558CC"/>
    <w:rsid w:val="39461AFC"/>
    <w:rsid w:val="39621CD3"/>
    <w:rsid w:val="39647FE9"/>
    <w:rsid w:val="39671A73"/>
    <w:rsid w:val="398E34A3"/>
    <w:rsid w:val="39A22AAB"/>
    <w:rsid w:val="39A70407"/>
    <w:rsid w:val="39A74D48"/>
    <w:rsid w:val="39AB4187"/>
    <w:rsid w:val="39D8513B"/>
    <w:rsid w:val="39DB0F92"/>
    <w:rsid w:val="39E3734B"/>
    <w:rsid w:val="39E44E71"/>
    <w:rsid w:val="39EB26A4"/>
    <w:rsid w:val="39ED1F78"/>
    <w:rsid w:val="39F1151D"/>
    <w:rsid w:val="39F87C66"/>
    <w:rsid w:val="3A064DE8"/>
    <w:rsid w:val="3A1A0893"/>
    <w:rsid w:val="3A281202"/>
    <w:rsid w:val="3A3A5DC4"/>
    <w:rsid w:val="3A4B6C9E"/>
    <w:rsid w:val="3A5867E9"/>
    <w:rsid w:val="3A6B7341"/>
    <w:rsid w:val="3A8A3C6B"/>
    <w:rsid w:val="3A914FF9"/>
    <w:rsid w:val="3A92651D"/>
    <w:rsid w:val="3A950543"/>
    <w:rsid w:val="3A9E6377"/>
    <w:rsid w:val="3A9F5BAD"/>
    <w:rsid w:val="3AA36ADA"/>
    <w:rsid w:val="3AB807D8"/>
    <w:rsid w:val="3AC21656"/>
    <w:rsid w:val="3ACB5527"/>
    <w:rsid w:val="3AD35612"/>
    <w:rsid w:val="3ADF21C2"/>
    <w:rsid w:val="3AFB5B22"/>
    <w:rsid w:val="3B0E664A"/>
    <w:rsid w:val="3B235596"/>
    <w:rsid w:val="3B273268"/>
    <w:rsid w:val="3B2F670A"/>
    <w:rsid w:val="3B561D9F"/>
    <w:rsid w:val="3B575151"/>
    <w:rsid w:val="3B5E2A01"/>
    <w:rsid w:val="3B714E2B"/>
    <w:rsid w:val="3B890D46"/>
    <w:rsid w:val="3B8C0959"/>
    <w:rsid w:val="3B9D279F"/>
    <w:rsid w:val="3BA373A8"/>
    <w:rsid w:val="3BC211E2"/>
    <w:rsid w:val="3BC82C9D"/>
    <w:rsid w:val="3BD80A06"/>
    <w:rsid w:val="3BE13D5E"/>
    <w:rsid w:val="3BE9676F"/>
    <w:rsid w:val="3BED2703"/>
    <w:rsid w:val="3BED5822"/>
    <w:rsid w:val="3C152DBD"/>
    <w:rsid w:val="3C2B4FD9"/>
    <w:rsid w:val="3C2D6464"/>
    <w:rsid w:val="3C3C072D"/>
    <w:rsid w:val="3C6F6B30"/>
    <w:rsid w:val="3C7F35EF"/>
    <w:rsid w:val="3CA92358"/>
    <w:rsid w:val="3CBA010B"/>
    <w:rsid w:val="3CC66AB0"/>
    <w:rsid w:val="3CE358B4"/>
    <w:rsid w:val="3CEF24AB"/>
    <w:rsid w:val="3CF14753"/>
    <w:rsid w:val="3D001FC2"/>
    <w:rsid w:val="3D023F8C"/>
    <w:rsid w:val="3D363C36"/>
    <w:rsid w:val="3D4554AA"/>
    <w:rsid w:val="3D4C3459"/>
    <w:rsid w:val="3D581DFE"/>
    <w:rsid w:val="3D5B233F"/>
    <w:rsid w:val="3D5D6FD7"/>
    <w:rsid w:val="3D69400B"/>
    <w:rsid w:val="3DA56CDF"/>
    <w:rsid w:val="3DAA0180"/>
    <w:rsid w:val="3DBC41EE"/>
    <w:rsid w:val="3DBC69FF"/>
    <w:rsid w:val="3DC42C37"/>
    <w:rsid w:val="3DD1570D"/>
    <w:rsid w:val="3DE10046"/>
    <w:rsid w:val="3DE6565C"/>
    <w:rsid w:val="3DF06109"/>
    <w:rsid w:val="3DF245B0"/>
    <w:rsid w:val="3DF321A8"/>
    <w:rsid w:val="3E13220D"/>
    <w:rsid w:val="3E171CB9"/>
    <w:rsid w:val="3E1F0B6E"/>
    <w:rsid w:val="3E34046B"/>
    <w:rsid w:val="3E3A59A8"/>
    <w:rsid w:val="3E407E8E"/>
    <w:rsid w:val="3E5C591E"/>
    <w:rsid w:val="3E66679D"/>
    <w:rsid w:val="3E75253C"/>
    <w:rsid w:val="3E7D047A"/>
    <w:rsid w:val="3E8409D1"/>
    <w:rsid w:val="3E860BED"/>
    <w:rsid w:val="3E907376"/>
    <w:rsid w:val="3EA451FF"/>
    <w:rsid w:val="3EB47508"/>
    <w:rsid w:val="3EB71BA1"/>
    <w:rsid w:val="3EB94B1E"/>
    <w:rsid w:val="3EC26711"/>
    <w:rsid w:val="3EF220E8"/>
    <w:rsid w:val="3EF30DD2"/>
    <w:rsid w:val="3EF46F9A"/>
    <w:rsid w:val="3F081602"/>
    <w:rsid w:val="3F224AF2"/>
    <w:rsid w:val="3F2B709E"/>
    <w:rsid w:val="3F3E6DD2"/>
    <w:rsid w:val="3F544847"/>
    <w:rsid w:val="3F581C13"/>
    <w:rsid w:val="3F5B359F"/>
    <w:rsid w:val="3F5C54AA"/>
    <w:rsid w:val="3F60708E"/>
    <w:rsid w:val="3F9410E8"/>
    <w:rsid w:val="3F982986"/>
    <w:rsid w:val="3FBA180C"/>
    <w:rsid w:val="3FC574F3"/>
    <w:rsid w:val="3FD57736"/>
    <w:rsid w:val="3FE200A5"/>
    <w:rsid w:val="3FED1109"/>
    <w:rsid w:val="3FEE07F8"/>
    <w:rsid w:val="400E0926"/>
    <w:rsid w:val="40183AC7"/>
    <w:rsid w:val="40291830"/>
    <w:rsid w:val="40610FCA"/>
    <w:rsid w:val="408F1FDB"/>
    <w:rsid w:val="40972C3D"/>
    <w:rsid w:val="409C0254"/>
    <w:rsid w:val="40C923A6"/>
    <w:rsid w:val="40C9486C"/>
    <w:rsid w:val="40F55BB6"/>
    <w:rsid w:val="40F633A5"/>
    <w:rsid w:val="4102333F"/>
    <w:rsid w:val="410C5240"/>
    <w:rsid w:val="41124178"/>
    <w:rsid w:val="411C75E7"/>
    <w:rsid w:val="41262994"/>
    <w:rsid w:val="412838B7"/>
    <w:rsid w:val="413B7A6D"/>
    <w:rsid w:val="414C5A16"/>
    <w:rsid w:val="414F4EE6"/>
    <w:rsid w:val="41542C97"/>
    <w:rsid w:val="415E375B"/>
    <w:rsid w:val="416D1BF0"/>
    <w:rsid w:val="417411D1"/>
    <w:rsid w:val="417E204F"/>
    <w:rsid w:val="419F644D"/>
    <w:rsid w:val="41BB48E2"/>
    <w:rsid w:val="41BE2340"/>
    <w:rsid w:val="41C90376"/>
    <w:rsid w:val="41C932CA"/>
    <w:rsid w:val="41CC0438"/>
    <w:rsid w:val="41D41B37"/>
    <w:rsid w:val="41EA4FEF"/>
    <w:rsid w:val="41EF0857"/>
    <w:rsid w:val="41F45941"/>
    <w:rsid w:val="420267DC"/>
    <w:rsid w:val="420A5691"/>
    <w:rsid w:val="420E6F2F"/>
    <w:rsid w:val="42213106"/>
    <w:rsid w:val="42254279"/>
    <w:rsid w:val="422C3859"/>
    <w:rsid w:val="42402E61"/>
    <w:rsid w:val="42472441"/>
    <w:rsid w:val="424F227F"/>
    <w:rsid w:val="42536E3E"/>
    <w:rsid w:val="425A2175"/>
    <w:rsid w:val="426923B8"/>
    <w:rsid w:val="426E477F"/>
    <w:rsid w:val="428D4081"/>
    <w:rsid w:val="42905B96"/>
    <w:rsid w:val="42A32440"/>
    <w:rsid w:val="42A861D3"/>
    <w:rsid w:val="42BE6BA7"/>
    <w:rsid w:val="42C45840"/>
    <w:rsid w:val="42E22039"/>
    <w:rsid w:val="42ED6C48"/>
    <w:rsid w:val="42F205FF"/>
    <w:rsid w:val="42F74D3A"/>
    <w:rsid w:val="430F7403"/>
    <w:rsid w:val="431C567C"/>
    <w:rsid w:val="43210EE4"/>
    <w:rsid w:val="43395887"/>
    <w:rsid w:val="43543068"/>
    <w:rsid w:val="435C1F1C"/>
    <w:rsid w:val="43664B49"/>
    <w:rsid w:val="436C6603"/>
    <w:rsid w:val="43774492"/>
    <w:rsid w:val="43921B47"/>
    <w:rsid w:val="43B65AD0"/>
    <w:rsid w:val="43C55D14"/>
    <w:rsid w:val="43D63A7D"/>
    <w:rsid w:val="43F67691"/>
    <w:rsid w:val="44093E52"/>
    <w:rsid w:val="44194BC4"/>
    <w:rsid w:val="44384737"/>
    <w:rsid w:val="443B1206"/>
    <w:rsid w:val="44405A49"/>
    <w:rsid w:val="44556E9B"/>
    <w:rsid w:val="445F3A72"/>
    <w:rsid w:val="4462484A"/>
    <w:rsid w:val="447C0CAD"/>
    <w:rsid w:val="44882C70"/>
    <w:rsid w:val="448A0E85"/>
    <w:rsid w:val="448F2345"/>
    <w:rsid w:val="44901E7E"/>
    <w:rsid w:val="449A0075"/>
    <w:rsid w:val="449F6565"/>
    <w:rsid w:val="44B55D88"/>
    <w:rsid w:val="44C77869"/>
    <w:rsid w:val="44D426B2"/>
    <w:rsid w:val="44ED39AD"/>
    <w:rsid w:val="44F7014F"/>
    <w:rsid w:val="44FB023D"/>
    <w:rsid w:val="453056CF"/>
    <w:rsid w:val="45433394"/>
    <w:rsid w:val="455235D7"/>
    <w:rsid w:val="455A0EEE"/>
    <w:rsid w:val="45676403"/>
    <w:rsid w:val="45736708"/>
    <w:rsid w:val="45737E49"/>
    <w:rsid w:val="458A049C"/>
    <w:rsid w:val="458F2E33"/>
    <w:rsid w:val="45A55DFD"/>
    <w:rsid w:val="45B778DE"/>
    <w:rsid w:val="45C33F05"/>
    <w:rsid w:val="45C73FC5"/>
    <w:rsid w:val="45D73ADC"/>
    <w:rsid w:val="45D87F80"/>
    <w:rsid w:val="45E73170"/>
    <w:rsid w:val="46016203"/>
    <w:rsid w:val="461940F5"/>
    <w:rsid w:val="4622025B"/>
    <w:rsid w:val="463A467F"/>
    <w:rsid w:val="464A2500"/>
    <w:rsid w:val="4654512D"/>
    <w:rsid w:val="46592743"/>
    <w:rsid w:val="46604E00"/>
    <w:rsid w:val="46863243"/>
    <w:rsid w:val="468974CC"/>
    <w:rsid w:val="46A303B3"/>
    <w:rsid w:val="46AC58E1"/>
    <w:rsid w:val="46B04A59"/>
    <w:rsid w:val="46C2653A"/>
    <w:rsid w:val="46CC1582"/>
    <w:rsid w:val="46E06B85"/>
    <w:rsid w:val="470E6B2D"/>
    <w:rsid w:val="47246377"/>
    <w:rsid w:val="474B6530"/>
    <w:rsid w:val="474D04FA"/>
    <w:rsid w:val="474D4056"/>
    <w:rsid w:val="47583F97"/>
    <w:rsid w:val="475E4DF3"/>
    <w:rsid w:val="47614679"/>
    <w:rsid w:val="47705F96"/>
    <w:rsid w:val="477908C9"/>
    <w:rsid w:val="47997CE8"/>
    <w:rsid w:val="47A66166"/>
    <w:rsid w:val="47B37D01"/>
    <w:rsid w:val="47B43EC7"/>
    <w:rsid w:val="47B75973"/>
    <w:rsid w:val="47D57F3B"/>
    <w:rsid w:val="47F15B06"/>
    <w:rsid w:val="48086415"/>
    <w:rsid w:val="483416BA"/>
    <w:rsid w:val="48393822"/>
    <w:rsid w:val="485C3DC6"/>
    <w:rsid w:val="485D0FF3"/>
    <w:rsid w:val="485D651B"/>
    <w:rsid w:val="48610E04"/>
    <w:rsid w:val="488400BD"/>
    <w:rsid w:val="488520C4"/>
    <w:rsid w:val="48987C7B"/>
    <w:rsid w:val="48C62089"/>
    <w:rsid w:val="48C6699B"/>
    <w:rsid w:val="48CC3D64"/>
    <w:rsid w:val="48DB38E3"/>
    <w:rsid w:val="48EC3D42"/>
    <w:rsid w:val="48EE1869"/>
    <w:rsid w:val="48F03833"/>
    <w:rsid w:val="4907292A"/>
    <w:rsid w:val="49115557"/>
    <w:rsid w:val="492139EC"/>
    <w:rsid w:val="49267254"/>
    <w:rsid w:val="49284D7B"/>
    <w:rsid w:val="496C6379"/>
    <w:rsid w:val="496E2F33"/>
    <w:rsid w:val="49706721"/>
    <w:rsid w:val="49755AE6"/>
    <w:rsid w:val="49766DE5"/>
    <w:rsid w:val="49877112"/>
    <w:rsid w:val="498A525B"/>
    <w:rsid w:val="498D076A"/>
    <w:rsid w:val="499B4A9F"/>
    <w:rsid w:val="49AB1508"/>
    <w:rsid w:val="49B06B1E"/>
    <w:rsid w:val="49C425C9"/>
    <w:rsid w:val="49F51014"/>
    <w:rsid w:val="4A0A52C4"/>
    <w:rsid w:val="4A1B668D"/>
    <w:rsid w:val="4A286FFC"/>
    <w:rsid w:val="4A2F3EE7"/>
    <w:rsid w:val="4A325785"/>
    <w:rsid w:val="4A357FBB"/>
    <w:rsid w:val="4A3B0ADD"/>
    <w:rsid w:val="4A445DB6"/>
    <w:rsid w:val="4A540391"/>
    <w:rsid w:val="4A6875A8"/>
    <w:rsid w:val="4A6F69D9"/>
    <w:rsid w:val="4A783AE0"/>
    <w:rsid w:val="4A8325D3"/>
    <w:rsid w:val="4A8A3813"/>
    <w:rsid w:val="4A8E3303"/>
    <w:rsid w:val="4A930919"/>
    <w:rsid w:val="4AA541A9"/>
    <w:rsid w:val="4AD51227"/>
    <w:rsid w:val="4AD827D0"/>
    <w:rsid w:val="4AD93E52"/>
    <w:rsid w:val="4ADD32B8"/>
    <w:rsid w:val="4AEB2504"/>
    <w:rsid w:val="4AF22E11"/>
    <w:rsid w:val="4B1D537E"/>
    <w:rsid w:val="4B3C2D5F"/>
    <w:rsid w:val="4B644BE8"/>
    <w:rsid w:val="4B6C5D9F"/>
    <w:rsid w:val="4B6E5348"/>
    <w:rsid w:val="4B814C16"/>
    <w:rsid w:val="4B8D7117"/>
    <w:rsid w:val="4B944949"/>
    <w:rsid w:val="4B9530C4"/>
    <w:rsid w:val="4BBA0128"/>
    <w:rsid w:val="4BC028A6"/>
    <w:rsid w:val="4BC36FDC"/>
    <w:rsid w:val="4BC915C7"/>
    <w:rsid w:val="4BE17463"/>
    <w:rsid w:val="4BEA7E5D"/>
    <w:rsid w:val="4BFC604B"/>
    <w:rsid w:val="4C1E06B7"/>
    <w:rsid w:val="4C3942E9"/>
    <w:rsid w:val="4C447326"/>
    <w:rsid w:val="4C491CDC"/>
    <w:rsid w:val="4C4B3FA3"/>
    <w:rsid w:val="4C63273B"/>
    <w:rsid w:val="4C6856E3"/>
    <w:rsid w:val="4CAF130F"/>
    <w:rsid w:val="4CB53127"/>
    <w:rsid w:val="4CB678D6"/>
    <w:rsid w:val="4CD46FC7"/>
    <w:rsid w:val="4CD6689C"/>
    <w:rsid w:val="4CE97095"/>
    <w:rsid w:val="4CEB4620"/>
    <w:rsid w:val="4CEE3778"/>
    <w:rsid w:val="4CFF46FD"/>
    <w:rsid w:val="4D1B3ED6"/>
    <w:rsid w:val="4D1D096E"/>
    <w:rsid w:val="4D21647B"/>
    <w:rsid w:val="4D2A0DFA"/>
    <w:rsid w:val="4D2A6295"/>
    <w:rsid w:val="4D3F6B37"/>
    <w:rsid w:val="4D493511"/>
    <w:rsid w:val="4D613A9A"/>
    <w:rsid w:val="4D662315"/>
    <w:rsid w:val="4D9135BC"/>
    <w:rsid w:val="4D996326"/>
    <w:rsid w:val="4DAB40F0"/>
    <w:rsid w:val="4DB72B71"/>
    <w:rsid w:val="4DC96CA8"/>
    <w:rsid w:val="4DD3168B"/>
    <w:rsid w:val="4DDB4535"/>
    <w:rsid w:val="4DDC4386"/>
    <w:rsid w:val="4DE84AD8"/>
    <w:rsid w:val="4DE9228C"/>
    <w:rsid w:val="4DFA480C"/>
    <w:rsid w:val="4E036BCA"/>
    <w:rsid w:val="4E17716C"/>
    <w:rsid w:val="4E201E53"/>
    <w:rsid w:val="4E466706"/>
    <w:rsid w:val="4E4A05B2"/>
    <w:rsid w:val="4E4B32B9"/>
    <w:rsid w:val="4E5263F6"/>
    <w:rsid w:val="4E561CEF"/>
    <w:rsid w:val="4E6A7BE3"/>
    <w:rsid w:val="4E7C3473"/>
    <w:rsid w:val="4E874011"/>
    <w:rsid w:val="4E9170D5"/>
    <w:rsid w:val="4EA40AAA"/>
    <w:rsid w:val="4EB61552"/>
    <w:rsid w:val="4EBD37C1"/>
    <w:rsid w:val="4EC07FC0"/>
    <w:rsid w:val="4EC4769C"/>
    <w:rsid w:val="4ECA68D4"/>
    <w:rsid w:val="4EED299A"/>
    <w:rsid w:val="4EEE13A5"/>
    <w:rsid w:val="4EFB083B"/>
    <w:rsid w:val="4F007B5A"/>
    <w:rsid w:val="4F035942"/>
    <w:rsid w:val="4F075432"/>
    <w:rsid w:val="4F0B6EDD"/>
    <w:rsid w:val="4F130CF7"/>
    <w:rsid w:val="4F160ABF"/>
    <w:rsid w:val="4F1813ED"/>
    <w:rsid w:val="4F2D0E8E"/>
    <w:rsid w:val="4F3159C1"/>
    <w:rsid w:val="4F6D607D"/>
    <w:rsid w:val="4F70158F"/>
    <w:rsid w:val="4F8B429F"/>
    <w:rsid w:val="4F92533F"/>
    <w:rsid w:val="4F9B5B7A"/>
    <w:rsid w:val="4F9C3DCC"/>
    <w:rsid w:val="4FA57C05"/>
    <w:rsid w:val="4FB355BA"/>
    <w:rsid w:val="4FBC621D"/>
    <w:rsid w:val="4FD72B74"/>
    <w:rsid w:val="4FD856E5"/>
    <w:rsid w:val="50067498"/>
    <w:rsid w:val="5010240B"/>
    <w:rsid w:val="502E3957"/>
    <w:rsid w:val="50355FCF"/>
    <w:rsid w:val="503E07B3"/>
    <w:rsid w:val="50414974"/>
    <w:rsid w:val="50527440"/>
    <w:rsid w:val="50632ECA"/>
    <w:rsid w:val="506765BF"/>
    <w:rsid w:val="506A5C79"/>
    <w:rsid w:val="507054CE"/>
    <w:rsid w:val="507E2E4E"/>
    <w:rsid w:val="507E7976"/>
    <w:rsid w:val="50D75B93"/>
    <w:rsid w:val="50E83041"/>
    <w:rsid w:val="50EA6DB9"/>
    <w:rsid w:val="50EF2622"/>
    <w:rsid w:val="50F47C38"/>
    <w:rsid w:val="51055FB9"/>
    <w:rsid w:val="51A3539A"/>
    <w:rsid w:val="51BD4B6C"/>
    <w:rsid w:val="51D07D5D"/>
    <w:rsid w:val="51D3784E"/>
    <w:rsid w:val="51E14F93"/>
    <w:rsid w:val="51F03D0D"/>
    <w:rsid w:val="520F6922"/>
    <w:rsid w:val="5212481A"/>
    <w:rsid w:val="521D4F6D"/>
    <w:rsid w:val="523957BE"/>
    <w:rsid w:val="524D5852"/>
    <w:rsid w:val="52642504"/>
    <w:rsid w:val="528271A9"/>
    <w:rsid w:val="52871505"/>
    <w:rsid w:val="529133F1"/>
    <w:rsid w:val="52A01914"/>
    <w:rsid w:val="52A02093"/>
    <w:rsid w:val="52B256B5"/>
    <w:rsid w:val="52B72CCB"/>
    <w:rsid w:val="52D316D2"/>
    <w:rsid w:val="530E0E19"/>
    <w:rsid w:val="53191722"/>
    <w:rsid w:val="531D5224"/>
    <w:rsid w:val="53275046"/>
    <w:rsid w:val="53346A12"/>
    <w:rsid w:val="53530C46"/>
    <w:rsid w:val="53602F3D"/>
    <w:rsid w:val="53764934"/>
    <w:rsid w:val="537F5EDF"/>
    <w:rsid w:val="53A95E5E"/>
    <w:rsid w:val="53B446B2"/>
    <w:rsid w:val="53B813F1"/>
    <w:rsid w:val="53DB0C3B"/>
    <w:rsid w:val="53E27730"/>
    <w:rsid w:val="53F266B1"/>
    <w:rsid w:val="53FB1691"/>
    <w:rsid w:val="540264B2"/>
    <w:rsid w:val="541805B7"/>
    <w:rsid w:val="541C3D6F"/>
    <w:rsid w:val="54236BD8"/>
    <w:rsid w:val="54244912"/>
    <w:rsid w:val="544256DD"/>
    <w:rsid w:val="5458068D"/>
    <w:rsid w:val="545E3D46"/>
    <w:rsid w:val="546926EB"/>
    <w:rsid w:val="548E3F00"/>
    <w:rsid w:val="54A92AE8"/>
    <w:rsid w:val="54A962EE"/>
    <w:rsid w:val="54AC4A29"/>
    <w:rsid w:val="54B80C23"/>
    <w:rsid w:val="551408A9"/>
    <w:rsid w:val="551C150B"/>
    <w:rsid w:val="55313209"/>
    <w:rsid w:val="554035A2"/>
    <w:rsid w:val="554F3C21"/>
    <w:rsid w:val="555420CC"/>
    <w:rsid w:val="55592760"/>
    <w:rsid w:val="55633C6B"/>
    <w:rsid w:val="55684751"/>
    <w:rsid w:val="558603BE"/>
    <w:rsid w:val="55A16ED2"/>
    <w:rsid w:val="55B66898"/>
    <w:rsid w:val="55C1657C"/>
    <w:rsid w:val="55C7591B"/>
    <w:rsid w:val="55CA71B9"/>
    <w:rsid w:val="55CC2F32"/>
    <w:rsid w:val="55DA38A0"/>
    <w:rsid w:val="55EB160A"/>
    <w:rsid w:val="55EF09CE"/>
    <w:rsid w:val="56025D12"/>
    <w:rsid w:val="560E70A6"/>
    <w:rsid w:val="56115E4D"/>
    <w:rsid w:val="561548D9"/>
    <w:rsid w:val="561F3061"/>
    <w:rsid w:val="56293A3C"/>
    <w:rsid w:val="562C0154"/>
    <w:rsid w:val="56494582"/>
    <w:rsid w:val="565C205C"/>
    <w:rsid w:val="565F7902"/>
    <w:rsid w:val="5669226E"/>
    <w:rsid w:val="569C6DA8"/>
    <w:rsid w:val="569F0646"/>
    <w:rsid w:val="56B86D18"/>
    <w:rsid w:val="56D92B5C"/>
    <w:rsid w:val="56FE47F1"/>
    <w:rsid w:val="56FE711B"/>
    <w:rsid w:val="570B7A8A"/>
    <w:rsid w:val="571728EA"/>
    <w:rsid w:val="571E6B4E"/>
    <w:rsid w:val="57222D48"/>
    <w:rsid w:val="57265B67"/>
    <w:rsid w:val="573963A5"/>
    <w:rsid w:val="5755418B"/>
    <w:rsid w:val="575E5E0B"/>
    <w:rsid w:val="57657CB5"/>
    <w:rsid w:val="576F74C9"/>
    <w:rsid w:val="5774783B"/>
    <w:rsid w:val="57827F81"/>
    <w:rsid w:val="579E765B"/>
    <w:rsid w:val="579F74A6"/>
    <w:rsid w:val="57A75A04"/>
    <w:rsid w:val="57B369E0"/>
    <w:rsid w:val="57BB14B0"/>
    <w:rsid w:val="57C245EC"/>
    <w:rsid w:val="57C9597B"/>
    <w:rsid w:val="57DB7FFB"/>
    <w:rsid w:val="582232DD"/>
    <w:rsid w:val="58302DCF"/>
    <w:rsid w:val="5834701B"/>
    <w:rsid w:val="58403763"/>
    <w:rsid w:val="586321FD"/>
    <w:rsid w:val="587F6039"/>
    <w:rsid w:val="58BA2A47"/>
    <w:rsid w:val="58C06E06"/>
    <w:rsid w:val="58D02D39"/>
    <w:rsid w:val="58D07A89"/>
    <w:rsid w:val="58E43968"/>
    <w:rsid w:val="590B3D71"/>
    <w:rsid w:val="59101387"/>
    <w:rsid w:val="591255E4"/>
    <w:rsid w:val="59172716"/>
    <w:rsid w:val="592D018B"/>
    <w:rsid w:val="593E2D1F"/>
    <w:rsid w:val="594D6137"/>
    <w:rsid w:val="59505C28"/>
    <w:rsid w:val="59590F80"/>
    <w:rsid w:val="596A0A97"/>
    <w:rsid w:val="59827FC3"/>
    <w:rsid w:val="599D70BF"/>
    <w:rsid w:val="599E6993"/>
    <w:rsid w:val="59B30690"/>
    <w:rsid w:val="59BD5788"/>
    <w:rsid w:val="59DB3743"/>
    <w:rsid w:val="59E946DF"/>
    <w:rsid w:val="59F42A57"/>
    <w:rsid w:val="59FB264A"/>
    <w:rsid w:val="5A13112F"/>
    <w:rsid w:val="5A176C1A"/>
    <w:rsid w:val="5A2A3236"/>
    <w:rsid w:val="5A2E0D22"/>
    <w:rsid w:val="5A303502"/>
    <w:rsid w:val="5A396CCA"/>
    <w:rsid w:val="5A4237C2"/>
    <w:rsid w:val="5A481AF1"/>
    <w:rsid w:val="5A767910"/>
    <w:rsid w:val="5A78767D"/>
    <w:rsid w:val="5A83754C"/>
    <w:rsid w:val="5A843DDB"/>
    <w:rsid w:val="5AA12BDF"/>
    <w:rsid w:val="5AA24689"/>
    <w:rsid w:val="5AA61FA3"/>
    <w:rsid w:val="5AB53F94"/>
    <w:rsid w:val="5AB86B6E"/>
    <w:rsid w:val="5AD36123"/>
    <w:rsid w:val="5ADD173D"/>
    <w:rsid w:val="5AF50101"/>
    <w:rsid w:val="5AF82840"/>
    <w:rsid w:val="5AFD12A8"/>
    <w:rsid w:val="5B0E18F6"/>
    <w:rsid w:val="5B1D4F8B"/>
    <w:rsid w:val="5B241A3E"/>
    <w:rsid w:val="5B3752F1"/>
    <w:rsid w:val="5B3E13DB"/>
    <w:rsid w:val="5B4B2B4A"/>
    <w:rsid w:val="5B677A8B"/>
    <w:rsid w:val="5B6A2FD1"/>
    <w:rsid w:val="5B6D3874"/>
    <w:rsid w:val="5B6E1EEF"/>
    <w:rsid w:val="5B7E4CCE"/>
    <w:rsid w:val="5B8147BE"/>
    <w:rsid w:val="5B8228C3"/>
    <w:rsid w:val="5B834092"/>
    <w:rsid w:val="5B8425DF"/>
    <w:rsid w:val="5BA32ED4"/>
    <w:rsid w:val="5BB77C09"/>
    <w:rsid w:val="5BBC0EAA"/>
    <w:rsid w:val="5BC37ABC"/>
    <w:rsid w:val="5BCB7CE3"/>
    <w:rsid w:val="5BD4669C"/>
    <w:rsid w:val="5BDC07D1"/>
    <w:rsid w:val="5BDD6309"/>
    <w:rsid w:val="5C000B61"/>
    <w:rsid w:val="5C024D80"/>
    <w:rsid w:val="5C1B782B"/>
    <w:rsid w:val="5C1E3DBB"/>
    <w:rsid w:val="5C4A4BB0"/>
    <w:rsid w:val="5C582691"/>
    <w:rsid w:val="5C583771"/>
    <w:rsid w:val="5C5D0D87"/>
    <w:rsid w:val="5C734107"/>
    <w:rsid w:val="5C930305"/>
    <w:rsid w:val="5C976B0A"/>
    <w:rsid w:val="5CA0005D"/>
    <w:rsid w:val="5CBA05C5"/>
    <w:rsid w:val="5CD07C61"/>
    <w:rsid w:val="5CED210B"/>
    <w:rsid w:val="5D02548B"/>
    <w:rsid w:val="5D0D455B"/>
    <w:rsid w:val="5D11345A"/>
    <w:rsid w:val="5D152C9F"/>
    <w:rsid w:val="5D292A17"/>
    <w:rsid w:val="5D3513BC"/>
    <w:rsid w:val="5D3E4715"/>
    <w:rsid w:val="5D403159"/>
    <w:rsid w:val="5D5300DD"/>
    <w:rsid w:val="5D5535FF"/>
    <w:rsid w:val="5D584F8E"/>
    <w:rsid w:val="5D5F2216"/>
    <w:rsid w:val="5D635F29"/>
    <w:rsid w:val="5D916F3A"/>
    <w:rsid w:val="5D9D79EF"/>
    <w:rsid w:val="5DA80DA7"/>
    <w:rsid w:val="5DC10EA2"/>
    <w:rsid w:val="5DC65CED"/>
    <w:rsid w:val="5DCF35BF"/>
    <w:rsid w:val="5DD04B30"/>
    <w:rsid w:val="5DF05E3F"/>
    <w:rsid w:val="5E044548"/>
    <w:rsid w:val="5E082F75"/>
    <w:rsid w:val="5E2720BB"/>
    <w:rsid w:val="5E28130E"/>
    <w:rsid w:val="5E3557FA"/>
    <w:rsid w:val="5E44722B"/>
    <w:rsid w:val="5E563CE0"/>
    <w:rsid w:val="5E7D126D"/>
    <w:rsid w:val="5E8343A9"/>
    <w:rsid w:val="5E9B16F3"/>
    <w:rsid w:val="5EA17159"/>
    <w:rsid w:val="5EA336D3"/>
    <w:rsid w:val="5EA860B5"/>
    <w:rsid w:val="5EA95039"/>
    <w:rsid w:val="5EBA080D"/>
    <w:rsid w:val="5EC073AC"/>
    <w:rsid w:val="5ECD7D55"/>
    <w:rsid w:val="5ED57CA3"/>
    <w:rsid w:val="5ED72FDA"/>
    <w:rsid w:val="5EE16246"/>
    <w:rsid w:val="5EE4753E"/>
    <w:rsid w:val="5EE65064"/>
    <w:rsid w:val="5EF977BF"/>
    <w:rsid w:val="5F043C93"/>
    <w:rsid w:val="5F0454EA"/>
    <w:rsid w:val="5F216F53"/>
    <w:rsid w:val="5F267BA2"/>
    <w:rsid w:val="5F2C07EB"/>
    <w:rsid w:val="5F38637A"/>
    <w:rsid w:val="5F3A0F0C"/>
    <w:rsid w:val="5F57386C"/>
    <w:rsid w:val="5F5A335C"/>
    <w:rsid w:val="5F681446"/>
    <w:rsid w:val="5F6A27FA"/>
    <w:rsid w:val="5F775CBC"/>
    <w:rsid w:val="5F776541"/>
    <w:rsid w:val="5F7F1A3F"/>
    <w:rsid w:val="5F816A14"/>
    <w:rsid w:val="5F9944DB"/>
    <w:rsid w:val="5F9B218C"/>
    <w:rsid w:val="5F9C3975"/>
    <w:rsid w:val="5FAD16DE"/>
    <w:rsid w:val="5FAE5456"/>
    <w:rsid w:val="5FB52C88"/>
    <w:rsid w:val="5FC07E46"/>
    <w:rsid w:val="5FC44C79"/>
    <w:rsid w:val="5FCF5AF8"/>
    <w:rsid w:val="5FE377F5"/>
    <w:rsid w:val="5FE8720C"/>
    <w:rsid w:val="5FEA0B84"/>
    <w:rsid w:val="5FEB0458"/>
    <w:rsid w:val="5FF4555F"/>
    <w:rsid w:val="600339F4"/>
    <w:rsid w:val="600524BE"/>
    <w:rsid w:val="6008725C"/>
    <w:rsid w:val="602F45DB"/>
    <w:rsid w:val="603578A4"/>
    <w:rsid w:val="6050523D"/>
    <w:rsid w:val="6051159A"/>
    <w:rsid w:val="606721D5"/>
    <w:rsid w:val="606942AF"/>
    <w:rsid w:val="606E61E9"/>
    <w:rsid w:val="6070010A"/>
    <w:rsid w:val="60791F08"/>
    <w:rsid w:val="607A20ED"/>
    <w:rsid w:val="607D7112"/>
    <w:rsid w:val="60815430"/>
    <w:rsid w:val="60861F01"/>
    <w:rsid w:val="608F5287"/>
    <w:rsid w:val="60A06F83"/>
    <w:rsid w:val="60AD177F"/>
    <w:rsid w:val="60BB42CE"/>
    <w:rsid w:val="60C337A3"/>
    <w:rsid w:val="60C43183"/>
    <w:rsid w:val="60D158A0"/>
    <w:rsid w:val="60D20180"/>
    <w:rsid w:val="60D95C38"/>
    <w:rsid w:val="60DC5CFA"/>
    <w:rsid w:val="60F5158E"/>
    <w:rsid w:val="60FB46CB"/>
    <w:rsid w:val="6113099A"/>
    <w:rsid w:val="6119124E"/>
    <w:rsid w:val="611B4D6D"/>
    <w:rsid w:val="61234306"/>
    <w:rsid w:val="61356691"/>
    <w:rsid w:val="613A1313"/>
    <w:rsid w:val="613B0F6B"/>
    <w:rsid w:val="614442C4"/>
    <w:rsid w:val="616D381B"/>
    <w:rsid w:val="61706E67"/>
    <w:rsid w:val="61A25F4D"/>
    <w:rsid w:val="61A301E4"/>
    <w:rsid w:val="61A86601"/>
    <w:rsid w:val="61B03707"/>
    <w:rsid w:val="61B208DA"/>
    <w:rsid w:val="61C41527"/>
    <w:rsid w:val="61D218D0"/>
    <w:rsid w:val="61E138C1"/>
    <w:rsid w:val="61E37639"/>
    <w:rsid w:val="61EB2991"/>
    <w:rsid w:val="61F9363E"/>
    <w:rsid w:val="6208709F"/>
    <w:rsid w:val="622540F5"/>
    <w:rsid w:val="62265BF1"/>
    <w:rsid w:val="624F2F20"/>
    <w:rsid w:val="6286338D"/>
    <w:rsid w:val="628C1A7E"/>
    <w:rsid w:val="628E7EB9"/>
    <w:rsid w:val="62B735F4"/>
    <w:rsid w:val="62BC7E8A"/>
    <w:rsid w:val="62C660C0"/>
    <w:rsid w:val="62CD5E9B"/>
    <w:rsid w:val="62E03C86"/>
    <w:rsid w:val="62ED5038"/>
    <w:rsid w:val="62F12229"/>
    <w:rsid w:val="62F37D50"/>
    <w:rsid w:val="632717A7"/>
    <w:rsid w:val="63302D52"/>
    <w:rsid w:val="63367C3C"/>
    <w:rsid w:val="63414F5F"/>
    <w:rsid w:val="63491372"/>
    <w:rsid w:val="63584057"/>
    <w:rsid w:val="63B86816"/>
    <w:rsid w:val="63C90DBC"/>
    <w:rsid w:val="63CF0294"/>
    <w:rsid w:val="63E87188"/>
    <w:rsid w:val="63F73C3D"/>
    <w:rsid w:val="63FF44D2"/>
    <w:rsid w:val="641461CF"/>
    <w:rsid w:val="641F6922"/>
    <w:rsid w:val="6424218B"/>
    <w:rsid w:val="64360C55"/>
    <w:rsid w:val="643B6113"/>
    <w:rsid w:val="64503D60"/>
    <w:rsid w:val="645962D8"/>
    <w:rsid w:val="645C7B76"/>
    <w:rsid w:val="6489157D"/>
    <w:rsid w:val="64A05CB5"/>
    <w:rsid w:val="64AD03D2"/>
    <w:rsid w:val="64D37E39"/>
    <w:rsid w:val="64D94D23"/>
    <w:rsid w:val="64F63B27"/>
    <w:rsid w:val="64FF6F4D"/>
    <w:rsid w:val="650825C6"/>
    <w:rsid w:val="65297A59"/>
    <w:rsid w:val="65733FF2"/>
    <w:rsid w:val="6574109F"/>
    <w:rsid w:val="659770B8"/>
    <w:rsid w:val="659F41BF"/>
    <w:rsid w:val="65BA4B55"/>
    <w:rsid w:val="65D425B6"/>
    <w:rsid w:val="65E805EB"/>
    <w:rsid w:val="65F77B57"/>
    <w:rsid w:val="65FC53A9"/>
    <w:rsid w:val="65FC6D0E"/>
    <w:rsid w:val="65FC6F1B"/>
    <w:rsid w:val="66384800"/>
    <w:rsid w:val="664B1C51"/>
    <w:rsid w:val="665A7368"/>
    <w:rsid w:val="668D2F14"/>
    <w:rsid w:val="669F3A29"/>
    <w:rsid w:val="66AC6B93"/>
    <w:rsid w:val="66AF0431"/>
    <w:rsid w:val="66C02686"/>
    <w:rsid w:val="66C32877"/>
    <w:rsid w:val="66D32372"/>
    <w:rsid w:val="66D94BF1"/>
    <w:rsid w:val="6711452F"/>
    <w:rsid w:val="67256946"/>
    <w:rsid w:val="672D7CE1"/>
    <w:rsid w:val="673152EA"/>
    <w:rsid w:val="67334BBF"/>
    <w:rsid w:val="67363C15"/>
    <w:rsid w:val="67476D91"/>
    <w:rsid w:val="6755062E"/>
    <w:rsid w:val="675B2367"/>
    <w:rsid w:val="676F1B28"/>
    <w:rsid w:val="67743F6E"/>
    <w:rsid w:val="678C30B5"/>
    <w:rsid w:val="67A42419"/>
    <w:rsid w:val="67BD68BE"/>
    <w:rsid w:val="67D1624A"/>
    <w:rsid w:val="67ED5C14"/>
    <w:rsid w:val="68046A6D"/>
    <w:rsid w:val="68091D91"/>
    <w:rsid w:val="68156789"/>
    <w:rsid w:val="68354966"/>
    <w:rsid w:val="68356714"/>
    <w:rsid w:val="6837248C"/>
    <w:rsid w:val="68456C28"/>
    <w:rsid w:val="684E77D6"/>
    <w:rsid w:val="68721717"/>
    <w:rsid w:val="687234C5"/>
    <w:rsid w:val="68925915"/>
    <w:rsid w:val="68942B5F"/>
    <w:rsid w:val="68AF4719"/>
    <w:rsid w:val="68B41F83"/>
    <w:rsid w:val="68C36416"/>
    <w:rsid w:val="68C83AFF"/>
    <w:rsid w:val="68CE384C"/>
    <w:rsid w:val="68F043A2"/>
    <w:rsid w:val="68FE744E"/>
    <w:rsid w:val="690B3495"/>
    <w:rsid w:val="69126A56"/>
    <w:rsid w:val="6922313D"/>
    <w:rsid w:val="69286279"/>
    <w:rsid w:val="69296B69"/>
    <w:rsid w:val="692C5CD5"/>
    <w:rsid w:val="696471B9"/>
    <w:rsid w:val="69676067"/>
    <w:rsid w:val="696E6382"/>
    <w:rsid w:val="69731BEA"/>
    <w:rsid w:val="69765236"/>
    <w:rsid w:val="69925ED5"/>
    <w:rsid w:val="69B016A1"/>
    <w:rsid w:val="69B83AA1"/>
    <w:rsid w:val="69B875FD"/>
    <w:rsid w:val="69BA6AA2"/>
    <w:rsid w:val="69BD2E65"/>
    <w:rsid w:val="69BF6EB2"/>
    <w:rsid w:val="69C51D1A"/>
    <w:rsid w:val="69E50BCD"/>
    <w:rsid w:val="6A025EBD"/>
    <w:rsid w:val="6A0E36C1"/>
    <w:rsid w:val="6A3E2960"/>
    <w:rsid w:val="6A42336B"/>
    <w:rsid w:val="6A5F5CCB"/>
    <w:rsid w:val="6A716271"/>
    <w:rsid w:val="6A795B01"/>
    <w:rsid w:val="6A7A6FA8"/>
    <w:rsid w:val="6A893D23"/>
    <w:rsid w:val="6A99250C"/>
    <w:rsid w:val="6A9F3FE2"/>
    <w:rsid w:val="6AB828C1"/>
    <w:rsid w:val="6B0A3AD2"/>
    <w:rsid w:val="6B182A49"/>
    <w:rsid w:val="6B2C440F"/>
    <w:rsid w:val="6B3B1049"/>
    <w:rsid w:val="6B3C600C"/>
    <w:rsid w:val="6B421874"/>
    <w:rsid w:val="6B431148"/>
    <w:rsid w:val="6B5477F9"/>
    <w:rsid w:val="6B8F25DF"/>
    <w:rsid w:val="6B9D2F4E"/>
    <w:rsid w:val="6BBB1626"/>
    <w:rsid w:val="6BBD0EFB"/>
    <w:rsid w:val="6BBF2EC5"/>
    <w:rsid w:val="6BF55889"/>
    <w:rsid w:val="6BF55D7B"/>
    <w:rsid w:val="6BFF59B7"/>
    <w:rsid w:val="6C083654"/>
    <w:rsid w:val="6C244496"/>
    <w:rsid w:val="6C3D028D"/>
    <w:rsid w:val="6C4B4758"/>
    <w:rsid w:val="6C5C6966"/>
    <w:rsid w:val="6C646D57"/>
    <w:rsid w:val="6C677D00"/>
    <w:rsid w:val="6C700663"/>
    <w:rsid w:val="6C8620F1"/>
    <w:rsid w:val="6C89702F"/>
    <w:rsid w:val="6C9C4FB4"/>
    <w:rsid w:val="6CB04B5A"/>
    <w:rsid w:val="6CCB3AEB"/>
    <w:rsid w:val="6CE93F71"/>
    <w:rsid w:val="6CF45D15"/>
    <w:rsid w:val="6D010507"/>
    <w:rsid w:val="6D022918"/>
    <w:rsid w:val="6D341690"/>
    <w:rsid w:val="6D38588A"/>
    <w:rsid w:val="6D4D62AE"/>
    <w:rsid w:val="6D592EA5"/>
    <w:rsid w:val="6D632886"/>
    <w:rsid w:val="6D657A9C"/>
    <w:rsid w:val="6D6F30FB"/>
    <w:rsid w:val="6D6F36BE"/>
    <w:rsid w:val="6D726375"/>
    <w:rsid w:val="6D7A3958"/>
    <w:rsid w:val="6D802B27"/>
    <w:rsid w:val="6D8617C0"/>
    <w:rsid w:val="6D873F6C"/>
    <w:rsid w:val="6D8819DC"/>
    <w:rsid w:val="6DB72D70"/>
    <w:rsid w:val="6DB95B3D"/>
    <w:rsid w:val="6DBC4466"/>
    <w:rsid w:val="6DC42A14"/>
    <w:rsid w:val="6DCF760B"/>
    <w:rsid w:val="6DF20188"/>
    <w:rsid w:val="6E032BC9"/>
    <w:rsid w:val="6E1119D2"/>
    <w:rsid w:val="6E3000AA"/>
    <w:rsid w:val="6E5978B6"/>
    <w:rsid w:val="6E602011"/>
    <w:rsid w:val="6E610BAA"/>
    <w:rsid w:val="6E802433"/>
    <w:rsid w:val="6EBF6172"/>
    <w:rsid w:val="6EC40A86"/>
    <w:rsid w:val="6ED24CBD"/>
    <w:rsid w:val="6ED432F9"/>
    <w:rsid w:val="6EDD3EA1"/>
    <w:rsid w:val="6EE66434"/>
    <w:rsid w:val="6EF07839"/>
    <w:rsid w:val="6EFC7910"/>
    <w:rsid w:val="6F1352D6"/>
    <w:rsid w:val="6F2D6397"/>
    <w:rsid w:val="6F34261A"/>
    <w:rsid w:val="6F3B6D06"/>
    <w:rsid w:val="6F433964"/>
    <w:rsid w:val="6F4B0F13"/>
    <w:rsid w:val="6F5A1075"/>
    <w:rsid w:val="6F6F0279"/>
    <w:rsid w:val="6F7B35A7"/>
    <w:rsid w:val="6F7B4CFB"/>
    <w:rsid w:val="6F852C28"/>
    <w:rsid w:val="6F8D6E36"/>
    <w:rsid w:val="6FAE28B9"/>
    <w:rsid w:val="6FB40867"/>
    <w:rsid w:val="6FB46B6A"/>
    <w:rsid w:val="6FC7059A"/>
    <w:rsid w:val="6FD50935"/>
    <w:rsid w:val="6FDD5A93"/>
    <w:rsid w:val="6FF24F58"/>
    <w:rsid w:val="6FFD3FBC"/>
    <w:rsid w:val="6FFE1AE2"/>
    <w:rsid w:val="6FFE2B55"/>
    <w:rsid w:val="701B22BE"/>
    <w:rsid w:val="701D465E"/>
    <w:rsid w:val="701E3F32"/>
    <w:rsid w:val="702A64CF"/>
    <w:rsid w:val="702E15A7"/>
    <w:rsid w:val="702F4391"/>
    <w:rsid w:val="703A6FBE"/>
    <w:rsid w:val="7047792D"/>
    <w:rsid w:val="705947B6"/>
    <w:rsid w:val="705A140E"/>
    <w:rsid w:val="70AE175A"/>
    <w:rsid w:val="70B07280"/>
    <w:rsid w:val="70BD0AA6"/>
    <w:rsid w:val="70C211C3"/>
    <w:rsid w:val="70C41869"/>
    <w:rsid w:val="70C92933"/>
    <w:rsid w:val="70F419D5"/>
    <w:rsid w:val="71015D2D"/>
    <w:rsid w:val="710E3FA6"/>
    <w:rsid w:val="711B0D8F"/>
    <w:rsid w:val="712651B2"/>
    <w:rsid w:val="71397275"/>
    <w:rsid w:val="714B2030"/>
    <w:rsid w:val="71775D29"/>
    <w:rsid w:val="717A67EB"/>
    <w:rsid w:val="718F60EA"/>
    <w:rsid w:val="71950A73"/>
    <w:rsid w:val="71981D91"/>
    <w:rsid w:val="71A54C8A"/>
    <w:rsid w:val="71AD47A1"/>
    <w:rsid w:val="71C62176"/>
    <w:rsid w:val="71CC1CC1"/>
    <w:rsid w:val="71D46F9E"/>
    <w:rsid w:val="71D64AC4"/>
    <w:rsid w:val="71DC5E53"/>
    <w:rsid w:val="71E33685"/>
    <w:rsid w:val="71E371E1"/>
    <w:rsid w:val="71EA0570"/>
    <w:rsid w:val="71F83CEB"/>
    <w:rsid w:val="71FC02A3"/>
    <w:rsid w:val="71FD5767"/>
    <w:rsid w:val="721655AB"/>
    <w:rsid w:val="721C028A"/>
    <w:rsid w:val="721F2D5F"/>
    <w:rsid w:val="72220F73"/>
    <w:rsid w:val="722417A6"/>
    <w:rsid w:val="72246954"/>
    <w:rsid w:val="727B566C"/>
    <w:rsid w:val="728536B8"/>
    <w:rsid w:val="728E25C5"/>
    <w:rsid w:val="729055BB"/>
    <w:rsid w:val="72AB5F51"/>
    <w:rsid w:val="72B1108D"/>
    <w:rsid w:val="72B868C0"/>
    <w:rsid w:val="72DD0850"/>
    <w:rsid w:val="72E072F0"/>
    <w:rsid w:val="72E1149C"/>
    <w:rsid w:val="72E15E16"/>
    <w:rsid w:val="72EE0533"/>
    <w:rsid w:val="730833A3"/>
    <w:rsid w:val="730C2768"/>
    <w:rsid w:val="73102258"/>
    <w:rsid w:val="73217FC1"/>
    <w:rsid w:val="7326196A"/>
    <w:rsid w:val="732912C4"/>
    <w:rsid w:val="732B7092"/>
    <w:rsid w:val="73375A36"/>
    <w:rsid w:val="733D6639"/>
    <w:rsid w:val="73451C72"/>
    <w:rsid w:val="735760D9"/>
    <w:rsid w:val="73592A5F"/>
    <w:rsid w:val="73610D05"/>
    <w:rsid w:val="736359F3"/>
    <w:rsid w:val="7366631C"/>
    <w:rsid w:val="736E6F7E"/>
    <w:rsid w:val="73863E1C"/>
    <w:rsid w:val="739E7864"/>
    <w:rsid w:val="73B726D3"/>
    <w:rsid w:val="73BF47DD"/>
    <w:rsid w:val="73C61ADF"/>
    <w:rsid w:val="73F61362"/>
    <w:rsid w:val="73F676A0"/>
    <w:rsid w:val="740A4EF9"/>
    <w:rsid w:val="74143FCA"/>
    <w:rsid w:val="741C28D9"/>
    <w:rsid w:val="7423420D"/>
    <w:rsid w:val="74273CFD"/>
    <w:rsid w:val="743F2D9D"/>
    <w:rsid w:val="74424693"/>
    <w:rsid w:val="7451180D"/>
    <w:rsid w:val="74597C2E"/>
    <w:rsid w:val="745C662B"/>
    <w:rsid w:val="746A5998"/>
    <w:rsid w:val="747C21A6"/>
    <w:rsid w:val="747E5633"/>
    <w:rsid w:val="748B40F7"/>
    <w:rsid w:val="74996569"/>
    <w:rsid w:val="749D7B1B"/>
    <w:rsid w:val="74B15F95"/>
    <w:rsid w:val="74D84FF7"/>
    <w:rsid w:val="74ED64FE"/>
    <w:rsid w:val="750B52CB"/>
    <w:rsid w:val="750E70AC"/>
    <w:rsid w:val="75371D1E"/>
    <w:rsid w:val="7549329C"/>
    <w:rsid w:val="75501031"/>
    <w:rsid w:val="755503F6"/>
    <w:rsid w:val="755C1784"/>
    <w:rsid w:val="755D40B1"/>
    <w:rsid w:val="75630D65"/>
    <w:rsid w:val="75662603"/>
    <w:rsid w:val="756F273E"/>
    <w:rsid w:val="758C6F20"/>
    <w:rsid w:val="758D194C"/>
    <w:rsid w:val="759E6D50"/>
    <w:rsid w:val="75A4565C"/>
    <w:rsid w:val="75B275F6"/>
    <w:rsid w:val="75FF0C10"/>
    <w:rsid w:val="76173269"/>
    <w:rsid w:val="761E3929"/>
    <w:rsid w:val="7625426C"/>
    <w:rsid w:val="763A5969"/>
    <w:rsid w:val="76465F91"/>
    <w:rsid w:val="764A3CD3"/>
    <w:rsid w:val="764F3097"/>
    <w:rsid w:val="765F2EA1"/>
    <w:rsid w:val="76601325"/>
    <w:rsid w:val="76644683"/>
    <w:rsid w:val="76655318"/>
    <w:rsid w:val="76682F7A"/>
    <w:rsid w:val="767C3D9A"/>
    <w:rsid w:val="76872831"/>
    <w:rsid w:val="768E6F20"/>
    <w:rsid w:val="76A553AD"/>
    <w:rsid w:val="76C375E1"/>
    <w:rsid w:val="76CB4CC0"/>
    <w:rsid w:val="76D57A40"/>
    <w:rsid w:val="76E12CA2"/>
    <w:rsid w:val="76E9529A"/>
    <w:rsid w:val="76EE28B0"/>
    <w:rsid w:val="76F12774"/>
    <w:rsid w:val="77003CDB"/>
    <w:rsid w:val="77077E8B"/>
    <w:rsid w:val="770A5210"/>
    <w:rsid w:val="770F2826"/>
    <w:rsid w:val="77163BB5"/>
    <w:rsid w:val="771D4568"/>
    <w:rsid w:val="773C3B52"/>
    <w:rsid w:val="774424D0"/>
    <w:rsid w:val="7744499A"/>
    <w:rsid w:val="77460CB1"/>
    <w:rsid w:val="7746449A"/>
    <w:rsid w:val="775D3592"/>
    <w:rsid w:val="776A7FF3"/>
    <w:rsid w:val="77AD6477"/>
    <w:rsid w:val="77B8461E"/>
    <w:rsid w:val="77C0324D"/>
    <w:rsid w:val="77C67628"/>
    <w:rsid w:val="77F57C6E"/>
    <w:rsid w:val="77FD55B1"/>
    <w:rsid w:val="7800347A"/>
    <w:rsid w:val="78120820"/>
    <w:rsid w:val="78165BF2"/>
    <w:rsid w:val="78203992"/>
    <w:rsid w:val="78210A63"/>
    <w:rsid w:val="782A7918"/>
    <w:rsid w:val="784F3822"/>
    <w:rsid w:val="78510E5C"/>
    <w:rsid w:val="786951EB"/>
    <w:rsid w:val="787671E6"/>
    <w:rsid w:val="787E3E9D"/>
    <w:rsid w:val="787F690A"/>
    <w:rsid w:val="789B2461"/>
    <w:rsid w:val="78A4286B"/>
    <w:rsid w:val="78A56042"/>
    <w:rsid w:val="78EF6552"/>
    <w:rsid w:val="78F75DC0"/>
    <w:rsid w:val="790939D1"/>
    <w:rsid w:val="792720A9"/>
    <w:rsid w:val="79297BCF"/>
    <w:rsid w:val="79346574"/>
    <w:rsid w:val="794B3FEA"/>
    <w:rsid w:val="794C1BA9"/>
    <w:rsid w:val="794D6199"/>
    <w:rsid w:val="79520A6A"/>
    <w:rsid w:val="797442F3"/>
    <w:rsid w:val="797A2FE7"/>
    <w:rsid w:val="798873FE"/>
    <w:rsid w:val="79C95DCF"/>
    <w:rsid w:val="79C97604"/>
    <w:rsid w:val="79D7762B"/>
    <w:rsid w:val="79E675CF"/>
    <w:rsid w:val="79EF23DA"/>
    <w:rsid w:val="7A102AD6"/>
    <w:rsid w:val="7A1528E7"/>
    <w:rsid w:val="7A1545F8"/>
    <w:rsid w:val="7A3E07D4"/>
    <w:rsid w:val="7A401675"/>
    <w:rsid w:val="7A59455C"/>
    <w:rsid w:val="7A6B1788"/>
    <w:rsid w:val="7A7C70D7"/>
    <w:rsid w:val="7A817523"/>
    <w:rsid w:val="7A8A28F0"/>
    <w:rsid w:val="7A925C48"/>
    <w:rsid w:val="7A964D43"/>
    <w:rsid w:val="7A9B7630"/>
    <w:rsid w:val="7A9D67A7"/>
    <w:rsid w:val="7A9E7A00"/>
    <w:rsid w:val="7AA045E2"/>
    <w:rsid w:val="7AA1178B"/>
    <w:rsid w:val="7AA8546C"/>
    <w:rsid w:val="7AC2652D"/>
    <w:rsid w:val="7ACB3A3E"/>
    <w:rsid w:val="7AE73374"/>
    <w:rsid w:val="7B1A261A"/>
    <w:rsid w:val="7B25086A"/>
    <w:rsid w:val="7B2F16E9"/>
    <w:rsid w:val="7B32705A"/>
    <w:rsid w:val="7B3A4316"/>
    <w:rsid w:val="7B446F42"/>
    <w:rsid w:val="7B4C5DF7"/>
    <w:rsid w:val="7B684125"/>
    <w:rsid w:val="7B6A3E33"/>
    <w:rsid w:val="7BAE77B9"/>
    <w:rsid w:val="7BB10350"/>
    <w:rsid w:val="7BB43953"/>
    <w:rsid w:val="7BB611AA"/>
    <w:rsid w:val="7BBC6EA4"/>
    <w:rsid w:val="7BDC261D"/>
    <w:rsid w:val="7BDF03C3"/>
    <w:rsid w:val="7BF22E42"/>
    <w:rsid w:val="7C1508DF"/>
    <w:rsid w:val="7C1873ED"/>
    <w:rsid w:val="7C1F46EF"/>
    <w:rsid w:val="7C29438A"/>
    <w:rsid w:val="7C2D40AF"/>
    <w:rsid w:val="7C347721"/>
    <w:rsid w:val="7C356D43"/>
    <w:rsid w:val="7C356D7F"/>
    <w:rsid w:val="7C3F770A"/>
    <w:rsid w:val="7C400083"/>
    <w:rsid w:val="7C495338"/>
    <w:rsid w:val="7C5E2286"/>
    <w:rsid w:val="7C6158D2"/>
    <w:rsid w:val="7C661A55"/>
    <w:rsid w:val="7C8D3A42"/>
    <w:rsid w:val="7C952C6A"/>
    <w:rsid w:val="7C991510"/>
    <w:rsid w:val="7CA13F21"/>
    <w:rsid w:val="7CA659DB"/>
    <w:rsid w:val="7CB225D2"/>
    <w:rsid w:val="7CBB5010"/>
    <w:rsid w:val="7CCC1BE8"/>
    <w:rsid w:val="7CD67907"/>
    <w:rsid w:val="7CF93D5D"/>
    <w:rsid w:val="7CFB1883"/>
    <w:rsid w:val="7CFE7B43"/>
    <w:rsid w:val="7D0A41BC"/>
    <w:rsid w:val="7D1C14AB"/>
    <w:rsid w:val="7D2232B3"/>
    <w:rsid w:val="7D254B52"/>
    <w:rsid w:val="7D2D3A06"/>
    <w:rsid w:val="7D4551F4"/>
    <w:rsid w:val="7D567401"/>
    <w:rsid w:val="7D5778C2"/>
    <w:rsid w:val="7D5B0573"/>
    <w:rsid w:val="7D5B0B3A"/>
    <w:rsid w:val="7D7341E9"/>
    <w:rsid w:val="7D7A30EF"/>
    <w:rsid w:val="7D8D5562"/>
    <w:rsid w:val="7D9C58DF"/>
    <w:rsid w:val="7DD066B1"/>
    <w:rsid w:val="7DD10836"/>
    <w:rsid w:val="7DEB5D9B"/>
    <w:rsid w:val="7E040C0B"/>
    <w:rsid w:val="7E0724A9"/>
    <w:rsid w:val="7E494085"/>
    <w:rsid w:val="7E8458A8"/>
    <w:rsid w:val="7E8B6C36"/>
    <w:rsid w:val="7E956ECF"/>
    <w:rsid w:val="7EB62184"/>
    <w:rsid w:val="7EC578A9"/>
    <w:rsid w:val="7ED20D09"/>
    <w:rsid w:val="7EF97E36"/>
    <w:rsid w:val="7F031A27"/>
    <w:rsid w:val="7F0C4648"/>
    <w:rsid w:val="7F0D1E11"/>
    <w:rsid w:val="7F0D1EF1"/>
    <w:rsid w:val="7F17496E"/>
    <w:rsid w:val="7F1B620C"/>
    <w:rsid w:val="7F407EC0"/>
    <w:rsid w:val="7F4555B2"/>
    <w:rsid w:val="7F595D7D"/>
    <w:rsid w:val="7F8400CD"/>
    <w:rsid w:val="7F870862"/>
    <w:rsid w:val="7F8C710A"/>
    <w:rsid w:val="7F9D4E73"/>
    <w:rsid w:val="7FA04963"/>
    <w:rsid w:val="7FA404BA"/>
    <w:rsid w:val="7FBA3C77"/>
    <w:rsid w:val="7FBA5A25"/>
    <w:rsid w:val="7FBC5F93"/>
    <w:rsid w:val="7FBD17DE"/>
    <w:rsid w:val="7FE847D2"/>
    <w:rsid w:val="7FF30F37"/>
    <w:rsid w:val="7FF64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1"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qFormat/>
    <w:uiPriority w:val="1"/>
    <w:pPr>
      <w:autoSpaceDE w:val="0"/>
      <w:autoSpaceDN w:val="0"/>
      <w:ind w:left="1290"/>
      <w:jc w:val="left"/>
      <w:outlineLvl w:val="1"/>
    </w:pPr>
    <w:rPr>
      <w:rFonts w:ascii="宋体" w:hAnsi="宋体" w:cs="宋体"/>
      <w:b/>
      <w:bCs/>
      <w:kern w:val="0"/>
      <w:szCs w:val="21"/>
      <w:lang w:val="zh-CN" w:bidi="zh-CN"/>
    </w:rPr>
  </w:style>
  <w:style w:type="paragraph" w:styleId="7">
    <w:name w:val="heading 4"/>
    <w:basedOn w:val="6"/>
    <w:next w:val="1"/>
    <w:qFormat/>
    <w:uiPriority w:val="0"/>
    <w:pPr>
      <w:keepLines/>
      <w:overflowPunct w:val="0"/>
      <w:adjustRightInd w:val="0"/>
      <w:spacing w:before="120" w:line="360" w:lineRule="auto"/>
      <w:ind w:left="0"/>
      <w:textAlignment w:val="baseline"/>
      <w:outlineLvl w:val="3"/>
    </w:pPr>
    <w:rPr>
      <w:rFonts w:ascii="Arial" w:hAnsi="Arial"/>
      <w:sz w:val="24"/>
      <w:szCs w:val="24"/>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Default"/>
    <w:basedOn w:val="3"/>
    <w:next w:val="4"/>
    <w:autoRedefine/>
    <w:qFormat/>
    <w:uiPriority w:val="0"/>
    <w:pPr>
      <w:autoSpaceDE w:val="0"/>
      <w:autoSpaceDN w:val="0"/>
      <w:adjustRightInd w:val="0"/>
    </w:pPr>
    <w:rPr>
      <w:rFonts w:hAnsi="Times New Roman" w:cs="宋体"/>
      <w:color w:val="000000"/>
      <w:sz w:val="24"/>
    </w:rPr>
  </w:style>
  <w:style w:type="paragraph" w:customStyle="1" w:styleId="3">
    <w:name w:val="纯文本1"/>
    <w:basedOn w:val="1"/>
    <w:autoRedefine/>
    <w:qFormat/>
    <w:uiPriority w:val="0"/>
    <w:rPr>
      <w:rFonts w:ascii="宋体" w:hAnsi="Courier New"/>
    </w:rPr>
  </w:style>
  <w:style w:type="paragraph" w:styleId="4">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8">
    <w:name w:val="Normal Indent"/>
    <w:basedOn w:val="1"/>
    <w:next w:val="9"/>
    <w:qFormat/>
    <w:uiPriority w:val="0"/>
    <w:pPr>
      <w:tabs>
        <w:tab w:val="left" w:pos="540"/>
        <w:tab w:val="left" w:pos="1080"/>
        <w:tab w:val="left" w:pos="1800"/>
      </w:tabs>
      <w:adjustRightInd w:val="0"/>
      <w:snapToGrid w:val="0"/>
      <w:spacing w:line="360" w:lineRule="auto"/>
      <w:ind w:firstLine="480"/>
    </w:pPr>
    <w:rPr>
      <w:rFonts w:ascii="仿宋_GB2312" w:hAnsi="宋体"/>
      <w:sz w:val="24"/>
      <w:szCs w:val="21"/>
    </w:rPr>
  </w:style>
  <w:style w:type="paragraph" w:customStyle="1" w:styleId="9">
    <w:name w:val="表头"/>
    <w:basedOn w:val="10"/>
    <w:next w:val="1"/>
    <w:qFormat/>
    <w:uiPriority w:val="0"/>
    <w:pPr>
      <w:adjustRightInd w:val="0"/>
      <w:spacing w:after="40" w:line="300" w:lineRule="atLeast"/>
      <w:ind w:left="200" w:leftChars="200"/>
      <w:jc w:val="center"/>
      <w:textAlignment w:val="baseline"/>
      <w:outlineLvl w:val="2"/>
    </w:pPr>
    <w:rPr>
      <w:rFonts w:ascii="黑体" w:eastAsia="黑体"/>
    </w:rPr>
  </w:style>
  <w:style w:type="paragraph" w:styleId="10">
    <w:name w:val="List"/>
    <w:basedOn w:val="1"/>
    <w:qFormat/>
    <w:uiPriority w:val="0"/>
    <w:pPr>
      <w:widowControl/>
      <w:ind w:left="200" w:hanging="200" w:hangingChars="200"/>
      <w:jc w:val="left"/>
    </w:pPr>
    <w:rPr>
      <w:kern w:val="0"/>
      <w:sz w:val="24"/>
    </w:rPr>
  </w:style>
  <w:style w:type="paragraph" w:styleId="11">
    <w:name w:val="annotation text"/>
    <w:basedOn w:val="1"/>
    <w:semiHidden/>
    <w:qFormat/>
    <w:uiPriority w:val="0"/>
    <w:pPr>
      <w:adjustRightInd w:val="0"/>
      <w:snapToGrid w:val="0"/>
      <w:spacing w:line="360" w:lineRule="auto"/>
      <w:ind w:firstLine="420" w:firstLineChars="200"/>
      <w:jc w:val="left"/>
    </w:pPr>
    <w:rPr>
      <w:kern w:val="0"/>
      <w:szCs w:val="21"/>
    </w:rPr>
  </w:style>
  <w:style w:type="paragraph" w:styleId="12">
    <w:name w:val="Body Text"/>
    <w:basedOn w:val="1"/>
    <w:qFormat/>
    <w:uiPriority w:val="1"/>
    <w:pPr>
      <w:autoSpaceDE w:val="0"/>
      <w:autoSpaceDN w:val="0"/>
      <w:jc w:val="left"/>
    </w:pPr>
    <w:rPr>
      <w:rFonts w:ascii="宋体" w:hAnsi="宋体" w:cs="宋体"/>
      <w:kern w:val="0"/>
      <w:szCs w:val="21"/>
      <w:lang w:val="zh-CN" w:bidi="zh-CN"/>
    </w:rPr>
  </w:style>
  <w:style w:type="paragraph" w:styleId="13">
    <w:name w:val="Body Text Indent"/>
    <w:basedOn w:val="1"/>
    <w:qFormat/>
    <w:uiPriority w:val="0"/>
    <w:pPr>
      <w:adjustRightInd w:val="0"/>
      <w:snapToGrid w:val="0"/>
      <w:spacing w:line="360" w:lineRule="auto"/>
      <w:ind w:firstLine="560" w:firstLineChars="200"/>
    </w:pPr>
    <w:rPr>
      <w:bCs/>
      <w:sz w:val="28"/>
    </w:rPr>
  </w:style>
  <w:style w:type="paragraph" w:styleId="14">
    <w:name w:val="Plain Text"/>
    <w:basedOn w:val="1"/>
    <w:qFormat/>
    <w:uiPriority w:val="0"/>
    <w:rPr>
      <w:rFonts w:ascii="宋体" w:hAnsi="Courier New"/>
      <w:szCs w:val="20"/>
    </w:rPr>
  </w:style>
  <w:style w:type="paragraph" w:styleId="15">
    <w:name w:val="List Bullet 5"/>
    <w:basedOn w:val="1"/>
    <w:qFormat/>
    <w:uiPriority w:val="0"/>
    <w:pPr>
      <w:numPr>
        <w:ilvl w:val="0"/>
        <w:numId w:val="1"/>
      </w:numPr>
    </w:pPr>
  </w:style>
  <w:style w:type="paragraph" w:styleId="16">
    <w:name w:val="Body Text Indent 2"/>
    <w:basedOn w:val="1"/>
    <w:unhideWhenUsed/>
    <w:qFormat/>
    <w:uiPriority w:val="99"/>
    <w:pPr>
      <w:spacing w:after="120" w:line="480" w:lineRule="auto"/>
      <w:ind w:left="420" w:leftChars="200"/>
    </w:pPr>
  </w:style>
  <w:style w:type="paragraph" w:styleId="17">
    <w:name w:val="footer"/>
    <w:basedOn w:val="1"/>
    <w:qFormat/>
    <w:uiPriority w:val="99"/>
    <w:pPr>
      <w:tabs>
        <w:tab w:val="center" w:pos="4153"/>
        <w:tab w:val="right" w:pos="8306"/>
      </w:tabs>
      <w:snapToGrid w:val="0"/>
      <w:jc w:val="left"/>
    </w:pPr>
    <w:rPr>
      <w:kern w:val="0"/>
      <w:sz w:val="18"/>
      <w:szCs w:val="20"/>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0">
    <w:name w:val="Body Text First Indent"/>
    <w:basedOn w:val="12"/>
    <w:unhideWhenUsed/>
    <w:qFormat/>
    <w:uiPriority w:val="0"/>
    <w:pPr>
      <w:ind w:firstLine="200" w:firstLineChars="200"/>
    </w:p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qFormat/>
    <w:uiPriority w:val="0"/>
  </w:style>
  <w:style w:type="character" w:styleId="25">
    <w:name w:val="Hyperlink"/>
    <w:qFormat/>
    <w:uiPriority w:val="0"/>
    <w:rPr>
      <w:color w:val="0000FF"/>
      <w:u w:val="single"/>
    </w:rPr>
  </w:style>
  <w:style w:type="character" w:styleId="26">
    <w:name w:val="annotation reference"/>
    <w:basedOn w:val="23"/>
    <w:semiHidden/>
    <w:qFormat/>
    <w:uiPriority w:val="0"/>
    <w:rPr>
      <w:sz w:val="21"/>
    </w:rPr>
  </w:style>
  <w:style w:type="paragraph" w:customStyle="1" w:styleId="27">
    <w:name w:val="Gqd正文"/>
    <w:basedOn w:val="1"/>
    <w:qFormat/>
    <w:uiPriority w:val="0"/>
    <w:pPr>
      <w:snapToGrid w:val="0"/>
      <w:spacing w:line="460" w:lineRule="exact"/>
      <w:ind w:firstLine="520" w:firstLineChars="200"/>
    </w:pPr>
    <w:rPr>
      <w:rFonts w:eastAsia="新宋体"/>
      <w:bCs/>
      <w:sz w:val="26"/>
    </w:rPr>
  </w:style>
  <w:style w:type="paragraph" w:customStyle="1" w:styleId="28">
    <w:name w:val="表"/>
    <w:basedOn w:val="12"/>
    <w:autoRedefine/>
    <w:qFormat/>
    <w:uiPriority w:val="0"/>
    <w:pPr>
      <w:jc w:val="center"/>
    </w:pPr>
    <w:rPr>
      <w:spacing w:val="2"/>
    </w:rPr>
  </w:style>
  <w:style w:type="paragraph" w:customStyle="1" w:styleId="29">
    <w:name w:val="小表中格式"/>
    <w:basedOn w:val="30"/>
    <w:autoRedefine/>
    <w:qFormat/>
    <w:uiPriority w:val="0"/>
    <w:pPr>
      <w:kinsoku w:val="0"/>
      <w:overflowPunct w:val="0"/>
      <w:autoSpaceDE w:val="0"/>
      <w:autoSpaceDN w:val="0"/>
      <w:spacing w:line="360" w:lineRule="exact"/>
      <w:jc w:val="center"/>
    </w:pPr>
    <w:rPr>
      <w:w w:val="100"/>
      <w:sz w:val="21"/>
      <w:szCs w:val="20"/>
    </w:rPr>
  </w:style>
  <w:style w:type="paragraph" w:customStyle="1" w:styleId="30">
    <w:name w:val="样式 四号 左侧:  1.53 厘米"/>
    <w:basedOn w:val="1"/>
    <w:autoRedefine/>
    <w:qFormat/>
    <w:uiPriority w:val="0"/>
    <w:pPr>
      <w:adjustRightInd w:val="0"/>
    </w:pPr>
    <w:rPr>
      <w:w w:val="90"/>
      <w:sz w:val="28"/>
      <w:szCs w:val="28"/>
    </w:rPr>
  </w:style>
  <w:style w:type="paragraph" w:customStyle="1" w:styleId="31">
    <w:name w:val="报告书正文"/>
    <w:basedOn w:val="16"/>
    <w:autoRedefine/>
    <w:qFormat/>
    <w:uiPriority w:val="0"/>
    <w:pPr>
      <w:tabs>
        <w:tab w:val="left" w:pos="2340"/>
      </w:tabs>
      <w:adjustRightInd w:val="0"/>
      <w:snapToGrid w:val="0"/>
      <w:spacing w:line="360" w:lineRule="auto"/>
      <w:ind w:right="-136" w:rightChars="-65"/>
      <w:jc w:val="center"/>
    </w:pPr>
    <w:rPr>
      <w:rFonts w:ascii="宋体" w:hAnsi="宋体"/>
      <w:snapToGrid w:val="0"/>
      <w:kern w:val="0"/>
      <w:sz w:val="24"/>
      <w:lang w:val="zh-CN"/>
    </w:rPr>
  </w:style>
  <w:style w:type="paragraph" w:customStyle="1" w:styleId="32">
    <w:name w:val="表格文字"/>
    <w:basedOn w:val="14"/>
    <w:next w:val="1"/>
    <w:autoRedefine/>
    <w:qFormat/>
    <w:uiPriority w:val="0"/>
    <w:pPr>
      <w:autoSpaceDE w:val="0"/>
      <w:autoSpaceDN w:val="0"/>
      <w:adjustRightInd w:val="0"/>
      <w:spacing w:line="360" w:lineRule="exact"/>
      <w:jc w:val="center"/>
      <w:textAlignment w:val="bottom"/>
    </w:pPr>
    <w:rPr>
      <w:kern w:val="0"/>
    </w:rPr>
  </w:style>
  <w:style w:type="paragraph" w:customStyle="1" w:styleId="33">
    <w:name w:val="Body Text 22"/>
    <w:basedOn w:val="1"/>
    <w:qFormat/>
    <w:uiPriority w:val="0"/>
    <w:pPr>
      <w:adjustRightInd w:val="0"/>
      <w:spacing w:line="440" w:lineRule="atLeast"/>
      <w:ind w:firstLine="480"/>
      <w:textAlignment w:val="baseline"/>
    </w:pPr>
    <w:rPr>
      <w:rFonts w:eastAsia="仿宋_GB2312" w:cs="Dutch801 Rm BT"/>
      <w:sz w:val="24"/>
      <w:szCs w:val="20"/>
    </w:rPr>
  </w:style>
  <w:style w:type="paragraph" w:customStyle="1" w:styleId="34">
    <w:name w:val="正文111111111"/>
    <w:basedOn w:val="1"/>
    <w:autoRedefine/>
    <w:qFormat/>
    <w:uiPriority w:val="0"/>
    <w:pPr>
      <w:spacing w:line="360" w:lineRule="auto"/>
      <w:ind w:firstLine="200" w:firstLineChars="200"/>
    </w:pPr>
    <w:rPr>
      <w:sz w:val="24"/>
      <w:szCs w:val="21"/>
    </w:rPr>
  </w:style>
  <w:style w:type="paragraph" w:customStyle="1" w:styleId="35">
    <w:name w:val="正文（首行缩进2字）"/>
    <w:autoRedefine/>
    <w:qFormat/>
    <w:uiPriority w:val="0"/>
    <w:pPr>
      <w:spacing w:line="440" w:lineRule="exact"/>
      <w:ind w:firstLine="480" w:firstLineChars="200"/>
    </w:pPr>
    <w:rPr>
      <w:rFonts w:ascii="Times New Roman" w:hAnsi="Times New Roman" w:eastAsia="宋体" w:cs="Times New Roman"/>
      <w:kern w:val="2"/>
      <w:sz w:val="24"/>
      <w:szCs w:val="24"/>
      <w:lang w:val="en-US" w:eastAsia="zh-CN" w:bidi="ar-SA"/>
    </w:rPr>
  </w:style>
  <w:style w:type="paragraph" w:customStyle="1" w:styleId="36">
    <w:name w:val="L表格"/>
    <w:basedOn w:val="37"/>
    <w:autoRedefine/>
    <w:qFormat/>
    <w:uiPriority w:val="0"/>
    <w:pPr>
      <w:spacing w:line="320" w:lineRule="exact"/>
      <w:jc w:val="center"/>
    </w:pPr>
    <w:rPr>
      <w:rFonts w:eastAsia="Times New Roman"/>
      <w:b w:val="0"/>
      <w:bCs w:val="0"/>
      <w:sz w:val="21"/>
    </w:rPr>
  </w:style>
  <w:style w:type="paragraph" w:customStyle="1" w:styleId="37">
    <w:name w:val="L标题"/>
    <w:basedOn w:val="38"/>
    <w:autoRedefine/>
    <w:qFormat/>
    <w:uiPriority w:val="0"/>
    <w:pPr>
      <w:ind w:firstLine="0" w:firstLineChars="0"/>
    </w:pPr>
    <w:rPr>
      <w:b/>
      <w:bCs/>
    </w:rPr>
  </w:style>
  <w:style w:type="paragraph" w:customStyle="1" w:styleId="38">
    <w:name w:val="L正文"/>
    <w:basedOn w:val="1"/>
    <w:autoRedefine/>
    <w:qFormat/>
    <w:uiPriority w:val="0"/>
    <w:pPr>
      <w:adjustRightInd w:val="0"/>
      <w:snapToGrid w:val="0"/>
      <w:spacing w:line="360" w:lineRule="auto"/>
      <w:ind w:firstLine="200" w:firstLineChars="200"/>
      <w:jc w:val="left"/>
    </w:pPr>
    <w:rPr>
      <w:sz w:val="24"/>
    </w:rPr>
  </w:style>
  <w:style w:type="paragraph" w:styleId="39">
    <w:name w:val="List Paragraph"/>
    <w:basedOn w:val="1"/>
    <w:autoRedefine/>
    <w:qFormat/>
    <w:uiPriority w:val="1"/>
    <w:pPr>
      <w:autoSpaceDE w:val="0"/>
      <w:autoSpaceDN w:val="0"/>
      <w:adjustRightInd w:val="0"/>
      <w:jc w:val="left"/>
    </w:pPr>
    <w:rPr>
      <w:kern w:val="0"/>
      <w:sz w:val="24"/>
    </w:rPr>
  </w:style>
  <w:style w:type="paragraph" w:customStyle="1" w:styleId="40">
    <w:name w:val="表格"/>
    <w:basedOn w:val="20"/>
    <w:next w:val="1"/>
    <w:autoRedefine/>
    <w:qFormat/>
    <w:uiPriority w:val="0"/>
    <w:pPr>
      <w:adjustRightInd w:val="0"/>
      <w:snapToGrid w:val="0"/>
      <w:spacing w:beforeLines="10" w:afterLines="10" w:line="259" w:lineRule="auto"/>
      <w:jc w:val="center"/>
    </w:pPr>
    <w:rPr>
      <w:rFonts w:ascii="宋体"/>
      <w:kern w:val="0"/>
      <w:szCs w:val="20"/>
    </w:rPr>
  </w:style>
  <w:style w:type="character" w:customStyle="1" w:styleId="41">
    <w:name w:val="font41"/>
    <w:basedOn w:val="23"/>
    <w:qFormat/>
    <w:uiPriority w:val="0"/>
    <w:rPr>
      <w:rFonts w:hint="default" w:ascii="Times New Roman" w:hAnsi="Times New Roman" w:cs="Times New Roman"/>
      <w:color w:val="000000"/>
      <w:sz w:val="21"/>
      <w:szCs w:val="21"/>
      <w:u w:val="none"/>
    </w:rPr>
  </w:style>
  <w:style w:type="character" w:customStyle="1" w:styleId="42">
    <w:name w:val="font51"/>
    <w:basedOn w:val="23"/>
    <w:qFormat/>
    <w:uiPriority w:val="0"/>
    <w:rPr>
      <w:rFonts w:hint="default" w:ascii="Times New Roman" w:hAnsi="Times New Roman" w:cs="Times New Roman"/>
      <w:color w:val="000000"/>
      <w:sz w:val="21"/>
      <w:szCs w:val="21"/>
      <w:u w:val="none"/>
      <w:vertAlign w:val="superscript"/>
    </w:rPr>
  </w:style>
  <w:style w:type="paragraph" w:customStyle="1" w:styleId="43">
    <w:name w:val="4小表"/>
    <w:basedOn w:val="36"/>
    <w:qFormat/>
    <w:uiPriority w:val="0"/>
    <w:rPr>
      <w:kern w:val="0"/>
      <w:szCs w:val="21"/>
    </w:rPr>
  </w:style>
  <w:style w:type="paragraph" w:customStyle="1" w:styleId="44">
    <w:name w:val="表格内容"/>
    <w:basedOn w:val="1"/>
    <w:qFormat/>
    <w:uiPriority w:val="0"/>
    <w:pPr>
      <w:spacing w:line="276" w:lineRule="auto"/>
      <w:ind w:firstLine="0" w:firstLineChars="0"/>
      <w:contextualSpacing/>
      <w:jc w:val="center"/>
    </w:pPr>
    <w:rPr>
      <w:rFonts w:eastAsia="宋体" w:cs="Times New Roman"/>
      <w:bCs/>
      <w:sz w:val="21"/>
      <w:szCs w:val="21"/>
    </w:rPr>
  </w:style>
  <w:style w:type="paragraph" w:customStyle="1" w:styleId="45">
    <w:name w:val="表中文字"/>
    <w:basedOn w:val="1"/>
    <w:autoRedefine/>
    <w:qFormat/>
    <w:uiPriority w:val="0"/>
    <w:pPr>
      <w:adjustRightInd w:val="0"/>
      <w:snapToGrid w:val="0"/>
      <w:spacing w:line="400" w:lineRule="exact"/>
      <w:jc w:val="center"/>
    </w:pPr>
    <w:rPr>
      <w:rFonts w:ascii="仿宋_GB2312" w:hAnsi="Tahoma"/>
    </w:rPr>
  </w:style>
  <w:style w:type="paragraph" w:customStyle="1" w:styleId="46">
    <w:name w:val="样式18"/>
    <w:basedOn w:val="1"/>
    <w:autoRedefine/>
    <w:qFormat/>
    <w:uiPriority w:val="0"/>
    <w:pPr>
      <w:widowControl/>
      <w:adjustRightInd w:val="0"/>
      <w:snapToGrid w:val="0"/>
      <w:spacing w:line="460" w:lineRule="exact"/>
      <w:ind w:firstLine="567" w:firstLineChars="218"/>
      <w:jc w:val="left"/>
    </w:pPr>
    <w:rPr>
      <w:kern w:val="0"/>
      <w:sz w:val="26"/>
      <w:szCs w:val="26"/>
    </w:rPr>
  </w:style>
  <w:style w:type="paragraph" w:customStyle="1" w:styleId="47">
    <w:name w:val="正文 首行缩进:  2 字符"/>
    <w:basedOn w:val="1"/>
    <w:autoRedefine/>
    <w:qFormat/>
    <w:uiPriority w:val="0"/>
    <w:pPr>
      <w:ind w:firstLine="579" w:firstLineChars="200"/>
    </w:pPr>
    <w:rPr>
      <w:sz w:val="28"/>
      <w:szCs w:val="20"/>
    </w:rPr>
  </w:style>
  <w:style w:type="paragraph" w:customStyle="1" w:styleId="48">
    <w:name w:val="样式 正文缩进正文缩进2正文缩进 Char Char正文缩进 Char Char Char Char正文缩进 Char ..."/>
    <w:basedOn w:val="8"/>
    <w:autoRedefine/>
    <w:qFormat/>
    <w:uiPriority w:val="0"/>
    <w:pPr>
      <w:ind w:firstLine="200"/>
    </w:pPr>
    <w:rPr>
      <w:rFonts w:cs="宋体"/>
    </w:rPr>
  </w:style>
  <w:style w:type="paragraph" w:customStyle="1" w:styleId="49">
    <w:name w:val="表内文本正文"/>
    <w:basedOn w:val="1"/>
    <w:autoRedefine/>
    <w:qFormat/>
    <w:uiPriority w:val="0"/>
    <w:pPr>
      <w:spacing w:line="360" w:lineRule="auto"/>
      <w:ind w:firstLine="420" w:firstLineChars="200"/>
    </w:pPr>
  </w:style>
  <w:style w:type="paragraph" w:customStyle="1" w:styleId="50">
    <w:name w:val="Table Paragraph"/>
    <w:basedOn w:val="1"/>
    <w:next w:val="2"/>
    <w:autoRedefine/>
    <w:qFormat/>
    <w:uiPriority w:val="0"/>
    <w:pPr>
      <w:autoSpaceDE w:val="0"/>
      <w:autoSpaceDN w:val="0"/>
      <w:adjustRightInd w:val="0"/>
      <w:jc w:val="left"/>
    </w:pPr>
    <w:rPr>
      <w:kern w:val="0"/>
      <w:sz w:val="24"/>
    </w:rPr>
  </w:style>
  <w:style w:type="paragraph" w:customStyle="1" w:styleId="51">
    <w:name w:val="5表格内容"/>
    <w:basedOn w:val="1"/>
    <w:qFormat/>
    <w:uiPriority w:val="0"/>
    <w:pPr>
      <w:jc w:val="center"/>
    </w:pPr>
    <w:rPr>
      <w:color w:val="FF0000"/>
      <w:szCs w:val="21"/>
    </w:rPr>
  </w:style>
  <w:style w:type="character" w:customStyle="1" w:styleId="52">
    <w:name w:val="font21"/>
    <w:basedOn w:val="23"/>
    <w:qFormat/>
    <w:uiPriority w:val="0"/>
    <w:rPr>
      <w:rFonts w:hint="eastAsia" w:ascii="宋体" w:hAnsi="宋体" w:eastAsia="宋体" w:cs="宋体"/>
      <w:color w:val="000000"/>
      <w:sz w:val="21"/>
      <w:szCs w:val="21"/>
      <w:u w:val="none"/>
    </w:rPr>
  </w:style>
  <w:style w:type="character" w:customStyle="1" w:styleId="53">
    <w:name w:val="font11"/>
    <w:basedOn w:val="23"/>
    <w:qFormat/>
    <w:uiPriority w:val="0"/>
    <w:rPr>
      <w:rFonts w:hint="default" w:ascii="Times New Roman" w:hAnsi="Times New Roman" w:cs="Times New Roman"/>
      <w:color w:val="000000"/>
      <w:sz w:val="21"/>
      <w:szCs w:val="21"/>
      <w:u w:val="none"/>
    </w:rPr>
  </w:style>
  <w:style w:type="paragraph" w:customStyle="1" w:styleId="54">
    <w:name w:val="表格内容谢谢"/>
    <w:basedOn w:val="1"/>
    <w:autoRedefine/>
    <w:qFormat/>
    <w:uiPriority w:val="0"/>
    <w:pPr>
      <w:widowControl/>
      <w:spacing w:line="240" w:lineRule="atLeast"/>
      <w:jc w:val="center"/>
    </w:pPr>
    <w:rPr>
      <w:rFonts w:hAnsi="宋体"/>
      <w:color w:val="000000"/>
      <w:kern w:val="0"/>
    </w:rPr>
  </w:style>
  <w:style w:type="paragraph" w:customStyle="1" w:styleId="55">
    <w:name w:val="表格文字五号"/>
    <w:basedOn w:val="1"/>
    <w:qFormat/>
    <w:uiPriority w:val="0"/>
    <w:pPr>
      <w:autoSpaceDE w:val="0"/>
      <w:autoSpaceDN w:val="0"/>
      <w:jc w:val="center"/>
    </w:pPr>
    <w:rPr>
      <w:rFonts w:ascii="Calibri" w:hAnsi="Calibri" w:cs="Calibri"/>
      <w:szCs w:val="21"/>
    </w:rPr>
  </w:style>
  <w:style w:type="paragraph" w:customStyle="1" w:styleId="56">
    <w:name w:val="表内文字"/>
    <w:basedOn w:val="1"/>
    <w:autoRedefine/>
    <w:qFormat/>
    <w:uiPriority w:val="0"/>
    <w:pPr>
      <w:topLinePunct/>
      <w:jc w:val="center"/>
    </w:pPr>
    <w:rPr>
      <w:rFonts w:ascii="宋体" w:hAnsi="宋体"/>
      <w:bCs/>
      <w:sz w:val="24"/>
      <w:szCs w:val="22"/>
    </w:rPr>
  </w:style>
  <w:style w:type="paragraph" w:customStyle="1" w:styleId="57">
    <w:name w:val="A正文1"/>
    <w:basedOn w:val="1"/>
    <w:autoRedefine/>
    <w:qFormat/>
    <w:uiPriority w:val="0"/>
    <w:pPr>
      <w:spacing w:line="360" w:lineRule="auto"/>
      <w:ind w:firstLine="200" w:firstLineChars="200"/>
    </w:pPr>
    <w:rPr>
      <w:sz w:val="24"/>
      <w:szCs w:val="28"/>
    </w:rPr>
  </w:style>
  <w:style w:type="paragraph" w:customStyle="1" w:styleId="58">
    <w:name w:val="_Style 1"/>
    <w:basedOn w:val="1"/>
    <w:autoRedefine/>
    <w:qFormat/>
    <w:uiPriority w:val="0"/>
    <w:pPr>
      <w:ind w:firstLine="420" w:firstLineChars="200"/>
    </w:pPr>
    <w:rPr>
      <w:rFonts w:ascii="Calibri" w:hAnsi="Calibri"/>
      <w:szCs w:val="22"/>
    </w:rPr>
  </w:style>
  <w:style w:type="paragraph" w:customStyle="1" w:styleId="59">
    <w:name w:val="GQD表格字体"/>
    <w:basedOn w:val="39"/>
    <w:qFormat/>
    <w:uiPriority w:val="0"/>
    <w:pPr>
      <w:widowControl w:val="0"/>
      <w:adjustRightInd w:val="0"/>
      <w:snapToGrid w:val="0"/>
      <w:spacing w:line="240" w:lineRule="auto"/>
      <w:ind w:firstLine="0" w:firstLineChars="0"/>
      <w:jc w:val="both"/>
    </w:pPr>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19.wmf"/><Relationship Id="rId38" Type="http://schemas.openxmlformats.org/officeDocument/2006/relationships/oleObject" Target="embeddings/oleObject11.bin"/><Relationship Id="rId37" Type="http://schemas.openxmlformats.org/officeDocument/2006/relationships/image" Target="media/image18.wmf"/><Relationship Id="rId36" Type="http://schemas.openxmlformats.org/officeDocument/2006/relationships/oleObject" Target="embeddings/oleObject10.bin"/><Relationship Id="rId35" Type="http://schemas.openxmlformats.org/officeDocument/2006/relationships/image" Target="media/image17.wmf"/><Relationship Id="rId34" Type="http://schemas.openxmlformats.org/officeDocument/2006/relationships/oleObject" Target="embeddings/oleObject9.bin"/><Relationship Id="rId33" Type="http://schemas.openxmlformats.org/officeDocument/2006/relationships/image" Target="media/image16.wmf"/><Relationship Id="rId32" Type="http://schemas.openxmlformats.org/officeDocument/2006/relationships/oleObject" Target="embeddings/oleObject8.bin"/><Relationship Id="rId31" Type="http://schemas.openxmlformats.org/officeDocument/2006/relationships/image" Target="media/image15.w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4.wmf"/><Relationship Id="rId28" Type="http://schemas.openxmlformats.org/officeDocument/2006/relationships/oleObject" Target="embeddings/oleObject6.bin"/><Relationship Id="rId27" Type="http://schemas.openxmlformats.org/officeDocument/2006/relationships/image" Target="media/image13.wmf"/><Relationship Id="rId26" Type="http://schemas.openxmlformats.org/officeDocument/2006/relationships/oleObject" Target="embeddings/oleObject5.bin"/><Relationship Id="rId25" Type="http://schemas.openxmlformats.org/officeDocument/2006/relationships/image" Target="media/image12.png"/><Relationship Id="rId24" Type="http://schemas.openxmlformats.org/officeDocument/2006/relationships/image" Target="media/image11.emf"/><Relationship Id="rId23" Type="http://schemas.openxmlformats.org/officeDocument/2006/relationships/oleObject" Target="embeddings/oleObject4.bin"/><Relationship Id="rId22" Type="http://schemas.openxmlformats.org/officeDocument/2006/relationships/image" Target="media/image10.emf"/><Relationship Id="rId21" Type="http://schemas.openxmlformats.org/officeDocument/2006/relationships/oleObject" Target="embeddings/oleObject3.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8.emf"/><Relationship Id="rId17" Type="http://schemas.openxmlformats.org/officeDocument/2006/relationships/oleObject" Target="embeddings/oleObject1.bin"/><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113</Pages>
  <Words>31604</Words>
  <Characters>33411</Characters>
  <Lines>0</Lines>
  <Paragraphs>0</Paragraphs>
  <TotalTime>0</TotalTime>
  <ScaleCrop>false</ScaleCrop>
  <LinksUpToDate>false</LinksUpToDate>
  <CharactersWithSpaces>33552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2025-04-27T09:22:00Z</dcterms:created>
  <dc:creator>国家一级保护废物</dc:creator>
  <cp:lastModifiedBy>国家一级保护废物</cp:lastModifiedBy>
  <cp:lastPrinted>2025-05-16T07:31:00Z</cp:lastPrinted>
  <dcterms:modified xsi:type="dcterms:W3CDTF">2025-07-28T07:32:25Z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FB78862FB27C456F8159B928C7F6900C_13</vt:lpwstr>
  </property>
  <property fmtid="{D5CDD505-2E9C-101B-9397-08002B2CF9AE}" pid="4" name="KSOTemplateDocerSaveRecord">
    <vt:lpwstr>eyJoZGlkIjoiYjliZjc5YjgwY2UzMzA3MWIzNDEyZGU5N2E2OWE5NjkiLCJ1c2VySWQiOiI4NTkwNjE0MjYifQ==</vt:lpwstr>
  </property>
</Properties>
</file>