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497" w:beforeLines="800" w:after="625" w:afterLines="200" w:line="460" w:lineRule="exact"/>
        <w:jc w:val="center"/>
        <w:textAlignment w:val="auto"/>
        <w:outlineLvl w:val="9"/>
        <w:rPr>
          <w:rFonts w:hint="eastAsia" w:eastAsia="方正小标宋_GBK"/>
          <w:color w:val="auto"/>
          <w:sz w:val="44"/>
          <w:szCs w:val="32"/>
          <w:highlight w:val="none"/>
        </w:rPr>
      </w:pPr>
      <w:r>
        <w:rPr>
          <w:rFonts w:hint="eastAsia" w:eastAsia="方正小标宋_GBK"/>
          <w:color w:val="auto"/>
          <w:sz w:val="44"/>
          <w:szCs w:val="32"/>
          <w:highlight w:val="none"/>
        </w:rPr>
        <w:t>璧山区高新技术产业开发区管理委员会</w:t>
      </w:r>
    </w:p>
    <w:p>
      <w:pPr>
        <w:keepNext w:val="0"/>
        <w:keepLines w:val="0"/>
        <w:pageBreakBefore w:val="0"/>
        <w:widowControl w:val="0"/>
        <w:kinsoku/>
        <w:wordWrap/>
        <w:overflowPunct/>
        <w:topLinePunct w:val="0"/>
        <w:autoSpaceDE/>
        <w:autoSpaceDN/>
        <w:bidi w:val="0"/>
        <w:adjustRightInd/>
        <w:snapToGrid/>
        <w:spacing w:after="625" w:afterLines="200" w:line="460" w:lineRule="exact"/>
        <w:jc w:val="center"/>
        <w:textAlignment w:val="auto"/>
        <w:outlineLvl w:val="9"/>
        <w:rPr>
          <w:rFonts w:hint="eastAsia" w:eastAsia="方正小标宋_GBK"/>
          <w:color w:val="auto"/>
          <w:sz w:val="44"/>
          <w:szCs w:val="32"/>
          <w:highlight w:val="none"/>
        </w:rPr>
      </w:pPr>
      <w:r>
        <w:rPr>
          <w:rFonts w:hint="eastAsia" w:eastAsia="方正小标宋_GBK"/>
          <w:color w:val="auto"/>
          <w:sz w:val="44"/>
          <w:szCs w:val="32"/>
          <w:highlight w:val="none"/>
        </w:rPr>
        <w:t>2020年整体支出绩效</w:t>
      </w:r>
    </w:p>
    <w:p>
      <w:pPr>
        <w:keepNext w:val="0"/>
        <w:keepLines w:val="0"/>
        <w:pageBreakBefore w:val="0"/>
        <w:widowControl w:val="0"/>
        <w:kinsoku/>
        <w:wordWrap/>
        <w:overflowPunct/>
        <w:topLinePunct w:val="0"/>
        <w:autoSpaceDE/>
        <w:autoSpaceDN/>
        <w:bidi w:val="0"/>
        <w:adjustRightInd/>
        <w:snapToGrid/>
        <w:spacing w:after="6241" w:afterLines="2000" w:line="460" w:lineRule="exact"/>
        <w:jc w:val="center"/>
        <w:textAlignment w:val="auto"/>
        <w:outlineLvl w:val="9"/>
        <w:rPr>
          <w:rFonts w:hint="eastAsia" w:eastAsia="方正小标宋_GBK"/>
          <w:color w:val="auto"/>
          <w:sz w:val="44"/>
          <w:szCs w:val="32"/>
          <w:highlight w:val="none"/>
        </w:rPr>
      </w:pPr>
      <w:r>
        <w:rPr>
          <w:rFonts w:hint="eastAsia" w:eastAsia="方正小标宋_GBK"/>
          <w:color w:val="auto"/>
          <w:sz w:val="44"/>
          <w:szCs w:val="32"/>
          <w:highlight w:val="none"/>
        </w:rPr>
        <w:t>自评报告</w:t>
      </w:r>
    </w:p>
    <w:p>
      <w:pPr>
        <w:keepNext w:val="0"/>
        <w:keepLines w:val="0"/>
        <w:pageBreakBefore w:val="0"/>
        <w:widowControl w:val="0"/>
        <w:kinsoku/>
        <w:wordWrap/>
        <w:overflowPunct/>
        <w:topLinePunct w:val="0"/>
        <w:autoSpaceDE/>
        <w:autoSpaceDN/>
        <w:bidi w:val="0"/>
        <w:adjustRightInd/>
        <w:snapToGrid/>
        <w:spacing w:after="313" w:afterLines="100" w:line="460" w:lineRule="exact"/>
        <w:jc w:val="center"/>
        <w:textAlignment w:val="auto"/>
        <w:outlineLvl w:val="9"/>
        <w:rPr>
          <w:rFonts w:hint="eastAsia" w:ascii="方正小标宋_GBK" w:hAnsi="方正小标宋_GBK" w:eastAsia="方正小标宋_GBK" w:cs="方正小标宋_GBK"/>
          <w:color w:val="auto"/>
          <w:sz w:val="28"/>
          <w:szCs w:val="28"/>
          <w:highlight w:val="none"/>
        </w:rPr>
      </w:pPr>
      <w:r>
        <w:rPr>
          <w:rFonts w:hint="eastAsia" w:ascii="方正小标宋_GBK" w:hAnsi="方正小标宋_GBK" w:eastAsia="方正小标宋_GBK" w:cs="方正小标宋_GBK"/>
          <w:color w:val="auto"/>
          <w:sz w:val="28"/>
          <w:szCs w:val="28"/>
          <w:highlight w:val="none"/>
        </w:rPr>
        <w:t>璧山区高新技术产业开发区管理委员会</w:t>
      </w:r>
    </w:p>
    <w:p>
      <w:pPr>
        <w:keepNext w:val="0"/>
        <w:keepLines w:val="0"/>
        <w:pageBreakBefore w:val="0"/>
        <w:widowControl w:val="0"/>
        <w:kinsoku/>
        <w:wordWrap/>
        <w:overflowPunct/>
        <w:topLinePunct w:val="0"/>
        <w:autoSpaceDE/>
        <w:autoSpaceDN/>
        <w:bidi w:val="0"/>
        <w:adjustRightInd/>
        <w:snapToGrid/>
        <w:spacing w:after="313" w:afterLines="100" w:line="460" w:lineRule="exact"/>
        <w:jc w:val="center"/>
        <w:textAlignment w:val="auto"/>
        <w:outlineLvl w:val="9"/>
        <w:rPr>
          <w:rFonts w:hint="eastAsia" w:ascii="方正仿宋_GBK" w:hAnsi="方正仿宋_GBK" w:eastAsia="方正仿宋_GBK" w:cs="方正仿宋_GBK"/>
          <w:color w:val="auto"/>
          <w:sz w:val="44"/>
          <w:szCs w:val="32"/>
          <w:highlight w:val="none"/>
          <w:lang w:val="en-US" w:eastAsia="zh-CN"/>
        </w:rPr>
        <w:sectPr>
          <w:pgSz w:w="11906" w:h="16838"/>
          <w:pgMar w:top="1588" w:right="1474" w:bottom="1588" w:left="147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方正小标宋_GBK" w:hAnsi="方正小标宋_GBK" w:eastAsia="方正小标宋_GBK" w:cs="方正小标宋_GBK"/>
          <w:color w:val="auto"/>
          <w:sz w:val="28"/>
          <w:szCs w:val="28"/>
          <w:highlight w:val="none"/>
          <w:lang w:val="en-US" w:eastAsia="zh-CN"/>
        </w:rPr>
        <w:t>2021年3月</w:t>
      </w:r>
    </w:p>
    <w:sdt>
      <w:sdtPr>
        <w:rPr>
          <w:rFonts w:hint="eastAsia" w:ascii="Times New Roman" w:hAnsi="Times New Roman" w:eastAsia="方正黑体_GBK" w:cs="Times New Roman"/>
          <w:color w:val="auto"/>
          <w:kern w:val="2"/>
          <w:sz w:val="44"/>
          <w:szCs w:val="44"/>
          <w:highlight w:val="none"/>
          <w:lang w:val="en-US" w:eastAsia="zh-CN" w:bidi="ar-SA"/>
        </w:rPr>
        <w:id w:val="147469644"/>
        <w15:color w:val="DBDBDB"/>
        <w:docPartObj>
          <w:docPartGallery w:val="Table of Contents"/>
          <w:docPartUnique/>
        </w:docPartObj>
      </w:sdtPr>
      <w:sdtEndPr>
        <w:rPr>
          <w:rFonts w:hint="eastAsia" w:ascii="Times New Roman" w:hAnsi="Times New Roman" w:eastAsia="方正小标宋_GBK" w:cs="方正仿宋_GBK"/>
          <w:b/>
          <w:bCs/>
          <w:color w:val="auto"/>
          <w:kern w:val="2"/>
          <w:sz w:val="28"/>
          <w:szCs w:val="32"/>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460" w:lineRule="exact"/>
            <w:ind w:left="0" w:leftChars="0" w:right="0" w:rightChars="0" w:firstLine="880" w:firstLineChars="200"/>
            <w:jc w:val="center"/>
            <w:textAlignment w:val="auto"/>
            <w:outlineLvl w:val="0"/>
            <w:rPr>
              <w:rFonts w:hint="eastAsia" w:ascii="Times New Roman" w:hAnsi="Times New Roman" w:eastAsia="方正黑体_GBK" w:cs="Times New Roman"/>
              <w:color w:val="auto"/>
              <w:sz w:val="44"/>
              <w:szCs w:val="44"/>
              <w:highlight w:val="none"/>
            </w:rPr>
          </w:pPr>
          <w:r>
            <w:rPr>
              <w:rFonts w:hint="eastAsia" w:ascii="Times New Roman" w:hAnsi="Times New Roman" w:eastAsia="方正黑体_GBK" w:cs="Times New Roman"/>
              <w:color w:val="auto"/>
              <w:sz w:val="44"/>
              <w:szCs w:val="44"/>
              <w:highlight w:val="none"/>
            </w:rPr>
            <w:t>目</w:t>
          </w:r>
          <w:r>
            <w:rPr>
              <w:rFonts w:hint="eastAsia" w:ascii="Times New Roman" w:hAnsi="Times New Roman" w:eastAsia="方正黑体_GBK" w:cs="Times New Roman"/>
              <w:color w:val="auto"/>
              <w:sz w:val="44"/>
              <w:szCs w:val="44"/>
              <w:highlight w:val="none"/>
              <w:lang w:val="en-US" w:eastAsia="zh-CN"/>
            </w:rPr>
            <w:t xml:space="preserve"> </w:t>
          </w:r>
          <w:r>
            <w:rPr>
              <w:rFonts w:hint="eastAsia" w:ascii="Times New Roman" w:hAnsi="Times New Roman" w:eastAsia="方正黑体_GBK" w:cs="Times New Roman"/>
              <w:color w:val="auto"/>
              <w:sz w:val="44"/>
              <w:szCs w:val="44"/>
              <w:highlight w:val="none"/>
            </w:rPr>
            <w:t>录</w:t>
          </w:r>
        </w:p>
        <w:p>
          <w:pPr>
            <w:pStyle w:val="10"/>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TOC \o "1-3" \h \u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_Toc32293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一、基本情况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_Toc32293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_Toc29312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（一）部门基本情况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_Toc29312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_Toc32521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二</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预算及支出情况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_Toc32521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0"/>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_Toc19863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二、绩效评价基本情况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_Toc19863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_Toc12959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rPr>
            <w:t>（一）绩效评价目的</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_Toc12959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_Toc18909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rPr>
            <w:t>（二）绩效评价原则、评价指标体系、评价方法</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_Toc18909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_Toc18385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rPr>
            <w:t>（三）绩效评价工作过程</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_Toc18385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0"/>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_Toc32476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lang w:val="en-US" w:eastAsia="zh-CN"/>
            </w:rPr>
            <w:t>三、</w:t>
          </w:r>
          <w:r>
            <w:rPr>
              <w:rFonts w:hint="eastAsia" w:ascii="方正仿宋_GBK" w:hAnsi="方正仿宋_GBK" w:eastAsia="方正仿宋_GBK" w:cs="方正仿宋_GBK"/>
              <w:sz w:val="28"/>
              <w:szCs w:val="28"/>
              <w:highlight w:val="none"/>
            </w:rPr>
            <w:t>绩效评价情况及结论</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_Toc32476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_Toc4923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rPr>
            <w:t>（一）投入评价情况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_Toc4923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_Toc1292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1. 目标设定</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_Toc1292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_Toc20603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2. 预算配置</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_Toc20603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_Toc17017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rPr>
            <w:t>（二）过程评价情况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_Toc17017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_Toc2761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1. 预算执行</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_Toc2761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_Toc17776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2. 预算管理</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_Toc17776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_Toc20328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3. 资产管理</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_Toc20328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_Toc26017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rPr>
            <w:t>（三）产出评价情况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_Toc26017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_Toc8389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1. 职责履行</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_Toc8389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_Toc26464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rPr>
            <w:t>（四）效益评价情况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_Toc26464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_Toc5930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1. 经济效益</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_Toc5930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_Toc31212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2. 环境效益</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_Toc31212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_Toc17524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3. 社会效益</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_Toc17524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_Toc28898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4. 社会公众满意度</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_Toc28898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0"/>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_Toc23096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lang w:val="en-US" w:eastAsia="zh-CN"/>
            </w:rPr>
            <w:t>四、主要经验及做法</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_Toc23096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_Toc23106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lang w:val="en-US" w:eastAsia="zh-CN"/>
            </w:rPr>
            <w:t>（一）加快基础设施建设进度</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_Toc23106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_Toc20016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（二）落实权利内控机制，实现用制度管钱管事</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_Toc20016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_Toc23990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（三）严格预算执行管理，努力提升预算执行到位率</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_Toc23990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0"/>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_Toc22246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lang w:val="en-US" w:eastAsia="zh-CN"/>
            </w:rPr>
            <w:t>五、存在的问题和建议</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_Toc22246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tabs>
              <w:tab w:val="right" w:leader="dot" w:pos="8958"/>
            </w:tabs>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_Toc30459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（一）预算管理工作水平有待提高</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_Toc30459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tabs>
              <w:tab w:val="right" w:leader="dot" w:pos="8958"/>
            </w:tabs>
            <w:spacing w:line="460" w:lineRule="exact"/>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_Toc11007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（二）“三公经费”管控力度有待加强</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_Toc11007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460" w:lineRule="atLeast"/>
            <w:jc w:val="center"/>
            <w:textAlignment w:val="auto"/>
            <w:outlineLvl w:val="0"/>
            <w:rPr>
              <w:rFonts w:eastAsia="方正小标宋_GBK"/>
              <w:color w:val="auto"/>
              <w:sz w:val="44"/>
              <w:szCs w:val="32"/>
              <w:highlight w:val="none"/>
            </w:rPr>
            <w:sectPr>
              <w:headerReference r:id="rId3" w:type="default"/>
              <w:footerReference r:id="rId4" w:type="default"/>
              <w:pgSz w:w="11906" w:h="16838"/>
              <w:pgMar w:top="1588" w:right="1474" w:bottom="1588" w:left="1474"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方正仿宋_GBK" w:hAnsi="方正仿宋_GBK" w:eastAsia="方正仿宋_GBK" w:cs="方正仿宋_GBK"/>
              <w:color w:val="auto"/>
              <w:sz w:val="28"/>
              <w:szCs w:val="28"/>
              <w:highlight w:val="none"/>
            </w:rPr>
            <w:fldChar w:fldCharType="end"/>
          </w:r>
        </w:p>
      </w:sdtContent>
    </w:sdt>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eastAsia="方正小标宋_GBK"/>
          <w:color w:val="auto"/>
          <w:sz w:val="44"/>
          <w:szCs w:val="32"/>
          <w:highlight w:val="none"/>
        </w:rPr>
      </w:pPr>
      <w:r>
        <w:rPr>
          <w:rFonts w:hint="eastAsia" w:eastAsia="方正小标宋_GBK"/>
          <w:color w:val="auto"/>
          <w:sz w:val="44"/>
          <w:szCs w:val="32"/>
          <w:highlight w:val="none"/>
        </w:rPr>
        <w:t>璧山区高新技术产业开发区管理委员会</w:t>
      </w:r>
    </w:p>
    <w:p>
      <w:pPr>
        <w:pStyle w:val="19"/>
        <w:keepNext w:val="0"/>
        <w:keepLines w:val="0"/>
        <w:pageBreakBefore w:val="0"/>
        <w:widowControl w:val="0"/>
        <w:kinsoku/>
        <w:wordWrap/>
        <w:overflowPunct/>
        <w:topLinePunct w:val="0"/>
        <w:autoSpaceDE/>
        <w:autoSpaceDN/>
        <w:bidi w:val="0"/>
        <w:adjustRightInd/>
        <w:snapToGrid/>
        <w:spacing w:after="313" w:afterLines="100" w:line="460" w:lineRule="exact"/>
        <w:ind w:left="359" w:leftChars="171" w:firstLine="0" w:firstLineChars="0"/>
        <w:jc w:val="center"/>
        <w:textAlignment w:val="auto"/>
        <w:outlineLvl w:val="9"/>
        <w:rPr>
          <w:rFonts w:eastAsia="方正仿宋_GBK"/>
          <w:color w:val="auto"/>
          <w:sz w:val="32"/>
          <w:szCs w:val="32"/>
          <w:highlight w:val="none"/>
        </w:rPr>
      </w:pPr>
      <w:r>
        <w:rPr>
          <w:rFonts w:hint="eastAsia" w:eastAsia="方正小标宋_GBK"/>
          <w:color w:val="auto"/>
          <w:sz w:val="44"/>
          <w:szCs w:val="32"/>
          <w:highlight w:val="none"/>
        </w:rPr>
        <w:t>2020</w:t>
      </w:r>
      <w:r>
        <w:rPr>
          <w:rFonts w:eastAsia="方正小标宋_GBK"/>
          <w:color w:val="auto"/>
          <w:sz w:val="44"/>
          <w:szCs w:val="32"/>
          <w:highlight w:val="none"/>
        </w:rPr>
        <w:t>年整体支出绩效</w:t>
      </w:r>
      <w:r>
        <w:rPr>
          <w:rFonts w:hint="eastAsia" w:eastAsia="方正小标宋_GBK"/>
          <w:color w:val="auto"/>
          <w:sz w:val="44"/>
          <w:szCs w:val="32"/>
          <w:highlight w:val="none"/>
        </w:rPr>
        <w:t>自评</w:t>
      </w:r>
      <w:r>
        <w:rPr>
          <w:rFonts w:eastAsia="方正小标宋_GBK"/>
          <w:color w:val="auto"/>
          <w:sz w:val="44"/>
          <w:szCs w:val="32"/>
          <w:highlight w:val="none"/>
        </w:rPr>
        <w:t>报告</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0"/>
        <w:rPr>
          <w:rFonts w:eastAsia="方正黑体_GBK"/>
          <w:color w:val="auto"/>
          <w:sz w:val="32"/>
          <w:szCs w:val="32"/>
          <w:highlight w:val="none"/>
        </w:rPr>
      </w:pPr>
      <w:bookmarkStart w:id="0" w:name="_Toc32293"/>
      <w:bookmarkStart w:id="1" w:name="_Toc19950"/>
      <w:bookmarkStart w:id="2" w:name="_Toc13844"/>
      <w:r>
        <w:rPr>
          <w:rFonts w:eastAsia="方正黑体_GBK"/>
          <w:color w:val="auto"/>
          <w:sz w:val="32"/>
          <w:szCs w:val="32"/>
          <w:highlight w:val="none"/>
        </w:rPr>
        <w:t>一、基本</w:t>
      </w:r>
      <w:r>
        <w:rPr>
          <w:rFonts w:hint="eastAsia" w:eastAsia="方正黑体_GBK"/>
          <w:color w:val="auto"/>
          <w:sz w:val="32"/>
          <w:szCs w:val="32"/>
          <w:highlight w:val="none"/>
        </w:rPr>
        <w:t>情况</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1"/>
        <w:rPr>
          <w:rFonts w:hint="eastAsia" w:ascii="方正楷体_GBK" w:hAnsi="方正楷体_GBK" w:eastAsia="方正楷体_GBK" w:cs="方正楷体_GBK"/>
          <w:color w:val="auto"/>
          <w:sz w:val="28"/>
          <w:szCs w:val="28"/>
          <w:highlight w:val="none"/>
        </w:rPr>
      </w:pPr>
      <w:bookmarkStart w:id="3" w:name="_Toc29312"/>
      <w:bookmarkStart w:id="4" w:name="_Toc24039"/>
      <w:bookmarkStart w:id="5" w:name="_Toc3530"/>
      <w:r>
        <w:rPr>
          <w:rFonts w:hint="eastAsia" w:ascii="方正楷体_GBK" w:hAnsi="方正楷体_GBK" w:eastAsia="方正楷体_GBK" w:cs="方正楷体_GBK"/>
          <w:color w:val="auto"/>
          <w:sz w:val="28"/>
          <w:szCs w:val="28"/>
          <w:highlight w:val="none"/>
        </w:rPr>
        <w:t>（一）部门基本情况</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我部门属于副厅级</w:t>
      </w:r>
      <w:r>
        <w:rPr>
          <w:rFonts w:hint="eastAsia" w:ascii="方正仿宋_GBK" w:hAnsi="方正仿宋_GBK" w:eastAsia="方正仿宋_GBK" w:cs="方正仿宋_GBK"/>
          <w:color w:val="auto"/>
          <w:sz w:val="28"/>
          <w:szCs w:val="28"/>
          <w:highlight w:val="none"/>
        </w:rPr>
        <w:t>区政府工作部门，</w:t>
      </w:r>
      <w:r>
        <w:rPr>
          <w:rFonts w:hint="eastAsia" w:ascii="方正仿宋_GBK" w:hAnsi="方正仿宋_GBK" w:eastAsia="方正仿宋_GBK" w:cs="方正仿宋_GBK"/>
          <w:color w:val="auto"/>
          <w:sz w:val="28"/>
          <w:szCs w:val="28"/>
          <w:highlight w:val="none"/>
          <w:lang w:eastAsia="zh-CN"/>
        </w:rPr>
        <w:t>内设机构</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eastAsia="zh-CN"/>
        </w:rPr>
        <w:t>个：</w:t>
      </w:r>
      <w:r>
        <w:rPr>
          <w:rFonts w:hint="eastAsia" w:ascii="方正仿宋_GBK" w:hAnsi="方正仿宋_GBK" w:eastAsia="方正仿宋_GBK" w:cs="方正仿宋_GBK"/>
          <w:color w:val="auto"/>
          <w:sz w:val="28"/>
          <w:szCs w:val="28"/>
          <w:highlight w:val="none"/>
          <w:lang w:val="en-US" w:eastAsia="zh-CN"/>
        </w:rPr>
        <w:t>办公室</w:t>
      </w:r>
      <w:r>
        <w:rPr>
          <w:rFonts w:hint="eastAsia" w:ascii="方正仿宋_GBK" w:hAnsi="方正仿宋_GBK" w:eastAsia="方正仿宋_GBK" w:cs="方正仿宋_GBK"/>
          <w:color w:val="auto"/>
          <w:sz w:val="28"/>
          <w:szCs w:val="28"/>
          <w:highlight w:val="none"/>
          <w:lang w:eastAsia="zh-CN"/>
        </w:rPr>
        <w:t>、经济发展局（挂安全生产监督管理办公室牌子）、建设管理局、投资促进局、财务局。</w:t>
      </w:r>
      <w:r>
        <w:rPr>
          <w:rFonts w:hint="eastAsia" w:ascii="方正仿宋_GBK" w:hAnsi="方正仿宋_GBK" w:eastAsia="方正仿宋_GBK" w:cs="方正仿宋_GBK"/>
          <w:color w:val="auto"/>
          <w:sz w:val="28"/>
          <w:szCs w:val="28"/>
          <w:highlight w:val="none"/>
          <w:lang w:val="en-US" w:eastAsia="zh-CN"/>
        </w:rPr>
        <w:t>2020年度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我部门人员编制共计89名，其中：璧山高新区党工委书记1名（按副厅局级配备）；管委会主任1名（由党工委书记兼任），副主任3名（按正处级配备）；内设机构负责人职数15名（5正10副），内设机构负责人正职按副处级配备，副职按正科级配备。纪工委书记按有关规定配备。下设正处级事业单位璧山高新区现代工业发展促进中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eastAsia="方正仿宋_GBK"/>
          <w:color w:val="auto"/>
          <w:sz w:val="32"/>
          <w:szCs w:val="32"/>
          <w:lang w:val="en-US" w:eastAsia="zh-CN"/>
        </w:rPr>
      </w:pPr>
      <w:r>
        <w:rPr>
          <w:rFonts w:hint="eastAsia" w:ascii="方正仿宋_GBK" w:hAnsi="方正仿宋_GBK" w:eastAsia="方正仿宋_GBK" w:cs="方正仿宋_GBK"/>
          <w:color w:val="auto"/>
          <w:sz w:val="28"/>
          <w:szCs w:val="28"/>
          <w:highlight w:val="none"/>
          <w:lang w:val="en-US" w:eastAsia="zh-CN"/>
        </w:rPr>
        <w:t>我部门主要职责如下：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1. </w:t>
      </w:r>
      <w:r>
        <w:rPr>
          <w:rFonts w:hint="default" w:ascii="方正仿宋_GBK" w:hAnsi="方正仿宋_GBK" w:eastAsia="方正仿宋_GBK" w:cs="方正仿宋_GBK"/>
          <w:color w:val="auto"/>
          <w:sz w:val="28"/>
          <w:szCs w:val="28"/>
          <w:highlight w:val="none"/>
          <w:lang w:val="en-US" w:eastAsia="zh-CN"/>
        </w:rPr>
        <w:t>贯彻执行国家有关法律、法规和政策，执行中央、市委、市政府有关决定、命令和指示；研究制定高新区规章制度。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2. </w:t>
      </w:r>
      <w:r>
        <w:rPr>
          <w:rFonts w:hint="default" w:ascii="方正仿宋_GBK" w:hAnsi="方正仿宋_GBK" w:eastAsia="方正仿宋_GBK" w:cs="方正仿宋_GBK"/>
          <w:color w:val="auto"/>
          <w:sz w:val="28"/>
          <w:szCs w:val="28"/>
          <w:highlight w:val="none"/>
          <w:lang w:val="en-US" w:eastAsia="zh-CN"/>
        </w:rPr>
        <w:t>配合拟订高新区总体规划、控制性详规、城市设计及专项规划；负责高新区建设规划和建设项目选址定点；负责统一规划和建设高新区内基础设施和公共设施。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US" w:eastAsia="zh-CN"/>
        </w:rPr>
        <w:t xml:space="preserve"> </w:t>
      </w:r>
      <w:r>
        <w:rPr>
          <w:rFonts w:hint="default" w:ascii="方正仿宋_GBK" w:hAnsi="方正仿宋_GBK" w:eastAsia="方正仿宋_GBK" w:cs="方正仿宋_GBK"/>
          <w:color w:val="auto"/>
          <w:sz w:val="28"/>
          <w:szCs w:val="28"/>
          <w:highlight w:val="none"/>
          <w:lang w:val="en-US" w:eastAsia="zh-CN"/>
        </w:rPr>
        <w:t>负责编制和实施高新区产业发展规划和年度建设计划。负责高新区招商引资和企业服务工作，研究制定招商引资优惠政策并负责监督实施；负责初审入驻企业建设方案。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val="en-US" w:eastAsia="zh-CN"/>
        </w:rPr>
        <w:t xml:space="preserve"> </w:t>
      </w:r>
      <w:r>
        <w:rPr>
          <w:rFonts w:hint="default" w:ascii="方正仿宋_GBK" w:hAnsi="方正仿宋_GBK" w:eastAsia="方正仿宋_GBK" w:cs="方正仿宋_GBK"/>
          <w:color w:val="auto"/>
          <w:sz w:val="28"/>
          <w:szCs w:val="28"/>
          <w:highlight w:val="none"/>
          <w:lang w:val="en-US" w:eastAsia="zh-CN"/>
        </w:rPr>
        <w:t>负责高新区国民经济综合统计、专项统计工作，编制并组织实施高新区经济运行调控目标和措施。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val="en-US" w:eastAsia="zh-CN"/>
        </w:rPr>
        <w:t xml:space="preserve"> </w:t>
      </w:r>
      <w:r>
        <w:rPr>
          <w:rFonts w:hint="default" w:ascii="方正仿宋_GBK" w:hAnsi="方正仿宋_GBK" w:eastAsia="方正仿宋_GBK" w:cs="方正仿宋_GBK"/>
          <w:color w:val="auto"/>
          <w:sz w:val="28"/>
          <w:szCs w:val="28"/>
          <w:highlight w:val="none"/>
          <w:lang w:val="en-US" w:eastAsia="zh-CN"/>
        </w:rPr>
        <w:t>拟订高新区用地计划，协助土地行政主管部门搞好高新区征地拆迁工作；负责实施高新区土地平整工作。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lang w:val="en-US" w:eastAsia="zh-CN"/>
        </w:rPr>
        <w:t xml:space="preserve"> </w:t>
      </w:r>
      <w:r>
        <w:rPr>
          <w:rFonts w:hint="default" w:ascii="方正仿宋_GBK" w:hAnsi="方正仿宋_GBK" w:eastAsia="方正仿宋_GBK" w:cs="方正仿宋_GBK"/>
          <w:color w:val="auto"/>
          <w:sz w:val="28"/>
          <w:szCs w:val="28"/>
          <w:highlight w:val="none"/>
          <w:lang w:val="en-US" w:eastAsia="zh-CN"/>
        </w:rPr>
        <w:t>负责高新区财政预算、财政收支管理和国有资产管理及内部审计，统筹安排财政专项资金；负责高新区建设资金的筹集、使用和偿还。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lang w:val="en-US" w:eastAsia="zh-CN"/>
        </w:rPr>
        <w:t xml:space="preserve"> </w:t>
      </w:r>
      <w:r>
        <w:rPr>
          <w:rFonts w:hint="default" w:ascii="方正仿宋_GBK" w:hAnsi="方正仿宋_GBK" w:eastAsia="方正仿宋_GBK" w:cs="方正仿宋_GBK"/>
          <w:color w:val="auto"/>
          <w:sz w:val="28"/>
          <w:szCs w:val="28"/>
          <w:highlight w:val="none"/>
          <w:lang w:val="en-US" w:eastAsia="zh-CN"/>
        </w:rPr>
        <w:t>负责高新区环境保护和安全生产监督管理工作。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lang w:val="en-US" w:eastAsia="zh-CN"/>
        </w:rPr>
        <w:t xml:space="preserve"> </w:t>
      </w:r>
      <w:r>
        <w:rPr>
          <w:rFonts w:hint="default" w:ascii="方正仿宋_GBK" w:hAnsi="方正仿宋_GBK" w:eastAsia="方正仿宋_GBK" w:cs="方正仿宋_GBK"/>
          <w:color w:val="auto"/>
          <w:sz w:val="28"/>
          <w:szCs w:val="28"/>
          <w:highlight w:val="none"/>
          <w:lang w:val="en-US" w:eastAsia="zh-CN"/>
        </w:rPr>
        <w:t>引导建立中小企业融资体系。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en-US" w:eastAsia="zh-CN"/>
        </w:rPr>
        <w:t xml:space="preserve"> </w:t>
      </w:r>
      <w:r>
        <w:rPr>
          <w:rFonts w:hint="default" w:ascii="方正仿宋_GBK" w:hAnsi="方正仿宋_GBK" w:eastAsia="方正仿宋_GBK" w:cs="方正仿宋_GBK"/>
          <w:color w:val="auto"/>
          <w:sz w:val="28"/>
          <w:szCs w:val="28"/>
          <w:highlight w:val="none"/>
          <w:lang w:val="en-US" w:eastAsia="zh-CN"/>
        </w:rPr>
        <w:t>按规定管理重庆两山建设投资有限公司有关事项。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lang w:val="en-US" w:eastAsia="zh-CN"/>
        </w:rPr>
        <w:t xml:space="preserve"> </w:t>
      </w:r>
      <w:r>
        <w:rPr>
          <w:rFonts w:hint="default" w:ascii="方正仿宋_GBK" w:hAnsi="方正仿宋_GBK" w:eastAsia="方正仿宋_GBK" w:cs="方正仿宋_GBK"/>
          <w:color w:val="auto"/>
          <w:sz w:val="28"/>
          <w:szCs w:val="28"/>
          <w:highlight w:val="none"/>
          <w:lang w:val="en-US" w:eastAsia="zh-CN"/>
        </w:rPr>
        <w:t>承办市政府和区政府交办的其他工作。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sectPr>
          <w:footerReference r:id="rId5" w:type="default"/>
          <w:pgSz w:w="11906" w:h="16838"/>
          <w:pgMar w:top="1588" w:right="1474" w:bottom="1588" w:left="1474"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textAlignment w:val="auto"/>
        <w:outlineLvl w:val="1"/>
        <w:rPr>
          <w:rFonts w:hint="eastAsia" w:ascii="方正楷体_GBK" w:hAnsi="方正楷体_GBK" w:eastAsia="方正楷体_GBK" w:cs="方正楷体_GBK"/>
          <w:color w:val="auto"/>
          <w:sz w:val="28"/>
          <w:szCs w:val="28"/>
          <w:highlight w:val="none"/>
        </w:rPr>
      </w:pPr>
      <w:bookmarkStart w:id="6" w:name="_Toc28233"/>
      <w:bookmarkStart w:id="7" w:name="_Toc32521"/>
      <w:bookmarkStart w:id="8" w:name="_Toc17273"/>
      <w:r>
        <w:rPr>
          <w:rFonts w:hint="eastAsia" w:ascii="方正楷体_GBK" w:hAnsi="方正楷体_GBK" w:eastAsia="方正楷体_GBK" w:cs="方正楷体_GBK"/>
          <w:color w:val="auto"/>
          <w:sz w:val="28"/>
          <w:szCs w:val="28"/>
          <w:highlight w:val="none"/>
          <w:lang w:eastAsia="zh-CN"/>
        </w:rPr>
        <w:t>（</w:t>
      </w:r>
      <w:r>
        <w:rPr>
          <w:rFonts w:hint="eastAsia" w:ascii="方正楷体_GBK" w:hAnsi="方正楷体_GBK" w:eastAsia="方正楷体_GBK" w:cs="方正楷体_GBK"/>
          <w:color w:val="auto"/>
          <w:sz w:val="28"/>
          <w:szCs w:val="28"/>
          <w:highlight w:val="none"/>
          <w:lang w:val="en-US" w:eastAsia="zh-CN"/>
        </w:rPr>
        <w:t>二</w:t>
      </w:r>
      <w:r>
        <w:rPr>
          <w:rFonts w:hint="eastAsia" w:ascii="方正楷体_GBK" w:hAnsi="方正楷体_GBK" w:eastAsia="方正楷体_GBK" w:cs="方正楷体_GBK"/>
          <w:color w:val="auto"/>
          <w:sz w:val="28"/>
          <w:szCs w:val="28"/>
          <w:highlight w:val="none"/>
          <w:lang w:eastAsia="zh-CN"/>
        </w:rPr>
        <w:t>）</w:t>
      </w:r>
      <w:r>
        <w:rPr>
          <w:rFonts w:hint="eastAsia" w:ascii="方正楷体_GBK" w:hAnsi="方正楷体_GBK" w:eastAsia="方正楷体_GBK" w:cs="方正楷体_GBK"/>
          <w:color w:val="auto"/>
          <w:sz w:val="28"/>
          <w:szCs w:val="28"/>
          <w:highlight w:val="none"/>
        </w:rPr>
        <w:t>预算及支出情况</w:t>
      </w:r>
      <w:bookmarkEnd w:id="6"/>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default"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2020年度部门预算总金额为3,694,769,665.82元，包括一般公共预算财政拨款收入34,707,825.81元、政府性基金预算财政拨款收入3,442,138,553.12元、年初结转和结余9,417,232.22元；2020年度部门支出总金额为3,694,769,665.82元，按支出性质和经济分类可分为基本支出19,428,</w:t>
      </w:r>
      <w:bookmarkStart w:id="92" w:name="_GoBack"/>
      <w:bookmarkEnd w:id="92"/>
      <w:r>
        <w:rPr>
          <w:rFonts w:hint="eastAsia" w:ascii="方正仿宋_GBK" w:hAnsi="方正仿宋_GBK" w:eastAsia="方正仿宋_GBK" w:cs="方正仿宋_GBK"/>
          <w:color w:val="auto"/>
          <w:sz w:val="28"/>
          <w:szCs w:val="28"/>
          <w:highlight w:val="none"/>
          <w:lang w:val="en-US" w:eastAsia="zh-CN"/>
        </w:rPr>
        <w:t>501.15元、项目支出3,675,341,164.67元；2020年度部门结转结余5,194,400.00元，详细收入及支出情况见下表。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center"/>
        <w:textAlignment w:val="auto"/>
        <w:outlineLvl w:val="9"/>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财政拨款收支表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outlineLvl w:val="9"/>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 xml:space="preserve">                                                                                                    单位：元</w:t>
      </w:r>
    </w:p>
    <w:tbl>
      <w:tblPr>
        <w:tblStyle w:val="13"/>
        <w:tblW w:w="13678" w:type="dxa"/>
        <w:tblInd w:w="198" w:type="dxa"/>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4"/>
        <w:gridCol w:w="1728"/>
        <w:gridCol w:w="1728"/>
        <w:gridCol w:w="972"/>
        <w:gridCol w:w="1716"/>
        <w:gridCol w:w="1776"/>
        <w:gridCol w:w="1512"/>
        <w:gridCol w:w="1692"/>
        <w:gridCol w:w="1800"/>
      </w:tblGrid>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blHeader/>
        </w:trPr>
        <w:tc>
          <w:tcPr>
            <w:tcW w:w="4210" w:type="dxa"/>
            <w:gridSpan w:val="3"/>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center"/>
              <w:textAlignment w:val="auto"/>
              <w:outlineLvl w:val="9"/>
              <w:rPr>
                <w:rFonts w:hint="eastAsia" w:ascii="方正仿宋_GBK" w:hAnsi="方正仿宋_GBK" w:eastAsia="方正仿宋_GBK" w:cs="方正仿宋_GBK"/>
                <w:b/>
                <w:bCs/>
                <w:sz w:val="21"/>
                <w:szCs w:val="21"/>
                <w:highlight w:val="none"/>
                <w:lang w:val="en-US" w:eastAsia="zh-CN"/>
              </w:rPr>
            </w:pPr>
            <w:r>
              <w:rPr>
                <w:rFonts w:hint="eastAsia" w:ascii="方正仿宋_GBK" w:hAnsi="方正仿宋_GBK" w:eastAsia="方正仿宋_GBK" w:cs="方正仿宋_GBK"/>
                <w:b/>
                <w:bCs/>
                <w:sz w:val="21"/>
                <w:szCs w:val="21"/>
                <w:highlight w:val="none"/>
                <w:lang w:val="en-US" w:eastAsia="zh-CN"/>
              </w:rPr>
              <w:t>收入</w:t>
            </w:r>
          </w:p>
        </w:tc>
        <w:tc>
          <w:tcPr>
            <w:tcW w:w="9468" w:type="dxa"/>
            <w:gridSpan w:val="6"/>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center"/>
              <w:textAlignment w:val="auto"/>
              <w:outlineLvl w:val="9"/>
              <w:rPr>
                <w:rFonts w:hint="eastAsia" w:ascii="方正仿宋_GBK" w:hAnsi="方正仿宋_GBK" w:eastAsia="方正仿宋_GBK" w:cs="方正仿宋_GBK"/>
                <w:b/>
                <w:bCs/>
                <w:sz w:val="21"/>
                <w:szCs w:val="21"/>
                <w:highlight w:val="none"/>
                <w:lang w:val="en-US" w:eastAsia="zh-CN"/>
              </w:rPr>
            </w:pPr>
            <w:r>
              <w:rPr>
                <w:rFonts w:hint="eastAsia" w:ascii="方正仿宋_GBK" w:hAnsi="方正仿宋_GBK" w:eastAsia="方正仿宋_GBK" w:cs="方正仿宋_GBK"/>
                <w:b/>
                <w:bCs/>
                <w:sz w:val="21"/>
                <w:szCs w:val="21"/>
                <w:highlight w:val="none"/>
                <w:lang w:val="en-US" w:eastAsia="zh-CN"/>
              </w:rPr>
              <w:t>支出</w:t>
            </w: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b/>
                <w:bCs/>
                <w:sz w:val="21"/>
                <w:szCs w:val="21"/>
                <w:highlight w:val="none"/>
                <w:lang w:val="en-US" w:eastAsia="zh-CN"/>
              </w:rPr>
            </w:pPr>
            <w:r>
              <w:rPr>
                <w:rFonts w:hint="eastAsia" w:ascii="方正仿宋_GBK" w:hAnsi="方正仿宋_GBK" w:eastAsia="方正仿宋_GBK" w:cs="方正仿宋_GBK"/>
                <w:b/>
                <w:bCs/>
                <w:sz w:val="21"/>
                <w:szCs w:val="21"/>
                <w:highlight w:val="none"/>
                <w:lang w:val="en-US" w:eastAsia="zh-CN"/>
              </w:rPr>
              <w:t>项目</w:t>
            </w: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b/>
                <w:bCs/>
                <w:sz w:val="21"/>
                <w:szCs w:val="21"/>
                <w:highlight w:val="none"/>
                <w:lang w:val="en-US" w:eastAsia="zh-CN"/>
              </w:rPr>
            </w:pPr>
            <w:r>
              <w:rPr>
                <w:rFonts w:hint="eastAsia" w:ascii="方正仿宋_GBK" w:hAnsi="方正仿宋_GBK" w:eastAsia="方正仿宋_GBK" w:cs="方正仿宋_GBK"/>
                <w:b/>
                <w:bCs/>
                <w:sz w:val="21"/>
                <w:szCs w:val="21"/>
                <w:highlight w:val="none"/>
                <w:lang w:val="en-US" w:eastAsia="zh-CN"/>
              </w:rPr>
              <w:t>调整预算数</w:t>
            </w: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仿宋_GBK" w:hAnsi="方正仿宋_GBK" w:eastAsia="方正仿宋_GBK" w:cs="方正仿宋_GBK"/>
                <w:b/>
                <w:bCs/>
                <w:sz w:val="21"/>
                <w:szCs w:val="21"/>
                <w:highlight w:val="none"/>
                <w:lang w:val="en-US" w:eastAsia="zh-CN"/>
              </w:rPr>
            </w:pPr>
            <w:r>
              <w:rPr>
                <w:rFonts w:hint="eastAsia" w:ascii="方正仿宋_GBK" w:hAnsi="方正仿宋_GBK" w:eastAsia="方正仿宋_GBK" w:cs="方正仿宋_GBK"/>
                <w:b/>
                <w:bCs/>
                <w:sz w:val="21"/>
                <w:szCs w:val="21"/>
                <w:highlight w:val="none"/>
                <w:lang w:val="en-US" w:eastAsia="zh-CN"/>
              </w:rPr>
              <w:t>决算数</w:t>
            </w:r>
          </w:p>
        </w:tc>
        <w:tc>
          <w:tcPr>
            <w:tcW w:w="97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b/>
                <w:bCs/>
                <w:sz w:val="21"/>
                <w:szCs w:val="21"/>
                <w:highlight w:val="none"/>
                <w:lang w:val="en-US" w:eastAsia="zh-CN"/>
              </w:rPr>
            </w:pPr>
            <w:r>
              <w:rPr>
                <w:rFonts w:hint="eastAsia" w:ascii="方正仿宋_GBK" w:hAnsi="方正仿宋_GBK" w:eastAsia="方正仿宋_GBK" w:cs="方正仿宋_GBK"/>
                <w:b/>
                <w:bCs/>
                <w:sz w:val="21"/>
                <w:szCs w:val="21"/>
                <w:highlight w:val="none"/>
                <w:lang w:val="en-US" w:eastAsia="zh-CN"/>
              </w:rPr>
              <w:t>项目(按功能分类)</w:t>
            </w:r>
          </w:p>
        </w:tc>
        <w:tc>
          <w:tcPr>
            <w:tcW w:w="1716"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b/>
                <w:bCs/>
                <w:sz w:val="21"/>
                <w:szCs w:val="21"/>
                <w:highlight w:val="none"/>
                <w:lang w:val="en-US" w:eastAsia="zh-CN"/>
              </w:rPr>
            </w:pPr>
            <w:r>
              <w:rPr>
                <w:rFonts w:hint="eastAsia" w:ascii="方正仿宋_GBK" w:hAnsi="方正仿宋_GBK" w:eastAsia="方正仿宋_GBK" w:cs="方正仿宋_GBK"/>
                <w:b/>
                <w:bCs/>
                <w:sz w:val="21"/>
                <w:szCs w:val="21"/>
                <w:highlight w:val="none"/>
                <w:lang w:val="en-US" w:eastAsia="zh-CN"/>
              </w:rPr>
              <w:t>调整预算数</w:t>
            </w:r>
          </w:p>
        </w:tc>
        <w:tc>
          <w:tcPr>
            <w:tcW w:w="1776"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仿宋_GBK" w:hAnsi="方正仿宋_GBK" w:eastAsia="方正仿宋_GBK" w:cs="方正仿宋_GBK"/>
                <w:b/>
                <w:bCs/>
                <w:sz w:val="21"/>
                <w:szCs w:val="21"/>
                <w:highlight w:val="none"/>
                <w:lang w:val="en-US" w:eastAsia="zh-CN"/>
              </w:rPr>
            </w:pPr>
            <w:r>
              <w:rPr>
                <w:rFonts w:hint="eastAsia" w:ascii="方正仿宋_GBK" w:hAnsi="方正仿宋_GBK" w:eastAsia="方正仿宋_GBK" w:cs="方正仿宋_GBK"/>
                <w:b/>
                <w:bCs/>
                <w:sz w:val="21"/>
                <w:szCs w:val="21"/>
                <w:highlight w:val="none"/>
                <w:lang w:val="en-US" w:eastAsia="zh-CN"/>
              </w:rPr>
              <w:t>决算数</w:t>
            </w:r>
          </w:p>
        </w:tc>
        <w:tc>
          <w:tcPr>
            <w:tcW w:w="151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b/>
                <w:bCs/>
                <w:sz w:val="21"/>
                <w:szCs w:val="21"/>
                <w:highlight w:val="none"/>
                <w:lang w:val="en-US" w:eastAsia="zh-CN"/>
              </w:rPr>
            </w:pPr>
            <w:r>
              <w:rPr>
                <w:rFonts w:hint="eastAsia" w:ascii="方正仿宋_GBK" w:hAnsi="方正仿宋_GBK" w:eastAsia="方正仿宋_GBK" w:cs="方正仿宋_GBK"/>
                <w:b/>
                <w:bCs/>
                <w:sz w:val="21"/>
                <w:szCs w:val="21"/>
                <w:highlight w:val="none"/>
                <w:lang w:val="en-US" w:eastAsia="zh-CN"/>
              </w:rPr>
              <w:t>项目(按支出性质和经济分类)</w:t>
            </w:r>
          </w:p>
        </w:tc>
        <w:tc>
          <w:tcPr>
            <w:tcW w:w="169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b/>
                <w:bCs/>
                <w:sz w:val="21"/>
                <w:szCs w:val="21"/>
                <w:highlight w:val="none"/>
                <w:lang w:val="en-US" w:eastAsia="zh-CN"/>
              </w:rPr>
            </w:pPr>
            <w:r>
              <w:rPr>
                <w:rFonts w:hint="eastAsia" w:ascii="方正仿宋_GBK" w:hAnsi="方正仿宋_GBK" w:eastAsia="方正仿宋_GBK" w:cs="方正仿宋_GBK"/>
                <w:b/>
                <w:bCs/>
                <w:sz w:val="21"/>
                <w:szCs w:val="21"/>
                <w:highlight w:val="none"/>
                <w:lang w:val="en-US" w:eastAsia="zh-CN"/>
              </w:rPr>
              <w:t>调整预算数</w:t>
            </w:r>
          </w:p>
        </w:tc>
        <w:tc>
          <w:tcPr>
            <w:tcW w:w="1800"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b/>
                <w:bCs/>
                <w:sz w:val="21"/>
                <w:szCs w:val="21"/>
                <w:highlight w:val="none"/>
                <w:lang w:val="en-US" w:eastAsia="zh-CN"/>
              </w:rPr>
            </w:pPr>
            <w:r>
              <w:rPr>
                <w:rFonts w:hint="eastAsia" w:ascii="方正仿宋_GBK" w:hAnsi="方正仿宋_GBK" w:eastAsia="方正仿宋_GBK" w:cs="方正仿宋_GBK"/>
                <w:b/>
                <w:bCs/>
                <w:sz w:val="21"/>
                <w:szCs w:val="21"/>
                <w:highlight w:val="none"/>
                <w:lang w:val="en-US" w:eastAsia="zh-CN"/>
              </w:rPr>
              <w:t>决算数</w:t>
            </w: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一、一般公共预算财政拨款收入</w:t>
            </w: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243,213,880.48</w:t>
            </w: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243,213,880.48</w:t>
            </w:r>
          </w:p>
        </w:tc>
        <w:tc>
          <w:tcPr>
            <w:tcW w:w="97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一、一般公共服务支出</w:t>
            </w:r>
          </w:p>
        </w:tc>
        <w:tc>
          <w:tcPr>
            <w:tcW w:w="1716"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15,933,457.66</w:t>
            </w:r>
          </w:p>
        </w:tc>
        <w:tc>
          <w:tcPr>
            <w:tcW w:w="1776"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15,933,457.66</w:t>
            </w:r>
          </w:p>
        </w:tc>
        <w:tc>
          <w:tcPr>
            <w:tcW w:w="151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一、基本支出</w:t>
            </w:r>
          </w:p>
        </w:tc>
        <w:tc>
          <w:tcPr>
            <w:tcW w:w="169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19,428,501.15</w:t>
            </w:r>
          </w:p>
        </w:tc>
        <w:tc>
          <w:tcPr>
            <w:tcW w:w="1800"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19,428,501.15</w:t>
            </w: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二、政府性基金预算财政拨款收入</w:t>
            </w: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3,442,138,553.12</w:t>
            </w: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3,442,138,553.12</w:t>
            </w:r>
          </w:p>
        </w:tc>
        <w:tc>
          <w:tcPr>
            <w:tcW w:w="97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二、外交支出</w:t>
            </w:r>
          </w:p>
        </w:tc>
        <w:tc>
          <w:tcPr>
            <w:tcW w:w="1716"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c>
          <w:tcPr>
            <w:tcW w:w="1776"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c>
          <w:tcPr>
            <w:tcW w:w="151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人员经费</w:t>
            </w:r>
          </w:p>
        </w:tc>
        <w:tc>
          <w:tcPr>
            <w:tcW w:w="169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13,577,527.88</w:t>
            </w:r>
          </w:p>
        </w:tc>
        <w:tc>
          <w:tcPr>
            <w:tcW w:w="1800"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13,577,527.88</w:t>
            </w: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三、国有资本经营预算财政拨款收入</w:t>
            </w: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9,417,232.22</w:t>
            </w: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c>
          <w:tcPr>
            <w:tcW w:w="97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三、国防支出</w:t>
            </w:r>
          </w:p>
        </w:tc>
        <w:tc>
          <w:tcPr>
            <w:tcW w:w="1716"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c>
          <w:tcPr>
            <w:tcW w:w="1776"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c>
          <w:tcPr>
            <w:tcW w:w="151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公用经费</w:t>
            </w:r>
          </w:p>
        </w:tc>
        <w:tc>
          <w:tcPr>
            <w:tcW w:w="169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5,850,973.27</w:t>
            </w:r>
          </w:p>
        </w:tc>
        <w:tc>
          <w:tcPr>
            <w:tcW w:w="1800"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5,850,973.27</w:t>
            </w: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四、上级补助收入</w:t>
            </w: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3,694,769,665.82</w:t>
            </w: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c>
          <w:tcPr>
            <w:tcW w:w="97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四、公共安全支出</w:t>
            </w:r>
          </w:p>
        </w:tc>
        <w:tc>
          <w:tcPr>
            <w:tcW w:w="1716"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c>
          <w:tcPr>
            <w:tcW w:w="1776"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c>
          <w:tcPr>
            <w:tcW w:w="151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二、项目支出</w:t>
            </w:r>
          </w:p>
        </w:tc>
        <w:tc>
          <w:tcPr>
            <w:tcW w:w="169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3,675,341,164.67</w:t>
            </w:r>
          </w:p>
        </w:tc>
        <w:tc>
          <w:tcPr>
            <w:tcW w:w="1800"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3,670,146,764.67</w:t>
            </w: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五、事业收入</w:t>
            </w: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3,694,769,665.82</w:t>
            </w: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c>
          <w:tcPr>
            <w:tcW w:w="97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五、教育支出</w:t>
            </w:r>
          </w:p>
        </w:tc>
        <w:tc>
          <w:tcPr>
            <w:tcW w:w="1716"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c>
          <w:tcPr>
            <w:tcW w:w="1776"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c>
          <w:tcPr>
            <w:tcW w:w="151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其中：基本建设类项目</w:t>
            </w:r>
          </w:p>
        </w:tc>
        <w:tc>
          <w:tcPr>
            <w:tcW w:w="169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c>
          <w:tcPr>
            <w:tcW w:w="1800"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六、经营收入</w:t>
            </w: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c>
          <w:tcPr>
            <w:tcW w:w="97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六、科学技术支出</w:t>
            </w:r>
          </w:p>
        </w:tc>
        <w:tc>
          <w:tcPr>
            <w:tcW w:w="1716"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8,235,392.88</w:t>
            </w:r>
          </w:p>
        </w:tc>
        <w:tc>
          <w:tcPr>
            <w:tcW w:w="1776"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8,235,392.88</w:t>
            </w:r>
          </w:p>
        </w:tc>
        <w:tc>
          <w:tcPr>
            <w:tcW w:w="151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三、上缴上级支出</w:t>
            </w:r>
          </w:p>
        </w:tc>
        <w:tc>
          <w:tcPr>
            <w:tcW w:w="169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c>
          <w:tcPr>
            <w:tcW w:w="1800"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七、附属单位上缴收入</w:t>
            </w: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c>
          <w:tcPr>
            <w:tcW w:w="97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七、文化旅游体育与传媒支出</w:t>
            </w:r>
          </w:p>
        </w:tc>
        <w:tc>
          <w:tcPr>
            <w:tcW w:w="1716"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c>
          <w:tcPr>
            <w:tcW w:w="1776"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c>
          <w:tcPr>
            <w:tcW w:w="151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四、经营支出</w:t>
            </w:r>
          </w:p>
        </w:tc>
        <w:tc>
          <w:tcPr>
            <w:tcW w:w="169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c>
          <w:tcPr>
            <w:tcW w:w="1800"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八、其他收入</w:t>
            </w: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c>
          <w:tcPr>
            <w:tcW w:w="97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八、社会保障和就业支出</w:t>
            </w:r>
          </w:p>
        </w:tc>
        <w:tc>
          <w:tcPr>
            <w:tcW w:w="1716"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1,587,922.87</w:t>
            </w:r>
          </w:p>
        </w:tc>
        <w:tc>
          <w:tcPr>
            <w:tcW w:w="1776"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1,587,922.87</w:t>
            </w:r>
          </w:p>
        </w:tc>
        <w:tc>
          <w:tcPr>
            <w:tcW w:w="151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五、对附属单位补助支出</w:t>
            </w:r>
          </w:p>
        </w:tc>
        <w:tc>
          <w:tcPr>
            <w:tcW w:w="169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c>
          <w:tcPr>
            <w:tcW w:w="1800"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方正仿宋_GBK" w:hAnsi="方正仿宋_GBK" w:eastAsia="方正仿宋_GBK" w:cs="方正仿宋_GBK"/>
                <w:sz w:val="21"/>
                <w:szCs w:val="21"/>
                <w:highlight w:val="none"/>
                <w:lang w:val="en-US" w:eastAsia="zh-CN"/>
              </w:rPr>
            </w:pP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97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九、卫生健康支出</w:t>
            </w:r>
          </w:p>
        </w:tc>
        <w:tc>
          <w:tcPr>
            <w:tcW w:w="171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874,497.62</w:t>
            </w:r>
          </w:p>
        </w:tc>
        <w:tc>
          <w:tcPr>
            <w:tcW w:w="177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874,497.62</w:t>
            </w:r>
          </w:p>
        </w:tc>
        <w:tc>
          <w:tcPr>
            <w:tcW w:w="1512"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692"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800"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97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十、节能环保支出</w:t>
            </w:r>
          </w:p>
        </w:tc>
        <w:tc>
          <w:tcPr>
            <w:tcW w:w="171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5,194,400.00</w:t>
            </w:r>
          </w:p>
        </w:tc>
        <w:tc>
          <w:tcPr>
            <w:tcW w:w="177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512"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692"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800"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97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十一、城乡社区支出</w:t>
            </w:r>
          </w:p>
        </w:tc>
        <w:tc>
          <w:tcPr>
            <w:tcW w:w="171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3,634,813,421.79</w:t>
            </w:r>
          </w:p>
        </w:tc>
        <w:tc>
          <w:tcPr>
            <w:tcW w:w="177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3,634,813,421.79</w:t>
            </w:r>
          </w:p>
        </w:tc>
        <w:tc>
          <w:tcPr>
            <w:tcW w:w="151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经济分类支出合计</w:t>
            </w:r>
          </w:p>
        </w:tc>
        <w:tc>
          <w:tcPr>
            <w:tcW w:w="1692"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w:t>
            </w:r>
          </w:p>
        </w:tc>
        <w:tc>
          <w:tcPr>
            <w:tcW w:w="1800"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3,689,575,265.82</w:t>
            </w: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97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十二、农林水支出</w:t>
            </w:r>
          </w:p>
        </w:tc>
        <w:tc>
          <w:tcPr>
            <w:tcW w:w="171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7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51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一、工资福利支出</w:t>
            </w:r>
          </w:p>
        </w:tc>
        <w:tc>
          <w:tcPr>
            <w:tcW w:w="1692"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w:t>
            </w:r>
          </w:p>
        </w:tc>
        <w:tc>
          <w:tcPr>
            <w:tcW w:w="1800"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13,569,027.88</w:t>
            </w: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97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十三、交通运输支出</w:t>
            </w:r>
          </w:p>
        </w:tc>
        <w:tc>
          <w:tcPr>
            <w:tcW w:w="171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7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51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二、商品和服务支出</w:t>
            </w:r>
          </w:p>
        </w:tc>
        <w:tc>
          <w:tcPr>
            <w:tcW w:w="1692"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w:t>
            </w:r>
          </w:p>
        </w:tc>
        <w:tc>
          <w:tcPr>
            <w:tcW w:w="1800"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17,403,186.83</w:t>
            </w: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97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十四、资源勘探工业信息等支出</w:t>
            </w:r>
          </w:p>
        </w:tc>
        <w:tc>
          <w:tcPr>
            <w:tcW w:w="171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7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51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三、对个人和家庭的补助</w:t>
            </w:r>
          </w:p>
        </w:tc>
        <w:tc>
          <w:tcPr>
            <w:tcW w:w="1692"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w:t>
            </w:r>
          </w:p>
        </w:tc>
        <w:tc>
          <w:tcPr>
            <w:tcW w:w="1800"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8,500.00</w:t>
            </w: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97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十五、商业服务业等支出</w:t>
            </w:r>
          </w:p>
        </w:tc>
        <w:tc>
          <w:tcPr>
            <w:tcW w:w="171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7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51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四、债务利息及费用支出</w:t>
            </w:r>
          </w:p>
        </w:tc>
        <w:tc>
          <w:tcPr>
            <w:tcW w:w="1692"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w:t>
            </w:r>
          </w:p>
        </w:tc>
        <w:tc>
          <w:tcPr>
            <w:tcW w:w="1800"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97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十六、金融支出</w:t>
            </w:r>
          </w:p>
        </w:tc>
        <w:tc>
          <w:tcPr>
            <w:tcW w:w="171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7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51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五、资本性支出（基本建设）</w:t>
            </w:r>
          </w:p>
        </w:tc>
        <w:tc>
          <w:tcPr>
            <w:tcW w:w="1692"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w:t>
            </w:r>
          </w:p>
        </w:tc>
        <w:tc>
          <w:tcPr>
            <w:tcW w:w="1800"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97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十七、援助其他地区支出</w:t>
            </w:r>
          </w:p>
        </w:tc>
        <w:tc>
          <w:tcPr>
            <w:tcW w:w="171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7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51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六、资本性支出</w:t>
            </w:r>
          </w:p>
        </w:tc>
        <w:tc>
          <w:tcPr>
            <w:tcW w:w="1692"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w:t>
            </w:r>
          </w:p>
        </w:tc>
        <w:tc>
          <w:tcPr>
            <w:tcW w:w="1800"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3,004,097,230.24</w:t>
            </w: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97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十八、自然资源海洋气象等支出</w:t>
            </w:r>
          </w:p>
        </w:tc>
        <w:tc>
          <w:tcPr>
            <w:tcW w:w="171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7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51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七、对企业补助（基本建设）</w:t>
            </w:r>
          </w:p>
        </w:tc>
        <w:tc>
          <w:tcPr>
            <w:tcW w:w="1692"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w:t>
            </w:r>
          </w:p>
        </w:tc>
        <w:tc>
          <w:tcPr>
            <w:tcW w:w="1800"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97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十九、住房保障支出</w:t>
            </w:r>
          </w:p>
        </w:tc>
        <w:tc>
          <w:tcPr>
            <w:tcW w:w="171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28,130,573.00</w:t>
            </w:r>
          </w:p>
        </w:tc>
        <w:tc>
          <w:tcPr>
            <w:tcW w:w="177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28,130,573.00</w:t>
            </w:r>
          </w:p>
        </w:tc>
        <w:tc>
          <w:tcPr>
            <w:tcW w:w="151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八、对企业补助</w:t>
            </w:r>
          </w:p>
        </w:tc>
        <w:tc>
          <w:tcPr>
            <w:tcW w:w="1692"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w:t>
            </w:r>
          </w:p>
        </w:tc>
        <w:tc>
          <w:tcPr>
            <w:tcW w:w="1800"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654,497,320.87</w:t>
            </w: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97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二十、粮油物资储备支出</w:t>
            </w:r>
          </w:p>
        </w:tc>
        <w:tc>
          <w:tcPr>
            <w:tcW w:w="171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7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51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九、对社会保障基金补助</w:t>
            </w:r>
          </w:p>
        </w:tc>
        <w:tc>
          <w:tcPr>
            <w:tcW w:w="1692"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w:t>
            </w:r>
          </w:p>
        </w:tc>
        <w:tc>
          <w:tcPr>
            <w:tcW w:w="1800"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97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二十一、国有资本经营预算支出</w:t>
            </w:r>
          </w:p>
        </w:tc>
        <w:tc>
          <w:tcPr>
            <w:tcW w:w="171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7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51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十、其他支出</w:t>
            </w:r>
          </w:p>
        </w:tc>
        <w:tc>
          <w:tcPr>
            <w:tcW w:w="1692"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w:t>
            </w:r>
          </w:p>
        </w:tc>
        <w:tc>
          <w:tcPr>
            <w:tcW w:w="1800"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97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二十二、灾害防治及应急管理支出</w:t>
            </w:r>
          </w:p>
        </w:tc>
        <w:tc>
          <w:tcPr>
            <w:tcW w:w="171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7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512"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692"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800"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97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二十三、其他支出</w:t>
            </w:r>
          </w:p>
        </w:tc>
        <w:tc>
          <w:tcPr>
            <w:tcW w:w="171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7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512"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692"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800"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97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二十四、债务还本支出</w:t>
            </w:r>
          </w:p>
        </w:tc>
        <w:tc>
          <w:tcPr>
            <w:tcW w:w="171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7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512"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692"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800"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97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二十五、债务付息支出</w:t>
            </w:r>
          </w:p>
        </w:tc>
        <w:tc>
          <w:tcPr>
            <w:tcW w:w="171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7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512"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692"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800"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972"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二十六、抗疫特别国债安排的支出</w:t>
            </w:r>
          </w:p>
        </w:tc>
        <w:tc>
          <w:tcPr>
            <w:tcW w:w="171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776"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512" w:type="dxa"/>
            <w:tcBorders>
              <w:tl2br w:val="nil"/>
              <w:tr2bl w:val="nil"/>
            </w:tcBorders>
            <w:shd w:val="clear" w:color="auto" w:fill="auto"/>
            <w:vAlign w:val="center"/>
          </w:tcPr>
          <w:p>
            <w:pPr>
              <w:spacing w:line="240" w:lineRule="auto"/>
              <w:jc w:val="left"/>
              <w:rPr>
                <w:rFonts w:hint="eastAsia" w:ascii="方正仿宋_GBK" w:hAnsi="方正仿宋_GBK" w:eastAsia="方正仿宋_GBK" w:cs="方正仿宋_GBK"/>
                <w:kern w:val="2"/>
                <w:sz w:val="21"/>
                <w:szCs w:val="21"/>
                <w:highlight w:val="none"/>
                <w:lang w:val="en-US" w:eastAsia="zh-CN" w:bidi="ar-SA"/>
              </w:rPr>
            </w:pPr>
          </w:p>
        </w:tc>
        <w:tc>
          <w:tcPr>
            <w:tcW w:w="1692"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c>
          <w:tcPr>
            <w:tcW w:w="1800" w:type="dxa"/>
            <w:tcBorders>
              <w:tl2br w:val="nil"/>
              <w:tr2bl w:val="nil"/>
            </w:tcBorders>
            <w:shd w:val="clear" w:color="auto" w:fill="auto"/>
            <w:vAlign w:val="center"/>
          </w:tcPr>
          <w:p>
            <w:pPr>
              <w:spacing w:line="240" w:lineRule="auto"/>
              <w:jc w:val="center"/>
              <w:rPr>
                <w:rFonts w:hint="eastAsia" w:ascii="方正仿宋_GBK" w:hAnsi="方正仿宋_GBK" w:eastAsia="方正仿宋_GBK" w:cs="方正仿宋_GBK"/>
                <w:kern w:val="2"/>
                <w:sz w:val="21"/>
                <w:szCs w:val="21"/>
                <w:highlight w:val="none"/>
                <w:lang w:val="en-US" w:eastAsia="zh-CN" w:bidi="ar-SA"/>
              </w:rPr>
            </w:pP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b/>
                <w:bCs/>
                <w:kern w:val="2"/>
                <w:sz w:val="21"/>
                <w:szCs w:val="21"/>
                <w:highlight w:val="none"/>
                <w:lang w:val="en-US" w:eastAsia="zh-CN" w:bidi="ar-SA"/>
              </w:rPr>
              <w:t>本年收入合计</w:t>
            </w: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3,685,352,433.60</w:t>
            </w: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b/>
                <w:bCs/>
                <w:kern w:val="2"/>
                <w:sz w:val="21"/>
                <w:szCs w:val="21"/>
                <w:highlight w:val="none"/>
                <w:lang w:val="en-US" w:eastAsia="zh-CN" w:bidi="ar-SA"/>
              </w:rPr>
            </w:pPr>
            <w:r>
              <w:rPr>
                <w:rFonts w:hint="eastAsia" w:ascii="方正仿宋_GBK" w:hAnsi="方正仿宋_GBK" w:eastAsia="方正仿宋_GBK" w:cs="方正仿宋_GBK"/>
                <w:b/>
                <w:bCs/>
                <w:kern w:val="2"/>
                <w:sz w:val="21"/>
                <w:szCs w:val="21"/>
                <w:highlight w:val="none"/>
                <w:lang w:val="en-US" w:eastAsia="zh-CN" w:bidi="ar-SA"/>
              </w:rPr>
              <w:t>3,685,352,433.60</w:t>
            </w:r>
          </w:p>
        </w:tc>
        <w:tc>
          <w:tcPr>
            <w:tcW w:w="5976" w:type="dxa"/>
            <w:gridSpan w:val="4"/>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b/>
                <w:bCs/>
                <w:kern w:val="2"/>
                <w:sz w:val="21"/>
                <w:szCs w:val="21"/>
                <w:highlight w:val="none"/>
                <w:lang w:val="en-US" w:eastAsia="zh-CN" w:bidi="ar-SA"/>
              </w:rPr>
            </w:pPr>
            <w:r>
              <w:rPr>
                <w:rFonts w:hint="eastAsia" w:ascii="方正仿宋_GBK" w:hAnsi="方正仿宋_GBK" w:eastAsia="方正仿宋_GBK" w:cs="方正仿宋_GBK"/>
                <w:b/>
                <w:bCs/>
                <w:kern w:val="2"/>
                <w:sz w:val="21"/>
                <w:szCs w:val="21"/>
                <w:highlight w:val="none"/>
                <w:lang w:val="en-US" w:eastAsia="zh-CN" w:bidi="ar-SA"/>
              </w:rPr>
              <w:t>本年支出合计</w:t>
            </w:r>
          </w:p>
        </w:tc>
        <w:tc>
          <w:tcPr>
            <w:tcW w:w="169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3,694,769,665.82</w:t>
            </w:r>
          </w:p>
        </w:tc>
        <w:tc>
          <w:tcPr>
            <w:tcW w:w="1800"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b/>
                <w:bCs/>
                <w:kern w:val="2"/>
                <w:sz w:val="21"/>
                <w:szCs w:val="21"/>
                <w:highlight w:val="none"/>
                <w:lang w:val="en-US" w:eastAsia="zh-CN" w:bidi="ar-SA"/>
              </w:rPr>
              <w:t>3,689,575,265.82</w:t>
            </w: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b/>
                <w:bCs/>
                <w:kern w:val="2"/>
                <w:sz w:val="21"/>
                <w:szCs w:val="21"/>
                <w:highlight w:val="none"/>
                <w:lang w:val="en-US" w:eastAsia="zh-CN" w:bidi="ar-SA"/>
              </w:rPr>
            </w:pPr>
            <w:r>
              <w:rPr>
                <w:rFonts w:hint="eastAsia" w:ascii="方正仿宋_GBK" w:hAnsi="方正仿宋_GBK" w:eastAsia="方正仿宋_GBK" w:cs="方正仿宋_GBK"/>
                <w:b/>
                <w:bCs/>
                <w:kern w:val="2"/>
                <w:sz w:val="21"/>
                <w:szCs w:val="21"/>
                <w:highlight w:val="none"/>
                <w:lang w:val="en-US" w:eastAsia="zh-CN" w:bidi="ar-SA"/>
              </w:rPr>
              <w:t>使用非财政拨款结余</w:t>
            </w: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kern w:val="2"/>
                <w:sz w:val="21"/>
                <w:szCs w:val="21"/>
                <w:highlight w:val="none"/>
                <w:lang w:val="en-US" w:eastAsia="zh-CN" w:bidi="ar-SA"/>
              </w:rPr>
            </w:pP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kern w:val="2"/>
                <w:sz w:val="21"/>
                <w:szCs w:val="21"/>
                <w:highlight w:val="none"/>
                <w:lang w:val="en-US" w:eastAsia="zh-CN" w:bidi="ar-SA"/>
              </w:rPr>
            </w:pPr>
          </w:p>
        </w:tc>
        <w:tc>
          <w:tcPr>
            <w:tcW w:w="5976" w:type="dxa"/>
            <w:gridSpan w:val="4"/>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b/>
                <w:bCs/>
                <w:kern w:val="2"/>
                <w:sz w:val="21"/>
                <w:szCs w:val="21"/>
                <w:highlight w:val="none"/>
                <w:lang w:val="en-US" w:eastAsia="zh-CN" w:bidi="ar-SA"/>
              </w:rPr>
            </w:pPr>
            <w:r>
              <w:rPr>
                <w:rFonts w:hint="eastAsia" w:ascii="方正仿宋_GBK" w:hAnsi="方正仿宋_GBK" w:eastAsia="方正仿宋_GBK" w:cs="方正仿宋_GBK"/>
                <w:b/>
                <w:bCs/>
                <w:kern w:val="2"/>
                <w:sz w:val="21"/>
                <w:szCs w:val="21"/>
                <w:highlight w:val="none"/>
                <w:lang w:val="en-US" w:eastAsia="zh-CN" w:bidi="ar-SA"/>
              </w:rPr>
              <w:t>结余分配</w:t>
            </w:r>
          </w:p>
        </w:tc>
        <w:tc>
          <w:tcPr>
            <w:tcW w:w="169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w:t>
            </w:r>
          </w:p>
        </w:tc>
        <w:tc>
          <w:tcPr>
            <w:tcW w:w="1800"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kern w:val="2"/>
                <w:sz w:val="21"/>
                <w:szCs w:val="21"/>
                <w:highlight w:val="none"/>
                <w:lang w:val="en-US" w:eastAsia="zh-CN" w:bidi="ar-SA"/>
              </w:rPr>
            </w:pP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b/>
                <w:bCs/>
                <w:kern w:val="2"/>
                <w:sz w:val="21"/>
                <w:szCs w:val="21"/>
                <w:highlight w:val="none"/>
                <w:lang w:val="en-US" w:eastAsia="zh-CN" w:bidi="ar-SA"/>
              </w:rPr>
            </w:pPr>
            <w:r>
              <w:rPr>
                <w:rFonts w:hint="eastAsia" w:ascii="方正仿宋_GBK" w:hAnsi="方正仿宋_GBK" w:eastAsia="方正仿宋_GBK" w:cs="方正仿宋_GBK"/>
                <w:b/>
                <w:bCs/>
                <w:kern w:val="2"/>
                <w:sz w:val="21"/>
                <w:szCs w:val="21"/>
                <w:highlight w:val="none"/>
                <w:lang w:val="en-US" w:eastAsia="zh-CN" w:bidi="ar-SA"/>
              </w:rPr>
              <w:t>年初结转和结余</w:t>
            </w: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9,417,232.22</w:t>
            </w: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9,417,232.22</w:t>
            </w:r>
          </w:p>
        </w:tc>
        <w:tc>
          <w:tcPr>
            <w:tcW w:w="5976" w:type="dxa"/>
            <w:gridSpan w:val="4"/>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b/>
                <w:bCs/>
                <w:kern w:val="2"/>
                <w:sz w:val="21"/>
                <w:szCs w:val="21"/>
                <w:highlight w:val="none"/>
                <w:lang w:val="en-US" w:eastAsia="zh-CN" w:bidi="ar-SA"/>
              </w:rPr>
            </w:pPr>
            <w:r>
              <w:rPr>
                <w:rFonts w:hint="eastAsia" w:ascii="方正仿宋_GBK" w:hAnsi="方正仿宋_GBK" w:eastAsia="方正仿宋_GBK" w:cs="方正仿宋_GBK"/>
                <w:b/>
                <w:bCs/>
                <w:kern w:val="2"/>
                <w:sz w:val="21"/>
                <w:szCs w:val="21"/>
                <w:highlight w:val="none"/>
                <w:lang w:val="en-US" w:eastAsia="zh-CN" w:bidi="ar-SA"/>
              </w:rPr>
              <w:t>年末结转和结余</w:t>
            </w:r>
          </w:p>
        </w:tc>
        <w:tc>
          <w:tcPr>
            <w:tcW w:w="169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kern w:val="2"/>
                <w:sz w:val="21"/>
                <w:szCs w:val="21"/>
                <w:highlight w:val="none"/>
                <w:lang w:val="en-US" w:eastAsia="zh-CN" w:bidi="ar-SA"/>
              </w:rPr>
            </w:pPr>
          </w:p>
        </w:tc>
        <w:tc>
          <w:tcPr>
            <w:tcW w:w="1800"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5,194,400.00</w:t>
            </w:r>
          </w:p>
        </w:tc>
      </w:tr>
      <w:tr>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0" w:hRule="atLeast"/>
        </w:trPr>
        <w:tc>
          <w:tcPr>
            <w:tcW w:w="75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b/>
                <w:bCs/>
                <w:kern w:val="2"/>
                <w:sz w:val="21"/>
                <w:szCs w:val="21"/>
                <w:highlight w:val="none"/>
                <w:lang w:val="en-US" w:eastAsia="zh-CN" w:bidi="ar-SA"/>
              </w:rPr>
              <w:t>总计</w:t>
            </w: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b/>
                <w:bCs/>
                <w:kern w:val="2"/>
                <w:sz w:val="21"/>
                <w:szCs w:val="21"/>
                <w:highlight w:val="none"/>
                <w:lang w:val="en-US" w:eastAsia="zh-CN" w:bidi="ar-SA"/>
              </w:rPr>
            </w:pPr>
            <w:r>
              <w:rPr>
                <w:rFonts w:hint="eastAsia" w:ascii="方正仿宋_GBK" w:hAnsi="方正仿宋_GBK" w:eastAsia="方正仿宋_GBK" w:cs="方正仿宋_GBK"/>
                <w:b/>
                <w:bCs/>
                <w:kern w:val="2"/>
                <w:sz w:val="21"/>
                <w:szCs w:val="21"/>
                <w:highlight w:val="none"/>
                <w:lang w:val="en-US" w:eastAsia="zh-CN" w:bidi="ar-SA"/>
              </w:rPr>
              <w:t>3,694,769,665.82</w:t>
            </w:r>
          </w:p>
        </w:tc>
        <w:tc>
          <w:tcPr>
            <w:tcW w:w="1728"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b/>
                <w:bCs/>
                <w:kern w:val="2"/>
                <w:sz w:val="21"/>
                <w:szCs w:val="21"/>
                <w:highlight w:val="none"/>
                <w:lang w:val="en-US" w:eastAsia="zh-CN" w:bidi="ar-SA"/>
              </w:rPr>
            </w:pPr>
            <w:r>
              <w:rPr>
                <w:rFonts w:hint="eastAsia" w:ascii="方正仿宋_GBK" w:hAnsi="方正仿宋_GBK" w:eastAsia="方正仿宋_GBK" w:cs="方正仿宋_GBK"/>
                <w:b/>
                <w:bCs/>
                <w:kern w:val="2"/>
                <w:sz w:val="21"/>
                <w:szCs w:val="21"/>
                <w:highlight w:val="none"/>
                <w:lang w:val="en-US" w:eastAsia="zh-CN" w:bidi="ar-SA"/>
              </w:rPr>
              <w:t>3,694,769,665.82</w:t>
            </w:r>
          </w:p>
        </w:tc>
        <w:tc>
          <w:tcPr>
            <w:tcW w:w="5976" w:type="dxa"/>
            <w:gridSpan w:val="4"/>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b/>
                <w:bCs/>
                <w:kern w:val="2"/>
                <w:sz w:val="21"/>
                <w:szCs w:val="21"/>
                <w:highlight w:val="none"/>
                <w:lang w:val="en-US" w:eastAsia="zh-CN" w:bidi="ar-SA"/>
              </w:rPr>
              <w:t>总计</w:t>
            </w:r>
          </w:p>
        </w:tc>
        <w:tc>
          <w:tcPr>
            <w:tcW w:w="169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b/>
                <w:bCs/>
                <w:kern w:val="2"/>
                <w:sz w:val="21"/>
                <w:szCs w:val="21"/>
                <w:highlight w:val="none"/>
                <w:lang w:val="en-US" w:eastAsia="zh-CN" w:bidi="ar-SA"/>
              </w:rPr>
            </w:pPr>
            <w:r>
              <w:rPr>
                <w:rFonts w:hint="eastAsia" w:ascii="方正仿宋_GBK" w:hAnsi="方正仿宋_GBK" w:eastAsia="方正仿宋_GBK" w:cs="方正仿宋_GBK"/>
                <w:b/>
                <w:bCs/>
                <w:kern w:val="2"/>
                <w:sz w:val="21"/>
                <w:szCs w:val="21"/>
                <w:highlight w:val="none"/>
                <w:lang w:val="en-US" w:eastAsia="zh-CN" w:bidi="ar-SA"/>
              </w:rPr>
              <w:t>3,694,769,665.82</w:t>
            </w:r>
          </w:p>
        </w:tc>
        <w:tc>
          <w:tcPr>
            <w:tcW w:w="1800"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b/>
                <w:bCs/>
                <w:kern w:val="2"/>
                <w:sz w:val="21"/>
                <w:szCs w:val="21"/>
                <w:highlight w:val="none"/>
                <w:lang w:val="en-US" w:eastAsia="zh-CN" w:bidi="ar-SA"/>
              </w:rPr>
            </w:pPr>
            <w:r>
              <w:rPr>
                <w:rFonts w:hint="eastAsia" w:ascii="方正仿宋_GBK" w:hAnsi="方正仿宋_GBK" w:eastAsia="方正仿宋_GBK" w:cs="方正仿宋_GBK"/>
                <w:b/>
                <w:bCs/>
                <w:kern w:val="2"/>
                <w:sz w:val="21"/>
                <w:szCs w:val="21"/>
                <w:highlight w:val="none"/>
                <w:lang w:val="en-US" w:eastAsia="zh-CN" w:bidi="ar-SA"/>
              </w:rPr>
              <w:t>3,694,769,665.82</w:t>
            </w:r>
          </w:p>
        </w:tc>
      </w:tr>
    </w:tbl>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1"/>
        <w:rPr>
          <w:rFonts w:hint="eastAsia" w:eastAsia="方正仿宋_GBK"/>
          <w:color w:val="auto"/>
          <w:sz w:val="32"/>
          <w:szCs w:val="32"/>
        </w:rPr>
        <w:sectPr>
          <w:pgSz w:w="16838" w:h="11906" w:orient="landscape"/>
          <w:pgMar w:top="1474" w:right="1588" w:bottom="1474" w:left="1588"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0"/>
        <w:rPr>
          <w:rFonts w:eastAsia="方正黑体_GBK"/>
          <w:color w:val="auto"/>
          <w:sz w:val="32"/>
          <w:szCs w:val="32"/>
          <w:highlight w:val="none"/>
        </w:rPr>
      </w:pPr>
      <w:bookmarkStart w:id="9" w:name="_Toc19863"/>
      <w:bookmarkStart w:id="10" w:name="_Toc11152"/>
      <w:bookmarkStart w:id="11" w:name="_Toc22851"/>
      <w:r>
        <w:rPr>
          <w:rFonts w:eastAsia="方正黑体_GBK"/>
          <w:color w:val="auto"/>
          <w:sz w:val="32"/>
          <w:szCs w:val="32"/>
          <w:highlight w:val="none"/>
        </w:rPr>
        <w:t>二、绩效评价</w:t>
      </w:r>
      <w:r>
        <w:rPr>
          <w:rFonts w:hint="eastAsia" w:eastAsia="方正黑体_GBK"/>
          <w:color w:val="auto"/>
          <w:sz w:val="32"/>
          <w:szCs w:val="32"/>
          <w:highlight w:val="none"/>
        </w:rPr>
        <w:t>基本</w:t>
      </w:r>
      <w:r>
        <w:rPr>
          <w:rFonts w:eastAsia="方正黑体_GBK"/>
          <w:color w:val="auto"/>
          <w:sz w:val="32"/>
          <w:szCs w:val="32"/>
          <w:highlight w:val="none"/>
        </w:rPr>
        <w:t>情况</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1"/>
        <w:rPr>
          <w:rFonts w:hint="eastAsia" w:ascii="方正楷体_GBK" w:hAnsi="方正楷体_GBK" w:eastAsia="方正楷体_GBK" w:cs="方正楷体_GBK"/>
          <w:color w:val="auto"/>
          <w:sz w:val="28"/>
          <w:szCs w:val="28"/>
        </w:rPr>
      </w:pPr>
      <w:bookmarkStart w:id="12" w:name="_Toc12959"/>
      <w:bookmarkStart w:id="13" w:name="_Toc27877"/>
      <w:bookmarkStart w:id="14" w:name="_Toc22800"/>
      <w:r>
        <w:rPr>
          <w:rFonts w:hint="eastAsia" w:ascii="方正楷体_GBK" w:hAnsi="方正楷体_GBK" w:eastAsia="方正楷体_GBK" w:cs="方正楷体_GBK"/>
          <w:color w:val="auto"/>
          <w:sz w:val="28"/>
          <w:szCs w:val="28"/>
        </w:rPr>
        <w:t>（一）绩效评价目的</w:t>
      </w:r>
      <w:bookmarkEnd w:id="12"/>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本次绩效评价是围绕我部门的职责职能，以预算及支出为抓手，洞悉部门人、财、物资源与职能匹配情况，进而从更宽泛的层面把握部门的职能履行情况，从支出效益分析中总结经验、查找问题，促进财政资金管理，强化部门责任意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1"/>
        <w:rPr>
          <w:rFonts w:hint="eastAsia" w:ascii="方正楷体_GBK" w:hAnsi="方正楷体_GBK" w:eastAsia="方正楷体_GBK" w:cs="方正楷体_GBK"/>
          <w:color w:val="auto"/>
          <w:sz w:val="28"/>
          <w:szCs w:val="28"/>
        </w:rPr>
      </w:pPr>
      <w:bookmarkStart w:id="15" w:name="_Toc18909"/>
      <w:bookmarkStart w:id="16" w:name="_Toc1665"/>
      <w:bookmarkStart w:id="17" w:name="_Toc20145"/>
      <w:r>
        <w:rPr>
          <w:rFonts w:hint="eastAsia" w:ascii="方正楷体_GBK" w:hAnsi="方正楷体_GBK" w:eastAsia="方正楷体_GBK" w:cs="方正楷体_GBK"/>
          <w:color w:val="auto"/>
          <w:sz w:val="28"/>
          <w:szCs w:val="28"/>
        </w:rPr>
        <w:t>（二）绩效评价原则、评价指标体系、评价方法</w:t>
      </w:r>
      <w:bookmarkEnd w:id="15"/>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bookmarkStart w:id="18" w:name="_Toc1427"/>
      <w:bookmarkStart w:id="19" w:name="_Toc9500"/>
      <w:r>
        <w:rPr>
          <w:rFonts w:hint="eastAsia" w:ascii="方正仿宋_GBK" w:hAnsi="方正仿宋_GBK" w:eastAsia="方正仿宋_GBK" w:cs="方正仿宋_GBK"/>
          <w:bCs w:val="0"/>
          <w:color w:val="auto"/>
          <w:sz w:val="28"/>
          <w:szCs w:val="28"/>
          <w:highlight w:val="none"/>
          <w:lang w:val="en-US" w:eastAsia="zh-CN"/>
        </w:rPr>
        <w:t>1.</w:t>
      </w:r>
      <w:r>
        <w:rPr>
          <w:rFonts w:hint="eastAsia" w:ascii="方正仿宋_GBK" w:hAnsi="方正仿宋_GBK" w:eastAsia="方正仿宋_GBK" w:cs="方正仿宋_GBK"/>
          <w:bCs w:val="0"/>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绩效评价原则</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bCs w:val="0"/>
          <w:color w:val="auto"/>
          <w:sz w:val="28"/>
          <w:szCs w:val="28"/>
          <w:highlight w:val="none"/>
        </w:rPr>
      </w:pPr>
      <w:r>
        <w:rPr>
          <w:rFonts w:hint="eastAsia" w:ascii="方正仿宋_GBK" w:hAnsi="方正仿宋_GBK" w:eastAsia="方正仿宋_GBK" w:cs="方正仿宋_GBK"/>
          <w:bCs w:val="0"/>
          <w:color w:val="auto"/>
          <w:sz w:val="28"/>
          <w:szCs w:val="28"/>
          <w:highlight w:val="none"/>
        </w:rPr>
        <w:t>绩效评价原则包括科学规范原则、公开公正原则、分级分类原则、绩效相关原则。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bookmarkStart w:id="20" w:name="_Toc2140"/>
      <w:bookmarkStart w:id="21" w:name="_Toc9954"/>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评价指标体系</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bCs w:val="0"/>
          <w:color w:val="auto"/>
          <w:sz w:val="28"/>
          <w:szCs w:val="28"/>
          <w:highlight w:val="none"/>
          <w:lang w:val="en-US" w:eastAsia="zh-CN"/>
        </w:rPr>
      </w:pPr>
      <w:r>
        <w:rPr>
          <w:rFonts w:hint="eastAsia" w:ascii="方正仿宋_GBK" w:hAnsi="方正仿宋_GBK" w:eastAsia="方正仿宋_GBK" w:cs="方正仿宋_GBK"/>
          <w:bCs w:val="0"/>
          <w:color w:val="auto"/>
          <w:sz w:val="28"/>
          <w:szCs w:val="28"/>
          <w:highlight w:val="none"/>
        </w:rPr>
        <w:t>整个指标体系分为投入（7分），过程（24分），产出（</w:t>
      </w:r>
      <w:r>
        <w:rPr>
          <w:rFonts w:hint="eastAsia" w:ascii="方正仿宋_GBK" w:hAnsi="方正仿宋_GBK" w:eastAsia="方正仿宋_GBK" w:cs="方正仿宋_GBK"/>
          <w:bCs w:val="0"/>
          <w:color w:val="auto"/>
          <w:sz w:val="28"/>
          <w:szCs w:val="28"/>
          <w:highlight w:val="none"/>
          <w:lang w:val="en-US" w:eastAsia="zh-CN"/>
        </w:rPr>
        <w:t>29</w:t>
      </w:r>
      <w:r>
        <w:rPr>
          <w:rFonts w:hint="eastAsia" w:ascii="方正仿宋_GBK" w:hAnsi="方正仿宋_GBK" w:eastAsia="方正仿宋_GBK" w:cs="方正仿宋_GBK"/>
          <w:bCs w:val="0"/>
          <w:color w:val="auto"/>
          <w:sz w:val="28"/>
          <w:szCs w:val="28"/>
          <w:highlight w:val="none"/>
        </w:rPr>
        <w:t>分），效益（</w:t>
      </w:r>
      <w:r>
        <w:rPr>
          <w:rFonts w:hint="eastAsia" w:ascii="方正仿宋_GBK" w:hAnsi="方正仿宋_GBK" w:eastAsia="方正仿宋_GBK" w:cs="方正仿宋_GBK"/>
          <w:bCs w:val="0"/>
          <w:color w:val="auto"/>
          <w:sz w:val="28"/>
          <w:szCs w:val="28"/>
          <w:highlight w:val="none"/>
          <w:lang w:val="en-US" w:eastAsia="zh-CN"/>
        </w:rPr>
        <w:t>40</w:t>
      </w:r>
      <w:r>
        <w:rPr>
          <w:rFonts w:hint="eastAsia" w:ascii="方正仿宋_GBK" w:hAnsi="方正仿宋_GBK" w:eastAsia="方正仿宋_GBK" w:cs="方正仿宋_GBK"/>
          <w:bCs w:val="0"/>
          <w:color w:val="auto"/>
          <w:sz w:val="28"/>
          <w:szCs w:val="28"/>
          <w:highlight w:val="none"/>
        </w:rPr>
        <w:t>分），共设置了4个一级指标，</w:t>
      </w:r>
      <w:r>
        <w:rPr>
          <w:rFonts w:hint="eastAsia" w:ascii="方正仿宋_GBK" w:hAnsi="方正仿宋_GBK" w:eastAsia="方正仿宋_GBK" w:cs="方正仿宋_GBK"/>
          <w:bCs w:val="0"/>
          <w:color w:val="auto"/>
          <w:sz w:val="28"/>
          <w:szCs w:val="28"/>
          <w:highlight w:val="none"/>
          <w:lang w:val="en-US" w:eastAsia="zh-CN"/>
        </w:rPr>
        <w:t>10</w:t>
      </w:r>
      <w:r>
        <w:rPr>
          <w:rFonts w:hint="eastAsia" w:ascii="方正仿宋_GBK" w:hAnsi="方正仿宋_GBK" w:eastAsia="方正仿宋_GBK" w:cs="方正仿宋_GBK"/>
          <w:bCs w:val="0"/>
          <w:color w:val="auto"/>
          <w:sz w:val="28"/>
          <w:szCs w:val="28"/>
          <w:highlight w:val="none"/>
        </w:rPr>
        <w:t>个二级指标，</w:t>
      </w:r>
      <w:r>
        <w:rPr>
          <w:rFonts w:hint="eastAsia" w:ascii="方正仿宋_GBK" w:hAnsi="方正仿宋_GBK" w:eastAsia="方正仿宋_GBK" w:cs="方正仿宋_GBK"/>
          <w:bCs w:val="0"/>
          <w:color w:val="auto"/>
          <w:sz w:val="28"/>
          <w:szCs w:val="28"/>
          <w:highlight w:val="none"/>
          <w:lang w:val="en-US" w:eastAsia="zh-CN"/>
        </w:rPr>
        <w:t>27</w:t>
      </w:r>
      <w:r>
        <w:rPr>
          <w:rFonts w:hint="eastAsia" w:ascii="方正仿宋_GBK" w:hAnsi="方正仿宋_GBK" w:eastAsia="方正仿宋_GBK" w:cs="方正仿宋_GBK"/>
          <w:bCs w:val="0"/>
          <w:color w:val="auto"/>
          <w:sz w:val="28"/>
          <w:szCs w:val="28"/>
          <w:highlight w:val="none"/>
        </w:rPr>
        <w:t>个三级指标。</w:t>
      </w:r>
      <w:r>
        <w:rPr>
          <w:rFonts w:hint="eastAsia" w:ascii="方正仿宋_GBK" w:hAnsi="方正仿宋_GBK" w:eastAsia="方正仿宋_GBK" w:cs="方正仿宋_GBK"/>
          <w:bCs w:val="0"/>
          <w:color w:val="auto"/>
          <w:sz w:val="28"/>
          <w:szCs w:val="28"/>
          <w:highlight w:val="none"/>
          <w:lang w:val="en-US" w:eastAsia="zh-CN"/>
        </w:rPr>
        <w:t>详见下表。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bCs w:val="0"/>
          <w:color w:val="auto"/>
          <w:sz w:val="28"/>
          <w:szCs w:val="28"/>
          <w:highlight w:val="none"/>
          <w:lang w:val="en-US" w:eastAsia="zh-CN"/>
        </w:rPr>
        <w:sectPr>
          <w:pgSz w:w="11906" w:h="16838"/>
          <w:pgMar w:top="1588" w:right="1474" w:bottom="1588" w:left="147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60" w:lineRule="exact"/>
        <w:ind w:firstLine="482" w:firstLineChars="200"/>
        <w:jc w:val="center"/>
        <w:textAlignment w:val="auto"/>
        <w:rPr>
          <w:rFonts w:hint="eastAsia" w:ascii="方正仿宋_GBK" w:hAnsi="方正仿宋_GBK" w:eastAsia="方正仿宋_GBK" w:cs="方正仿宋_GBK"/>
          <w:b/>
          <w:bCs w:val="0"/>
          <w:color w:val="auto"/>
          <w:sz w:val="24"/>
          <w:szCs w:val="24"/>
          <w:lang w:val="en-US" w:eastAsia="zh-CN"/>
        </w:rPr>
      </w:pPr>
      <w:r>
        <w:rPr>
          <w:rFonts w:hint="eastAsia" w:ascii="方正仿宋_GBK" w:hAnsi="方正仿宋_GBK" w:eastAsia="方正仿宋_GBK" w:cs="方正仿宋_GBK"/>
          <w:b/>
          <w:bCs w:val="0"/>
          <w:color w:val="auto"/>
          <w:sz w:val="24"/>
          <w:szCs w:val="24"/>
          <w:lang w:val="en-US" w:eastAsia="zh-CN"/>
        </w:rPr>
        <w:t>2020年度璧山区高新技术产业开发区管理委员会部门整体支出绩效评价表</w:t>
      </w:r>
    </w:p>
    <w:tbl>
      <w:tblPr>
        <w:tblStyle w:val="13"/>
        <w:tblW w:w="13641" w:type="dxa"/>
        <w:tblInd w:w="96" w:type="dxa"/>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15"/>
        <w:gridCol w:w="804"/>
        <w:gridCol w:w="1236"/>
        <w:gridCol w:w="5051"/>
        <w:gridCol w:w="560"/>
        <w:gridCol w:w="4575"/>
        <w:gridCol w:w="600"/>
      </w:tblGrid>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193" w:hRule="atLeast"/>
          <w:tblHeader/>
        </w:trPr>
        <w:tc>
          <w:tcPr>
            <w:tcW w:w="815" w:type="dxa"/>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一级指标</w:t>
            </w:r>
          </w:p>
        </w:tc>
        <w:tc>
          <w:tcPr>
            <w:tcW w:w="804" w:type="dxa"/>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二级指标</w:t>
            </w:r>
          </w:p>
        </w:tc>
        <w:tc>
          <w:tcPr>
            <w:tcW w:w="1236" w:type="dxa"/>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三级指标</w:t>
            </w:r>
          </w:p>
        </w:tc>
        <w:tc>
          <w:tcPr>
            <w:tcW w:w="5051" w:type="dxa"/>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指标说明</w:t>
            </w: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分值</w:t>
            </w:r>
          </w:p>
        </w:tc>
        <w:tc>
          <w:tcPr>
            <w:tcW w:w="4575" w:type="dxa"/>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评价标准</w:t>
            </w: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得分</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760" w:hRule="atLeast"/>
        </w:trPr>
        <w:tc>
          <w:tcPr>
            <w:tcW w:w="815" w:type="dxa"/>
            <w:vMerge w:val="restart"/>
            <w:tcBorders>
              <w:tl2br w:val="nil"/>
              <w:tr2bl w:val="nil"/>
            </w:tcBorders>
            <w:shd w:val="clear" w:color="auto" w:fill="auto"/>
            <w:vAlign w:val="center"/>
          </w:tcPr>
          <w:p>
            <w:pPr>
              <w:spacing w:beforeLines="0" w:afterLines="0"/>
              <w:jc w:val="both"/>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投入</w:t>
            </w:r>
          </w:p>
        </w:tc>
        <w:tc>
          <w:tcPr>
            <w:tcW w:w="804" w:type="dxa"/>
            <w:vMerge w:val="restart"/>
            <w:tcBorders>
              <w:tl2br w:val="nil"/>
              <w:tr2bl w:val="nil"/>
            </w:tcBorders>
            <w:shd w:val="clear" w:color="auto" w:fill="auto"/>
            <w:vAlign w:val="center"/>
          </w:tcPr>
          <w:p>
            <w:pPr>
              <w:spacing w:beforeLines="0" w:afterLines="0"/>
              <w:jc w:val="both"/>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目标设定</w:t>
            </w:r>
          </w:p>
        </w:tc>
        <w:tc>
          <w:tcPr>
            <w:tcW w:w="1236" w:type="dxa"/>
            <w:tcBorders>
              <w:tl2br w:val="nil"/>
              <w:tr2bl w:val="nil"/>
            </w:tcBorders>
            <w:shd w:val="clear" w:color="auto" w:fill="auto"/>
            <w:noWrap/>
            <w:vAlign w:val="center"/>
          </w:tcPr>
          <w:p>
            <w:pPr>
              <w:spacing w:beforeLines="0" w:afterLines="0"/>
              <w:jc w:val="both"/>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绩效目标合理性</w:t>
            </w:r>
          </w:p>
        </w:tc>
        <w:tc>
          <w:tcPr>
            <w:tcW w:w="5051" w:type="dxa"/>
            <w:tcBorders>
              <w:tl2br w:val="nil"/>
              <w:tr2bl w:val="nil"/>
            </w:tcBorders>
            <w:shd w:val="clear" w:color="auto" w:fill="auto"/>
            <w:vAlign w:val="center"/>
          </w:tcPr>
          <w:p>
            <w:pPr>
              <w:spacing w:beforeLines="0" w:afterLines="0"/>
              <w:jc w:val="both"/>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部门（单位）所设立的整体绩效目标依据是否充分，是否符合客观实际，用以反映和考核部门（单位）整体绩效目标与部门履职、年度工作任务的相符性情况。</w:t>
            </w:r>
          </w:p>
        </w:tc>
        <w:tc>
          <w:tcPr>
            <w:tcW w:w="560" w:type="dxa"/>
            <w:tcBorders>
              <w:tl2br w:val="nil"/>
              <w:tr2bl w:val="nil"/>
            </w:tcBorders>
            <w:shd w:val="clear" w:color="auto" w:fill="auto"/>
            <w:noWrap/>
            <w:vAlign w:val="center"/>
          </w:tcPr>
          <w:p>
            <w:pPr>
              <w:spacing w:beforeLines="0" w:afterLine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1</w:t>
            </w:r>
          </w:p>
        </w:tc>
        <w:tc>
          <w:tcPr>
            <w:tcW w:w="4575" w:type="dxa"/>
            <w:tcBorders>
              <w:tl2br w:val="nil"/>
              <w:tr2bl w:val="nil"/>
            </w:tcBorders>
            <w:shd w:val="clear" w:color="auto" w:fill="auto"/>
            <w:vAlign w:val="center"/>
          </w:tcPr>
          <w:p>
            <w:pPr>
              <w:spacing w:beforeLines="0" w:afterLine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①是否符合国家法律法规、国民经济和社会发展总体规划；</w:t>
            </w:r>
            <w:r>
              <w:rPr>
                <w:rFonts w:hint="eastAsia" w:ascii="方正仿宋_GBK" w:hAnsi="方正仿宋_GBK" w:eastAsia="方正仿宋_GBK" w:cs="方正仿宋_GBK"/>
                <w:color w:val="000000"/>
                <w:sz w:val="21"/>
                <w:szCs w:val="21"/>
                <w:lang w:val="en-US" w:eastAsia="zh-CN"/>
              </w:rPr>
              <w:br w:type="textWrapping"/>
            </w:r>
            <w:r>
              <w:rPr>
                <w:rFonts w:hint="eastAsia" w:ascii="方正仿宋_GBK" w:hAnsi="方正仿宋_GBK" w:eastAsia="方正仿宋_GBK" w:cs="方正仿宋_GBK"/>
                <w:color w:val="000000"/>
                <w:sz w:val="21"/>
                <w:szCs w:val="21"/>
                <w:lang w:val="en-US" w:eastAsia="zh-CN"/>
              </w:rPr>
              <w:t>②是否符合部门“三定”方案确定的职责；</w:t>
            </w:r>
            <w:r>
              <w:rPr>
                <w:rFonts w:hint="eastAsia" w:ascii="方正仿宋_GBK" w:hAnsi="方正仿宋_GBK" w:eastAsia="方正仿宋_GBK" w:cs="方正仿宋_GBK"/>
                <w:color w:val="000000"/>
                <w:sz w:val="21"/>
                <w:szCs w:val="21"/>
                <w:lang w:val="en-US" w:eastAsia="zh-CN"/>
              </w:rPr>
              <w:br w:type="textWrapping"/>
            </w:r>
            <w:r>
              <w:rPr>
                <w:rFonts w:hint="eastAsia" w:ascii="方正仿宋_GBK" w:hAnsi="方正仿宋_GBK" w:eastAsia="方正仿宋_GBK" w:cs="方正仿宋_GBK"/>
                <w:color w:val="000000"/>
                <w:sz w:val="21"/>
                <w:szCs w:val="21"/>
                <w:lang w:val="en-US" w:eastAsia="zh-CN"/>
              </w:rPr>
              <w:t>③是否符合部门制定的中长期实施规划。</w:t>
            </w:r>
            <w:r>
              <w:rPr>
                <w:rFonts w:hint="eastAsia" w:ascii="方正仿宋_GBK" w:hAnsi="方正仿宋_GBK" w:eastAsia="方正仿宋_GBK" w:cs="方正仿宋_GBK"/>
                <w:color w:val="000000"/>
                <w:sz w:val="21"/>
                <w:szCs w:val="21"/>
                <w:lang w:val="en-US" w:eastAsia="zh-CN"/>
              </w:rPr>
              <w:br w:type="textWrapping"/>
            </w:r>
            <w:r>
              <w:rPr>
                <w:rFonts w:hint="eastAsia" w:ascii="方正仿宋_GBK" w:hAnsi="方正仿宋_GBK" w:eastAsia="方正仿宋_GBK" w:cs="方正仿宋_GBK"/>
                <w:color w:val="000000"/>
                <w:sz w:val="21"/>
                <w:szCs w:val="21"/>
                <w:lang w:val="en-US" w:eastAsia="zh-CN"/>
              </w:rPr>
              <w:t>全部符合得满分，否则酌情扣分。</w:t>
            </w:r>
          </w:p>
        </w:tc>
        <w:tc>
          <w:tcPr>
            <w:tcW w:w="600" w:type="dxa"/>
            <w:tcBorders>
              <w:tl2br w:val="nil"/>
              <w:tr2bl w:val="nil"/>
            </w:tcBorders>
            <w:shd w:val="clear" w:color="auto" w:fill="auto"/>
            <w:noWrap/>
            <w:vAlign w:val="center"/>
          </w:tcPr>
          <w:p>
            <w:pPr>
              <w:spacing w:beforeLines="0" w:afterLine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1</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950" w:hRule="atLeast"/>
        </w:trPr>
        <w:tc>
          <w:tcPr>
            <w:tcW w:w="815" w:type="dxa"/>
            <w:vMerge w:val="continue"/>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p>
        </w:tc>
        <w:tc>
          <w:tcPr>
            <w:tcW w:w="804" w:type="dxa"/>
            <w:vMerge w:val="continue"/>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p>
        </w:tc>
        <w:tc>
          <w:tcPr>
            <w:tcW w:w="123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绩效指标明确性</w:t>
            </w:r>
          </w:p>
        </w:tc>
        <w:tc>
          <w:tcPr>
            <w:tcW w:w="5051"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部门（单位）依据整体绩效目标所设定的绩效指标是否清晰、细化、可衡量，用以反映和考核部门（单位）整体绩效目标的明确细化情况。（年度计划中的目标可视为绩效目标）</w:t>
            </w:r>
          </w:p>
        </w:tc>
        <w:tc>
          <w:tcPr>
            <w:tcW w:w="5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2</w:t>
            </w:r>
          </w:p>
        </w:tc>
        <w:tc>
          <w:tcPr>
            <w:tcW w:w="4575"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①是否将部门整体的绩效目标细化分解为具体的工作任务；</w:t>
            </w:r>
            <w:r>
              <w:rPr>
                <w:rFonts w:hint="eastAsia" w:ascii="方正仿宋_GBK" w:hAnsi="方正仿宋_GBK" w:eastAsia="方正仿宋_GBK" w:cs="方正仿宋_GBK"/>
                <w:color w:val="000000"/>
                <w:kern w:val="2"/>
                <w:sz w:val="21"/>
                <w:szCs w:val="21"/>
                <w:lang w:val="en-US" w:eastAsia="zh-CN" w:bidi="ar-SA"/>
              </w:rPr>
              <w:br w:type="textWrapping"/>
            </w:r>
            <w:r>
              <w:rPr>
                <w:rFonts w:hint="eastAsia" w:ascii="方正仿宋_GBK" w:hAnsi="方正仿宋_GBK" w:eastAsia="方正仿宋_GBK" w:cs="方正仿宋_GBK"/>
                <w:color w:val="000000"/>
                <w:kern w:val="2"/>
                <w:sz w:val="21"/>
                <w:szCs w:val="21"/>
                <w:lang w:val="en-US" w:eastAsia="zh-CN" w:bidi="ar-SA"/>
              </w:rPr>
              <w:t>②是否通过清晰、可衡量的指标值予以体现；</w:t>
            </w:r>
            <w:r>
              <w:rPr>
                <w:rFonts w:hint="eastAsia" w:ascii="方正仿宋_GBK" w:hAnsi="方正仿宋_GBK" w:eastAsia="方正仿宋_GBK" w:cs="方正仿宋_GBK"/>
                <w:color w:val="000000"/>
                <w:kern w:val="2"/>
                <w:sz w:val="21"/>
                <w:szCs w:val="21"/>
                <w:lang w:val="en-US" w:eastAsia="zh-CN" w:bidi="ar-SA"/>
              </w:rPr>
              <w:br w:type="textWrapping"/>
            </w:r>
            <w:r>
              <w:rPr>
                <w:rFonts w:hint="eastAsia" w:ascii="方正仿宋_GBK" w:hAnsi="方正仿宋_GBK" w:eastAsia="方正仿宋_GBK" w:cs="方正仿宋_GBK"/>
                <w:color w:val="000000"/>
                <w:kern w:val="2"/>
                <w:sz w:val="21"/>
                <w:szCs w:val="21"/>
                <w:lang w:val="en-US" w:eastAsia="zh-CN" w:bidi="ar-SA"/>
              </w:rPr>
              <w:t>③是否与部门年度的任务数或计划数相对应；</w:t>
            </w:r>
            <w:r>
              <w:rPr>
                <w:rFonts w:hint="eastAsia" w:ascii="方正仿宋_GBK" w:hAnsi="方正仿宋_GBK" w:eastAsia="方正仿宋_GBK" w:cs="方正仿宋_GBK"/>
                <w:color w:val="000000"/>
                <w:kern w:val="2"/>
                <w:sz w:val="21"/>
                <w:szCs w:val="21"/>
                <w:lang w:val="en-US" w:eastAsia="zh-CN" w:bidi="ar-SA"/>
              </w:rPr>
              <w:br w:type="textWrapping"/>
            </w:r>
            <w:r>
              <w:rPr>
                <w:rFonts w:hint="eastAsia" w:ascii="方正仿宋_GBK" w:hAnsi="方正仿宋_GBK" w:eastAsia="方正仿宋_GBK" w:cs="方正仿宋_GBK"/>
                <w:color w:val="000000"/>
                <w:kern w:val="2"/>
                <w:sz w:val="21"/>
                <w:szCs w:val="21"/>
                <w:lang w:val="en-US" w:eastAsia="zh-CN" w:bidi="ar-SA"/>
              </w:rPr>
              <w:t>④是否与本年度部门预算资金相匹配。</w:t>
            </w:r>
            <w:r>
              <w:rPr>
                <w:rFonts w:hint="eastAsia" w:ascii="方正仿宋_GBK" w:hAnsi="方正仿宋_GBK" w:eastAsia="方正仿宋_GBK" w:cs="方正仿宋_GBK"/>
                <w:color w:val="000000"/>
                <w:kern w:val="2"/>
                <w:sz w:val="21"/>
                <w:szCs w:val="21"/>
                <w:lang w:val="en-US" w:eastAsia="zh-CN" w:bidi="ar-SA"/>
              </w:rPr>
              <w:br w:type="textWrapping"/>
            </w:r>
            <w:r>
              <w:rPr>
                <w:rFonts w:hint="eastAsia" w:ascii="方正仿宋_GBK" w:hAnsi="方正仿宋_GBK" w:eastAsia="方正仿宋_GBK" w:cs="方正仿宋_GBK"/>
                <w:color w:val="000000"/>
                <w:kern w:val="2"/>
                <w:sz w:val="21"/>
                <w:szCs w:val="21"/>
                <w:lang w:val="en-US" w:eastAsia="zh-CN" w:bidi="ar-SA"/>
              </w:rPr>
              <w:t>全部符合得满分，否则酌情扣分，扣完为止。</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2</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380" w:hRule="atLeast"/>
        </w:trPr>
        <w:tc>
          <w:tcPr>
            <w:tcW w:w="815" w:type="dxa"/>
            <w:vMerge w:val="continue"/>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p>
        </w:tc>
        <w:tc>
          <w:tcPr>
            <w:tcW w:w="80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预算配置</w:t>
            </w:r>
          </w:p>
        </w:tc>
        <w:tc>
          <w:tcPr>
            <w:tcW w:w="1236"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在职人员控制率</w:t>
            </w:r>
          </w:p>
        </w:tc>
        <w:tc>
          <w:tcPr>
            <w:tcW w:w="5051"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在职人员控制率=（在职人员数/编制数）×100%=100%</w:t>
            </w:r>
          </w:p>
        </w:tc>
        <w:tc>
          <w:tcPr>
            <w:tcW w:w="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2</w:t>
            </w:r>
          </w:p>
        </w:tc>
        <w:tc>
          <w:tcPr>
            <w:tcW w:w="4575"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以100%为标准。在职人员控制率≤100%，计2分；每超过一个百分点扣0.5分，扣完为止。</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2</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570" w:hRule="atLeast"/>
        </w:trPr>
        <w:tc>
          <w:tcPr>
            <w:tcW w:w="815" w:type="dxa"/>
            <w:vMerge w:val="continue"/>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p>
        </w:tc>
        <w:tc>
          <w:tcPr>
            <w:tcW w:w="804" w:type="dxa"/>
            <w:vMerge w:val="continue"/>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p>
        </w:tc>
        <w:tc>
          <w:tcPr>
            <w:tcW w:w="1236"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"三公经费"变动率</w:t>
            </w:r>
          </w:p>
        </w:tc>
        <w:tc>
          <w:tcPr>
            <w:tcW w:w="5051"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“三公经费”变动率=[（本年度“三公经费”预算数-上年度“三公经费”预算数）/上年度“三公经费”预算数]×100%</w:t>
            </w:r>
          </w:p>
        </w:tc>
        <w:tc>
          <w:tcPr>
            <w:tcW w:w="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2</w:t>
            </w:r>
          </w:p>
        </w:tc>
        <w:tc>
          <w:tcPr>
            <w:tcW w:w="4575"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“三公经费”变动率≤0,计2分；“三公经费”＞0，每超过一个百分点扣0.5分，扣完为止。</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2</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190" w:hRule="atLeast"/>
        </w:trPr>
        <w:tc>
          <w:tcPr>
            <w:tcW w:w="81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040" w:type="dxa"/>
            <w:gridSpan w:val="2"/>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小计</w:t>
            </w:r>
          </w:p>
        </w:tc>
        <w:tc>
          <w:tcPr>
            <w:tcW w:w="5051" w:type="dxa"/>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7</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b/>
                <w:bCs/>
                <w:color w:val="000000"/>
                <w:kern w:val="2"/>
                <w:sz w:val="21"/>
                <w:szCs w:val="21"/>
                <w:lang w:val="en-US" w:eastAsia="zh-CN" w:bidi="ar-SA"/>
              </w:rPr>
            </w:pP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7</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380" w:hRule="atLeast"/>
        </w:trPr>
        <w:tc>
          <w:tcPr>
            <w:tcW w:w="815" w:type="dxa"/>
            <w:vMerge w:val="restart"/>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过程</w:t>
            </w:r>
          </w:p>
        </w:tc>
        <w:tc>
          <w:tcPr>
            <w:tcW w:w="804" w:type="dxa"/>
            <w:vMerge w:val="restart"/>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预算执行</w:t>
            </w:r>
          </w:p>
        </w:tc>
        <w:tc>
          <w:tcPr>
            <w:tcW w:w="1236"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预算完成率</w:t>
            </w:r>
          </w:p>
        </w:tc>
        <w:tc>
          <w:tcPr>
            <w:tcW w:w="5051"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预算完成率=[（上年结转+年初预算+本年追加预算-年末结余）/(上年结转+年初预算+本年追加预算）]×100%</w:t>
            </w: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highlight w:val="none"/>
                <w:lang w:val="en-US" w:eastAsia="zh-CN" w:bidi="ar-SA"/>
              </w:rPr>
            </w:pPr>
            <w:r>
              <w:rPr>
                <w:rFonts w:hint="eastAsia" w:ascii="方正仿宋_GBK" w:hAnsi="方正仿宋_GBK" w:eastAsia="方正仿宋_GBK" w:cs="方正仿宋_GBK"/>
                <w:color w:val="000000"/>
                <w:kern w:val="2"/>
                <w:sz w:val="21"/>
                <w:szCs w:val="21"/>
                <w:highlight w:val="none"/>
                <w:lang w:val="en-US" w:eastAsia="zh-CN" w:bidi="ar-SA"/>
              </w:rPr>
              <w:t>1.5</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预算完成率=（预算完成数/预算数）×100%，100%计满分，每低于5%扣0.5分，扣完为止。</w:t>
            </w: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1.5</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25" w:hRule="atLeast"/>
        </w:trPr>
        <w:tc>
          <w:tcPr>
            <w:tcW w:w="815" w:type="dxa"/>
            <w:vMerge w:val="continue"/>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p>
        </w:tc>
        <w:tc>
          <w:tcPr>
            <w:tcW w:w="804" w:type="dxa"/>
            <w:vMerge w:val="continue"/>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p>
        </w:tc>
        <w:tc>
          <w:tcPr>
            <w:tcW w:w="1236"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预算调整率</w:t>
            </w:r>
          </w:p>
        </w:tc>
        <w:tc>
          <w:tcPr>
            <w:tcW w:w="5051"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预算调整数：部门（单位）在本年度内涉及预算的追加、追减或结构调整的资金总和（因落实国家政策、发生不可抗力、上级部门或本级党委政府临时交办而产生的调整除外）。</w:t>
            </w: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highlight w:val="none"/>
                <w:lang w:val="en-US" w:eastAsia="zh-CN" w:bidi="ar-SA"/>
              </w:rPr>
            </w:pPr>
            <w:r>
              <w:rPr>
                <w:rFonts w:hint="eastAsia" w:ascii="方正仿宋_GBK" w:hAnsi="方正仿宋_GBK" w:eastAsia="方正仿宋_GBK" w:cs="方正仿宋_GBK"/>
                <w:color w:val="000000"/>
                <w:kern w:val="2"/>
                <w:sz w:val="21"/>
                <w:szCs w:val="21"/>
                <w:highlight w:val="none"/>
                <w:lang w:val="en-US" w:eastAsia="zh-CN" w:bidi="ar-SA"/>
              </w:rPr>
              <w:t>1.5</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预算调整率（调增调减）=（预算调整数/预算数）×100%。本年度未进行预算调整，计满分；0-10%（含），计1分；10-20%（含），计0.5分；大于20%不得分</w:t>
            </w: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0.5</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950" w:hRule="atLeast"/>
        </w:trPr>
        <w:tc>
          <w:tcPr>
            <w:tcW w:w="81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0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36"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结转结余率</w:t>
            </w:r>
          </w:p>
        </w:tc>
        <w:tc>
          <w:tcPr>
            <w:tcW w:w="5051"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用以反映和考核部门（单位）预算的调整程度。部门（单位）本年度结转结余总额与支出预算数的比率，用以反映和考核部门（单位）对本年度结转结余资金的实际控制程度。结转结余总额：部门（单位）本年度的结转资金与结余资金之和（以决算数为准）。</w:t>
            </w: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highlight w:val="none"/>
                <w:lang w:val="en-US" w:eastAsia="zh-CN" w:bidi="ar-SA"/>
              </w:rPr>
            </w:pPr>
            <w:r>
              <w:rPr>
                <w:rFonts w:hint="eastAsia" w:ascii="方正仿宋_GBK" w:hAnsi="方正仿宋_GBK" w:eastAsia="方正仿宋_GBK" w:cs="方正仿宋_GBK"/>
                <w:color w:val="000000"/>
                <w:kern w:val="2"/>
                <w:sz w:val="21"/>
                <w:szCs w:val="21"/>
                <w:highlight w:val="none"/>
                <w:lang w:val="en-US" w:eastAsia="zh-CN" w:bidi="ar-SA"/>
              </w:rPr>
              <w:t>1.5</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结转结余率=结转结余总额/支出预算数×100%。≤3%得满分，每超出1%扣0.5分，扣完为止。</w:t>
            </w: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1.5</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380" w:hRule="atLeast"/>
        </w:trPr>
        <w:tc>
          <w:tcPr>
            <w:tcW w:w="81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0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36"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公用经费控制率</w:t>
            </w:r>
          </w:p>
        </w:tc>
        <w:tc>
          <w:tcPr>
            <w:tcW w:w="5051"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公用经费控制率=（实际支出公用经费总额/预算安排公用经费总额）×100%=100%</w:t>
            </w: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highlight w:val="none"/>
                <w:lang w:val="en-US" w:eastAsia="zh-CN" w:bidi="ar-SA"/>
              </w:rPr>
            </w:pPr>
            <w:r>
              <w:rPr>
                <w:rFonts w:hint="eastAsia" w:ascii="方正仿宋_GBK" w:hAnsi="方正仿宋_GBK" w:eastAsia="方正仿宋_GBK" w:cs="方正仿宋_GBK"/>
                <w:color w:val="000000"/>
                <w:kern w:val="2"/>
                <w:sz w:val="21"/>
                <w:szCs w:val="21"/>
                <w:highlight w:val="none"/>
                <w:lang w:val="en-US" w:eastAsia="zh-CN" w:bidi="ar-SA"/>
              </w:rPr>
              <w:t>1.5</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100%以下（含）计满分，每超出1%扣0.5分，扣完为止。</w:t>
            </w: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1.5</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380" w:hRule="atLeast"/>
        </w:trPr>
        <w:tc>
          <w:tcPr>
            <w:tcW w:w="81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0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36"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"三公经费"控制率</w:t>
            </w:r>
          </w:p>
        </w:tc>
        <w:tc>
          <w:tcPr>
            <w:tcW w:w="5051"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“三公经费”控制率=（“三公经费”实际支出数/“三公经费”预算安排数）×100%</w:t>
            </w: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highlight w:val="none"/>
                <w:lang w:val="en-US" w:eastAsia="zh-CN" w:bidi="ar-SA"/>
              </w:rPr>
            </w:pPr>
            <w:r>
              <w:rPr>
                <w:rFonts w:hint="eastAsia" w:ascii="方正仿宋_GBK" w:hAnsi="方正仿宋_GBK" w:eastAsia="方正仿宋_GBK" w:cs="方正仿宋_GBK"/>
                <w:color w:val="000000"/>
                <w:kern w:val="2"/>
                <w:sz w:val="21"/>
                <w:szCs w:val="21"/>
                <w:highlight w:val="none"/>
                <w:lang w:val="en-US" w:eastAsia="zh-CN" w:bidi="ar-SA"/>
              </w:rPr>
              <w:t>1.5</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100%以下（含）计满分，每超出1%扣0.5分，扣完为止。</w:t>
            </w: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0</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380" w:hRule="atLeast"/>
        </w:trPr>
        <w:tc>
          <w:tcPr>
            <w:tcW w:w="81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0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36"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政府采购执行率</w:t>
            </w:r>
          </w:p>
        </w:tc>
        <w:tc>
          <w:tcPr>
            <w:tcW w:w="5051"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政府采购执行率=（实际政府采购金额/政府采购预算数）×100%</w:t>
            </w: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政府采购执行率95%—105%得满分，低于95%或超过105%不得分</w:t>
            </w: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0</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570" w:hRule="atLeast"/>
        </w:trPr>
        <w:tc>
          <w:tcPr>
            <w:tcW w:w="81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04" w:type="dxa"/>
            <w:vMerge w:val="restart"/>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预算管理</w:t>
            </w:r>
          </w:p>
        </w:tc>
        <w:tc>
          <w:tcPr>
            <w:tcW w:w="1236"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管理制度健全</w:t>
            </w:r>
          </w:p>
        </w:tc>
        <w:tc>
          <w:tcPr>
            <w:tcW w:w="5051"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部门（单位）为加强预算管理、规范财务行为而制定的管理制度是否健全完整，用以反映和考核部门（单位）预算管理制度对完成主要职责或促进事业发展的保障情况。</w:t>
            </w: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①有内部财务管理制度、会计核算制度等管理制度；②有本部门厉行节约制度；③相关管理制度合法、合规、完整；④相关管理制度得到有效执行。全部符合得满分，否则酌情扣分，扣完为止。</w:t>
            </w: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950" w:hRule="atLeast"/>
        </w:trPr>
        <w:tc>
          <w:tcPr>
            <w:tcW w:w="81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04" w:type="dxa"/>
            <w:vMerge w:val="continue"/>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p>
        </w:tc>
        <w:tc>
          <w:tcPr>
            <w:tcW w:w="1236"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资金使用合规</w:t>
            </w:r>
          </w:p>
        </w:tc>
        <w:tc>
          <w:tcPr>
            <w:tcW w:w="5051"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部门（单位）使用预算资金是否符合相关的预算财务管理制度的规定，用以反映和考核部门（单位）预算资金的规范运行情况。</w:t>
            </w: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5</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①支出符合国家财经法规和财务管理制度规定以及有关专项资金管理办法的规定；②资金拨付有完整的审批程序和手续；③预算调整履行规定程序；④支出符合部门预算批复的用途；⑤资金使用无截留、挤占、挪用、虚列支出等情况。以上情况每出现一例不符合要求的扣1分，扣完为止。</w:t>
            </w: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5</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760" w:hRule="atLeast"/>
        </w:trPr>
        <w:tc>
          <w:tcPr>
            <w:tcW w:w="81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0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36"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预决算信息公开</w:t>
            </w:r>
          </w:p>
        </w:tc>
        <w:tc>
          <w:tcPr>
            <w:tcW w:w="5051"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部门（单位）是否按照政府信息公开有关规定公开相关预决算信息，用以反映和考核部门（单位）预决算管理的公开透明情况。</w:t>
            </w: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①按规定内容公开预算信息；②按规定时限公开预算信息；③基础数据信息和会计信息资料真实；④基础数据信息和会计信息资料完整；⑤基础数据信息和汇集信息资料准确。以上情况每出现一例不符合要求的扣0.2分，扣完为止。</w:t>
            </w: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760" w:hRule="atLeast"/>
        </w:trPr>
        <w:tc>
          <w:tcPr>
            <w:tcW w:w="81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0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36"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工程项目管理</w:t>
            </w:r>
          </w:p>
        </w:tc>
        <w:tc>
          <w:tcPr>
            <w:tcW w:w="5051"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招投标申报流程和标后管理是否规范</w:t>
            </w: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3</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达到限额标准的项目是否均按照要求通过招投标或竞争性比选程序实施；中标单位与实际施工单位是否一致，项目经理与合同指派是否一致，人员变更是否按合同要求取得建设单位同意。全部符合得满分，否则酌情扣分。</w:t>
            </w: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3</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760" w:hRule="atLeast"/>
        </w:trPr>
        <w:tc>
          <w:tcPr>
            <w:tcW w:w="81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0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36"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基础信息完善</w:t>
            </w:r>
          </w:p>
        </w:tc>
        <w:tc>
          <w:tcPr>
            <w:tcW w:w="5051"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部门（单位）基础信息是否完善，用以反映和考核基础信息对预算管理工作的支撑情况。</w:t>
            </w: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①基础数据信息和会计信息资料是否真实；</w:t>
            </w:r>
            <w:r>
              <w:rPr>
                <w:rFonts w:hint="eastAsia" w:ascii="方正仿宋_GBK" w:hAnsi="方正仿宋_GBK" w:eastAsia="方正仿宋_GBK" w:cs="方正仿宋_GBK"/>
                <w:color w:val="000000"/>
                <w:kern w:val="2"/>
                <w:sz w:val="21"/>
                <w:szCs w:val="21"/>
                <w:lang w:val="en-US" w:eastAsia="zh-CN" w:bidi="ar-SA"/>
              </w:rPr>
              <w:br w:type="textWrapping"/>
            </w:r>
            <w:r>
              <w:rPr>
                <w:rFonts w:hint="eastAsia" w:ascii="方正仿宋_GBK" w:hAnsi="方正仿宋_GBK" w:eastAsia="方正仿宋_GBK" w:cs="方正仿宋_GBK"/>
                <w:color w:val="000000"/>
                <w:kern w:val="2"/>
                <w:sz w:val="21"/>
                <w:szCs w:val="21"/>
                <w:lang w:val="en-US" w:eastAsia="zh-CN" w:bidi="ar-SA"/>
              </w:rPr>
              <w:t>②基础数据信息和会计信息资料是否完整；</w:t>
            </w:r>
            <w:r>
              <w:rPr>
                <w:rFonts w:hint="eastAsia" w:ascii="方正仿宋_GBK" w:hAnsi="方正仿宋_GBK" w:eastAsia="方正仿宋_GBK" w:cs="方正仿宋_GBK"/>
                <w:color w:val="000000"/>
                <w:kern w:val="2"/>
                <w:sz w:val="21"/>
                <w:szCs w:val="21"/>
                <w:lang w:val="en-US" w:eastAsia="zh-CN" w:bidi="ar-SA"/>
              </w:rPr>
              <w:br w:type="textWrapping"/>
            </w:r>
            <w:r>
              <w:rPr>
                <w:rFonts w:hint="eastAsia" w:ascii="方正仿宋_GBK" w:hAnsi="方正仿宋_GBK" w:eastAsia="方正仿宋_GBK" w:cs="方正仿宋_GBK"/>
                <w:color w:val="000000"/>
                <w:kern w:val="2"/>
                <w:sz w:val="21"/>
                <w:szCs w:val="21"/>
                <w:lang w:val="en-US" w:eastAsia="zh-CN" w:bidi="ar-SA"/>
              </w:rPr>
              <w:t>③基础数据信息和会计信息资料是否准确。</w:t>
            </w:r>
            <w:r>
              <w:rPr>
                <w:rFonts w:hint="eastAsia" w:ascii="方正仿宋_GBK" w:hAnsi="方正仿宋_GBK" w:eastAsia="方正仿宋_GBK" w:cs="方正仿宋_GBK"/>
                <w:color w:val="000000"/>
                <w:kern w:val="2"/>
                <w:sz w:val="21"/>
                <w:szCs w:val="21"/>
                <w:lang w:val="en-US" w:eastAsia="zh-CN" w:bidi="ar-SA"/>
              </w:rPr>
              <w:br w:type="textWrapping"/>
            </w:r>
            <w:r>
              <w:rPr>
                <w:rFonts w:hint="eastAsia" w:ascii="方正仿宋_GBK" w:hAnsi="方正仿宋_GBK" w:eastAsia="方正仿宋_GBK" w:cs="方正仿宋_GBK"/>
                <w:color w:val="000000"/>
                <w:kern w:val="2"/>
                <w:sz w:val="21"/>
                <w:szCs w:val="21"/>
                <w:lang w:val="en-US" w:eastAsia="zh-CN" w:bidi="ar-SA"/>
              </w:rPr>
              <w:t>全部符合得满分，否则酌情扣分，扣完为止。</w:t>
            </w: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760" w:hRule="atLeast"/>
        </w:trPr>
        <w:tc>
          <w:tcPr>
            <w:tcW w:w="81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0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方正仿宋_GBK" w:hAnsi="方正仿宋_GBK" w:eastAsia="方正仿宋_GBK" w:cs="方正仿宋_GBK"/>
                <w:color w:val="000000"/>
                <w:kern w:val="2"/>
                <w:sz w:val="21"/>
                <w:szCs w:val="21"/>
                <w:lang w:val="en-US" w:eastAsia="zh-CN" w:bidi="ar-SA"/>
              </w:rPr>
              <w:t>资产</w:t>
            </w:r>
            <w:r>
              <w:rPr>
                <w:rFonts w:hint="eastAsia" w:ascii="方正仿宋_GBK" w:hAnsi="方正仿宋_GBK" w:eastAsia="方正仿宋_GBK" w:cs="方正仿宋_GBK"/>
                <w:color w:val="000000"/>
                <w:kern w:val="2"/>
                <w:sz w:val="21"/>
                <w:szCs w:val="21"/>
                <w:lang w:val="en-US" w:eastAsia="zh-CN" w:bidi="ar-SA"/>
              </w:rPr>
              <w:br w:type="textWrapping"/>
            </w:r>
            <w:r>
              <w:rPr>
                <w:rFonts w:hint="eastAsia" w:ascii="方正仿宋_GBK" w:hAnsi="方正仿宋_GBK" w:eastAsia="方正仿宋_GBK" w:cs="方正仿宋_GBK"/>
                <w:color w:val="000000"/>
                <w:kern w:val="2"/>
                <w:sz w:val="21"/>
                <w:szCs w:val="21"/>
                <w:lang w:val="en-US" w:eastAsia="zh-CN" w:bidi="ar-SA"/>
              </w:rPr>
              <w:t>管理</w:t>
            </w:r>
          </w:p>
        </w:tc>
        <w:tc>
          <w:tcPr>
            <w:tcW w:w="1236"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管理制度健全</w:t>
            </w:r>
          </w:p>
        </w:tc>
        <w:tc>
          <w:tcPr>
            <w:tcW w:w="5051"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部门（单位）为加强资产管理、规范资产管理行为而制定的管理制度是否健全完整，用以反映和考核部门（单位）资产管理制度对完成主要职责或促进社会发展的保障情况。</w:t>
            </w: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1.5</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①是否已制定或具有资产管理制度；②相关资金管理制度是否合法、合规、完整；③相关资产管理制度是否得到有效执行。</w:t>
            </w:r>
            <w:r>
              <w:rPr>
                <w:rFonts w:hint="eastAsia" w:ascii="方正仿宋_GBK" w:hAnsi="方正仿宋_GBK" w:eastAsia="方正仿宋_GBK" w:cs="方正仿宋_GBK"/>
                <w:color w:val="000000"/>
                <w:kern w:val="2"/>
                <w:sz w:val="21"/>
                <w:szCs w:val="21"/>
                <w:lang w:val="en-US" w:eastAsia="zh-CN" w:bidi="ar-SA"/>
              </w:rPr>
              <w:br w:type="textWrapping"/>
            </w:r>
            <w:r>
              <w:rPr>
                <w:rFonts w:hint="eastAsia" w:ascii="方正仿宋_GBK" w:hAnsi="方正仿宋_GBK" w:eastAsia="方正仿宋_GBK" w:cs="方正仿宋_GBK"/>
                <w:color w:val="000000"/>
                <w:kern w:val="2"/>
                <w:sz w:val="21"/>
                <w:szCs w:val="21"/>
                <w:lang w:val="en-US" w:eastAsia="zh-CN" w:bidi="ar-SA"/>
              </w:rPr>
              <w:t>全部符合得满分，否则酌情扣分，扣完为止。</w:t>
            </w: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1.5</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950" w:hRule="atLeast"/>
        </w:trPr>
        <w:tc>
          <w:tcPr>
            <w:tcW w:w="81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0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36"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资产管理安全</w:t>
            </w:r>
          </w:p>
        </w:tc>
        <w:tc>
          <w:tcPr>
            <w:tcW w:w="5051"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部门（单位）的资产是否保存完整、使用合规、配置合理、处置规范、收入及时足额上缴，用以反映和考核部门（单位）资产安全运行情况。</w:t>
            </w: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2</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①资产保存是否完整；</w:t>
            </w:r>
            <w:r>
              <w:rPr>
                <w:rFonts w:hint="eastAsia" w:ascii="方正仿宋_GBK" w:hAnsi="方正仿宋_GBK" w:eastAsia="方正仿宋_GBK" w:cs="方正仿宋_GBK"/>
                <w:color w:val="000000"/>
                <w:kern w:val="2"/>
                <w:sz w:val="21"/>
                <w:szCs w:val="21"/>
                <w:lang w:val="en-US" w:eastAsia="zh-CN" w:bidi="ar-SA"/>
              </w:rPr>
              <w:br w:type="textWrapping"/>
            </w:r>
            <w:r>
              <w:rPr>
                <w:rFonts w:hint="eastAsia" w:ascii="方正仿宋_GBK" w:hAnsi="方正仿宋_GBK" w:eastAsia="方正仿宋_GBK" w:cs="方正仿宋_GBK"/>
                <w:color w:val="000000"/>
                <w:kern w:val="2"/>
                <w:sz w:val="21"/>
                <w:szCs w:val="21"/>
                <w:lang w:val="en-US" w:eastAsia="zh-CN" w:bidi="ar-SA"/>
              </w:rPr>
              <w:t>②资产处置是否规范；</w:t>
            </w:r>
            <w:r>
              <w:rPr>
                <w:rFonts w:hint="eastAsia" w:ascii="方正仿宋_GBK" w:hAnsi="方正仿宋_GBK" w:eastAsia="方正仿宋_GBK" w:cs="方正仿宋_GBK"/>
                <w:color w:val="000000"/>
                <w:kern w:val="2"/>
                <w:sz w:val="21"/>
                <w:szCs w:val="21"/>
                <w:lang w:val="en-US" w:eastAsia="zh-CN" w:bidi="ar-SA"/>
              </w:rPr>
              <w:br w:type="textWrapping"/>
            </w:r>
            <w:r>
              <w:rPr>
                <w:rFonts w:hint="eastAsia" w:ascii="方正仿宋_GBK" w:hAnsi="方正仿宋_GBK" w:eastAsia="方正仿宋_GBK" w:cs="方正仿宋_GBK"/>
                <w:color w:val="000000"/>
                <w:kern w:val="2"/>
                <w:sz w:val="21"/>
                <w:szCs w:val="21"/>
                <w:lang w:val="en-US" w:eastAsia="zh-CN" w:bidi="ar-SA"/>
              </w:rPr>
              <w:t>③资产账务管理是否合规，是否帐实相符；</w:t>
            </w:r>
            <w:r>
              <w:rPr>
                <w:rFonts w:hint="eastAsia" w:ascii="方正仿宋_GBK" w:hAnsi="方正仿宋_GBK" w:eastAsia="方正仿宋_GBK" w:cs="方正仿宋_GBK"/>
                <w:color w:val="000000"/>
                <w:kern w:val="2"/>
                <w:sz w:val="21"/>
                <w:szCs w:val="21"/>
                <w:lang w:val="en-US" w:eastAsia="zh-CN" w:bidi="ar-SA"/>
              </w:rPr>
              <w:br w:type="textWrapping"/>
            </w:r>
            <w:r>
              <w:rPr>
                <w:rFonts w:hint="eastAsia" w:ascii="方正仿宋_GBK" w:hAnsi="方正仿宋_GBK" w:eastAsia="方正仿宋_GBK" w:cs="方正仿宋_GBK"/>
                <w:color w:val="000000"/>
                <w:kern w:val="2"/>
                <w:sz w:val="21"/>
                <w:szCs w:val="21"/>
                <w:lang w:val="en-US" w:eastAsia="zh-CN" w:bidi="ar-SA"/>
              </w:rPr>
              <w:t>④资产是否有偿使用及处置收入及时足额上缴。全部符合得满分，否则酌情扣分，扣完为止。</w:t>
            </w: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2</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570" w:hRule="atLeast"/>
        </w:trPr>
        <w:tc>
          <w:tcPr>
            <w:tcW w:w="81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0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36"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固定资产利用率</w:t>
            </w:r>
          </w:p>
        </w:tc>
        <w:tc>
          <w:tcPr>
            <w:tcW w:w="5051"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部门（单位）实际在用固定资产总额与所有固定资产总额的比率，用以反映和考核部门（单位）固定资产使用效率程度。</w:t>
            </w: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固定资产利用率=（实际在用固定资产总额/所有固定资产总额）×100%。以抽查方式，发现一处扣0.2分</w:t>
            </w: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190" w:hRule="atLeast"/>
        </w:trPr>
        <w:tc>
          <w:tcPr>
            <w:tcW w:w="81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040" w:type="dxa"/>
            <w:gridSpan w:val="2"/>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小计</w:t>
            </w:r>
          </w:p>
        </w:tc>
        <w:tc>
          <w:tcPr>
            <w:tcW w:w="5051" w:type="dxa"/>
            <w:tcBorders>
              <w:tl2br w:val="nil"/>
              <w:tr2bl w:val="nil"/>
            </w:tcBorders>
            <w:shd w:val="clear" w:color="auto" w:fill="auto"/>
            <w:vAlign w:val="center"/>
          </w:tcPr>
          <w:p>
            <w:pPr>
              <w:jc w:val="left"/>
              <w:rPr>
                <w:rFonts w:hint="eastAsia" w:ascii="方正仿宋_GBK" w:hAnsi="方正仿宋_GBK" w:eastAsia="方正仿宋_GBK" w:cs="方正仿宋_GBK"/>
                <w:b/>
                <w:bCs/>
                <w:color w:val="000000"/>
                <w:kern w:val="2"/>
                <w:sz w:val="21"/>
                <w:szCs w:val="21"/>
                <w:lang w:val="en-US" w:eastAsia="zh-CN" w:bidi="ar-SA"/>
              </w:rPr>
            </w:pP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24</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b/>
                <w:bCs/>
                <w:color w:val="000000"/>
                <w:kern w:val="2"/>
                <w:sz w:val="21"/>
                <w:szCs w:val="21"/>
                <w:lang w:val="en-US" w:eastAsia="zh-CN" w:bidi="ar-SA"/>
              </w:rPr>
            </w:pP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20.5</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380" w:hRule="atLeast"/>
        </w:trPr>
        <w:tc>
          <w:tcPr>
            <w:tcW w:w="81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产出</w:t>
            </w:r>
          </w:p>
        </w:tc>
        <w:tc>
          <w:tcPr>
            <w:tcW w:w="80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职责履行</w:t>
            </w:r>
          </w:p>
        </w:tc>
        <w:tc>
          <w:tcPr>
            <w:tcW w:w="123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参展线上智博会企业和单位数量</w:t>
            </w:r>
          </w:p>
        </w:tc>
        <w:tc>
          <w:tcPr>
            <w:tcW w:w="5051"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部门牵头组织企业和单位参展线上智博会数量，用以反映智博会线上参与情况和领导带头作用。</w:t>
            </w:r>
          </w:p>
        </w:tc>
        <w:tc>
          <w:tcPr>
            <w:tcW w:w="5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6</w:t>
            </w:r>
          </w:p>
        </w:tc>
        <w:tc>
          <w:tcPr>
            <w:tcW w:w="4575"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牵头组织区内企业和单位≥40家，达到得满分，未达到的每偏离10%扣1分，扣完为止。</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6</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380" w:hRule="atLeast"/>
        </w:trPr>
        <w:tc>
          <w:tcPr>
            <w:tcW w:w="815" w:type="dxa"/>
            <w:vMerge w:val="continue"/>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p>
        </w:tc>
        <w:tc>
          <w:tcPr>
            <w:tcW w:w="804" w:type="dxa"/>
            <w:vMerge w:val="continue"/>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p>
        </w:tc>
        <w:tc>
          <w:tcPr>
            <w:tcW w:w="1236"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招商引资项目数</w:t>
            </w:r>
          </w:p>
        </w:tc>
        <w:tc>
          <w:tcPr>
            <w:tcW w:w="5051"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部门招商引资项目的数量，用以反映打造大项目顶天立地，小项目铺天盖地的“雨林型”产业生态完成度。</w:t>
            </w:r>
          </w:p>
        </w:tc>
        <w:tc>
          <w:tcPr>
            <w:tcW w:w="5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6</w:t>
            </w:r>
          </w:p>
        </w:tc>
        <w:tc>
          <w:tcPr>
            <w:tcW w:w="4575"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全年签约项目≥30个，达到得满分，未达到的每偏离10%扣1分，扣完为止。</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6</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380" w:hRule="atLeast"/>
        </w:trPr>
        <w:tc>
          <w:tcPr>
            <w:tcW w:w="81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0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36"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新增市级及以上研发（科技服务）机构个数</w:t>
            </w:r>
          </w:p>
        </w:tc>
        <w:tc>
          <w:tcPr>
            <w:tcW w:w="5051"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部门组织新增市级及以上研发（科技服务）机构个数，用以反映部门对区内技术创新能力的推动作用。</w:t>
            </w:r>
          </w:p>
        </w:tc>
        <w:tc>
          <w:tcPr>
            <w:tcW w:w="560" w:type="dxa"/>
            <w:tcBorders>
              <w:tl2br w:val="nil"/>
              <w:tr2bl w:val="nil"/>
            </w:tcBorders>
            <w:shd w:val="clear" w:color="auto" w:fill="auto"/>
            <w:noWrap/>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6</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新增规上工业企业建立研发机构≥20家，达到得满分，未达到的每偏离10%扣1分，扣完为止。</w:t>
            </w: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6</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380" w:hRule="atLeast"/>
        </w:trPr>
        <w:tc>
          <w:tcPr>
            <w:tcW w:w="81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0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36"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万人有效发明专利数</w:t>
            </w:r>
          </w:p>
        </w:tc>
        <w:tc>
          <w:tcPr>
            <w:tcW w:w="5051"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部门提高万人有效发明专利数，用以反映部门对区内提升成果转化质效的推动作用。</w:t>
            </w:r>
          </w:p>
        </w:tc>
        <w:tc>
          <w:tcPr>
            <w:tcW w:w="560" w:type="dxa"/>
            <w:tcBorders>
              <w:tl2br w:val="nil"/>
              <w:tr2bl w:val="nil"/>
            </w:tcBorders>
            <w:shd w:val="clear" w:color="auto" w:fill="auto"/>
            <w:noWrap/>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6</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万人有效发明专利数≥11件，达到得满分，未达到的每偏离10%扣1分，扣完为止。</w:t>
            </w: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6</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380" w:hRule="atLeast"/>
        </w:trPr>
        <w:tc>
          <w:tcPr>
            <w:tcW w:w="81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0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36"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有效专利提案个数</w:t>
            </w:r>
          </w:p>
        </w:tc>
        <w:tc>
          <w:tcPr>
            <w:tcW w:w="5051"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部门以重庆康佳光电技术研究院为代表的专业技术平台，汇集行业专家，完成有效专利提案。</w:t>
            </w:r>
          </w:p>
        </w:tc>
        <w:tc>
          <w:tcPr>
            <w:tcW w:w="560" w:type="dxa"/>
            <w:tcBorders>
              <w:tl2br w:val="nil"/>
              <w:tr2bl w:val="nil"/>
            </w:tcBorders>
            <w:shd w:val="clear" w:color="auto" w:fill="auto"/>
            <w:noWrap/>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5</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有效专利提案个数≥600项，达到得满分，未达到的每偏离10%扣1分，扣完为止。</w:t>
            </w: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5</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190" w:hRule="atLeast"/>
        </w:trPr>
        <w:tc>
          <w:tcPr>
            <w:tcW w:w="81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040" w:type="dxa"/>
            <w:gridSpan w:val="2"/>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小计</w:t>
            </w:r>
          </w:p>
        </w:tc>
        <w:tc>
          <w:tcPr>
            <w:tcW w:w="5051" w:type="dxa"/>
            <w:tcBorders>
              <w:tl2br w:val="nil"/>
              <w:tr2bl w:val="nil"/>
            </w:tcBorders>
            <w:shd w:val="clear" w:color="auto" w:fill="auto"/>
            <w:vAlign w:val="center"/>
          </w:tcPr>
          <w:p>
            <w:pPr>
              <w:jc w:val="left"/>
              <w:rPr>
                <w:rFonts w:hint="eastAsia" w:ascii="方正仿宋_GBK" w:hAnsi="方正仿宋_GBK" w:eastAsia="方正仿宋_GBK" w:cs="方正仿宋_GBK"/>
                <w:b/>
                <w:bCs/>
                <w:color w:val="000000"/>
                <w:kern w:val="2"/>
                <w:sz w:val="21"/>
                <w:szCs w:val="21"/>
                <w:lang w:val="en-US" w:eastAsia="zh-CN" w:bidi="ar-SA"/>
              </w:rPr>
            </w:pP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29</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b/>
                <w:bCs/>
                <w:color w:val="000000"/>
                <w:kern w:val="2"/>
                <w:sz w:val="21"/>
                <w:szCs w:val="21"/>
                <w:lang w:val="en-US" w:eastAsia="zh-CN" w:bidi="ar-SA"/>
              </w:rPr>
            </w:pP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29</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380" w:hRule="atLeast"/>
        </w:trPr>
        <w:tc>
          <w:tcPr>
            <w:tcW w:w="815" w:type="dxa"/>
            <w:vMerge w:val="restart"/>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效益</w:t>
            </w:r>
          </w:p>
        </w:tc>
        <w:tc>
          <w:tcPr>
            <w:tcW w:w="804"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经济效益</w:t>
            </w:r>
          </w:p>
        </w:tc>
        <w:tc>
          <w:tcPr>
            <w:tcW w:w="1236"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招商引资带动经济情况</w:t>
            </w:r>
          </w:p>
        </w:tc>
        <w:tc>
          <w:tcPr>
            <w:tcW w:w="5051"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部门在招商引资带动当地经济增长的情况。</w:t>
            </w: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10</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签约项目全部建成投产后可实现年</w:t>
            </w:r>
            <w:r>
              <w:rPr>
                <w:rFonts w:hint="eastAsia" w:ascii="方正仿宋_GBK" w:hAnsi="方正仿宋_GBK" w:eastAsia="方正仿宋_GBK" w:cs="方正仿宋_GBK"/>
                <w:color w:val="000000"/>
                <w:kern w:val="2"/>
                <w:sz w:val="21"/>
                <w:szCs w:val="21"/>
                <w:highlight w:val="none"/>
                <w:lang w:val="en-US" w:eastAsia="zh-CN" w:bidi="ar-SA"/>
              </w:rPr>
              <w:t>产值≥900亿元，达到得满分，未达到的每偏离10</w:t>
            </w:r>
            <w:r>
              <w:rPr>
                <w:rFonts w:hint="eastAsia" w:ascii="方正仿宋_GBK" w:hAnsi="方正仿宋_GBK" w:eastAsia="方正仿宋_GBK" w:cs="方正仿宋_GBK"/>
                <w:color w:val="000000"/>
                <w:kern w:val="2"/>
                <w:sz w:val="21"/>
                <w:szCs w:val="21"/>
                <w:lang w:val="en-US" w:eastAsia="zh-CN" w:bidi="ar-SA"/>
              </w:rPr>
              <w:t>%扣1分，扣完为止。</w:t>
            </w: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10</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380" w:hRule="atLeast"/>
        </w:trPr>
        <w:tc>
          <w:tcPr>
            <w:tcW w:w="815" w:type="dxa"/>
            <w:vMerge w:val="continue"/>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p>
        </w:tc>
        <w:tc>
          <w:tcPr>
            <w:tcW w:w="804"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环境效益</w:t>
            </w:r>
          </w:p>
        </w:tc>
        <w:tc>
          <w:tcPr>
            <w:tcW w:w="1236"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璧南河水质达标情况</w:t>
            </w:r>
          </w:p>
        </w:tc>
        <w:tc>
          <w:tcPr>
            <w:tcW w:w="5051"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部门推进生态河长工作，严格按照生态河长办考核要求的情况。</w:t>
            </w: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10</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璧南河水质稳定达地表水Ⅲ类标准，符合则得分，不符则扣分。</w:t>
            </w: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10</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380" w:hRule="atLeast"/>
        </w:trPr>
        <w:tc>
          <w:tcPr>
            <w:tcW w:w="815" w:type="dxa"/>
            <w:vMerge w:val="continue"/>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p>
        </w:tc>
        <w:tc>
          <w:tcPr>
            <w:tcW w:w="804"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社会效益</w:t>
            </w:r>
          </w:p>
        </w:tc>
        <w:tc>
          <w:tcPr>
            <w:tcW w:w="1236"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营商环境持续优化情况</w:t>
            </w:r>
          </w:p>
        </w:tc>
        <w:tc>
          <w:tcPr>
            <w:tcW w:w="5051"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部门贯彻落实审批代办制度，加强调度，解决企业实际困难。</w:t>
            </w: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10</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①解决工业项目落地问题≥7个；②解决反映问题≥2个。以上两项各占50%权重分，符合则得对应权重分，不符合则扣除对应权重分。</w:t>
            </w: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10</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570" w:hRule="atLeast"/>
        </w:trPr>
        <w:tc>
          <w:tcPr>
            <w:tcW w:w="815" w:type="dxa"/>
            <w:vMerge w:val="continue"/>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p>
        </w:tc>
        <w:tc>
          <w:tcPr>
            <w:tcW w:w="804"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社会公众或服务对象满意度</w:t>
            </w:r>
          </w:p>
        </w:tc>
        <w:tc>
          <w:tcPr>
            <w:tcW w:w="1236"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群众满意度</w:t>
            </w:r>
          </w:p>
        </w:tc>
        <w:tc>
          <w:tcPr>
            <w:tcW w:w="5051"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群众对高新技术产业开发区管理委员会整体工作的满意程度。</w:t>
            </w: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10</w:t>
            </w:r>
          </w:p>
        </w:tc>
        <w:tc>
          <w:tcPr>
            <w:tcW w:w="4575" w:type="dxa"/>
            <w:tcBorders>
              <w:tl2br w:val="nil"/>
              <w:tr2bl w:val="nil"/>
            </w:tcBorders>
            <w:shd w:val="clear" w:color="auto" w:fill="auto"/>
            <w:vAlign w:val="center"/>
          </w:tcPr>
          <w:p>
            <w:pPr>
              <w:jc w:val="left"/>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满意度≥90%得对应权重分；90%≤满意度＜80%得3/4对应权重分；80%≤满意度＜70%得1/2对应权重分；70%≤满意度＜60%得1/4对应权重分，否则不得分。</w:t>
            </w: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10</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190" w:hRule="atLeast"/>
        </w:trPr>
        <w:tc>
          <w:tcPr>
            <w:tcW w:w="81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040" w:type="dxa"/>
            <w:gridSpan w:val="2"/>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小计</w:t>
            </w:r>
          </w:p>
        </w:tc>
        <w:tc>
          <w:tcPr>
            <w:tcW w:w="5051" w:type="dxa"/>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40</w:t>
            </w:r>
          </w:p>
        </w:tc>
        <w:tc>
          <w:tcPr>
            <w:tcW w:w="4575" w:type="dxa"/>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40</w:t>
            </w:r>
          </w:p>
        </w:tc>
      </w:tr>
      <w:tr>
        <w:tblPrEx>
          <w:tblBorders>
            <w:top w:val="single" w:color="auto" w:sz="4" w:space="0"/>
            <w:left w:val="none" w:color="auto" w:sz="0" w:space="0"/>
            <w:bottom w:val="single" w:color="auto" w:sz="4"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205" w:hRule="atLeast"/>
        </w:trPr>
        <w:tc>
          <w:tcPr>
            <w:tcW w:w="2855" w:type="dxa"/>
            <w:gridSpan w:val="3"/>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总分</w:t>
            </w:r>
          </w:p>
        </w:tc>
        <w:tc>
          <w:tcPr>
            <w:tcW w:w="5051" w:type="dxa"/>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p>
        </w:tc>
        <w:tc>
          <w:tcPr>
            <w:tcW w:w="560" w:type="dxa"/>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highlight w:val="none"/>
                <w:lang w:val="en-US" w:eastAsia="zh-CN" w:bidi="ar-SA"/>
              </w:rPr>
            </w:pPr>
            <w:r>
              <w:rPr>
                <w:rFonts w:hint="eastAsia" w:ascii="方正仿宋_GBK" w:hAnsi="方正仿宋_GBK" w:eastAsia="方正仿宋_GBK" w:cs="方正仿宋_GBK"/>
                <w:b/>
                <w:bCs/>
                <w:color w:val="000000"/>
                <w:kern w:val="2"/>
                <w:sz w:val="21"/>
                <w:szCs w:val="21"/>
                <w:highlight w:val="none"/>
                <w:lang w:val="en-US" w:eastAsia="zh-CN" w:bidi="ar-SA"/>
              </w:rPr>
              <w:t>100</w:t>
            </w:r>
          </w:p>
        </w:tc>
        <w:tc>
          <w:tcPr>
            <w:tcW w:w="4575" w:type="dxa"/>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p>
        </w:tc>
        <w:tc>
          <w:tcPr>
            <w:tcW w:w="600" w:type="dxa"/>
            <w:tcBorders>
              <w:tl2br w:val="nil"/>
              <w:tr2bl w:val="nil"/>
            </w:tcBorders>
            <w:shd w:val="clear" w:color="auto" w:fill="auto"/>
            <w:vAlign w:val="center"/>
          </w:tcPr>
          <w:p>
            <w:pPr>
              <w:jc w:val="center"/>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96.5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_GB2312" w:eastAsia="仿宋_GB2312"/>
          <w:bCs/>
          <w:color w:val="auto"/>
          <w:sz w:val="32"/>
          <w:szCs w:val="32"/>
          <w:lang w:val="en-US" w:eastAsia="zh-CN"/>
        </w:rPr>
        <w:sectPr>
          <w:type w:val="continuous"/>
          <w:pgSz w:w="16838" w:h="11906" w:orient="landscape"/>
          <w:pgMar w:top="1474" w:right="1588" w:bottom="1474" w:left="1588"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bookmarkStart w:id="22" w:name="_Toc20909"/>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评价方法</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bCs w:val="0"/>
          <w:color w:val="auto"/>
          <w:sz w:val="28"/>
          <w:szCs w:val="28"/>
          <w:highlight w:val="none"/>
        </w:rPr>
      </w:pPr>
      <w:r>
        <w:rPr>
          <w:rFonts w:hint="eastAsia" w:ascii="方正仿宋_GBK" w:hAnsi="方正仿宋_GBK" w:eastAsia="方正仿宋_GBK" w:cs="方正仿宋_GBK"/>
          <w:bCs w:val="0"/>
          <w:color w:val="auto"/>
          <w:sz w:val="28"/>
          <w:szCs w:val="28"/>
          <w:highlight w:val="none"/>
        </w:rPr>
        <w:t>本次绩效评价运用</w:t>
      </w:r>
      <w:r>
        <w:rPr>
          <w:rFonts w:hint="eastAsia" w:ascii="方正仿宋_GBK" w:hAnsi="方正仿宋_GBK" w:eastAsia="方正仿宋_GBK" w:cs="方正仿宋_GBK"/>
          <w:bCs w:val="0"/>
          <w:color w:val="auto"/>
          <w:sz w:val="28"/>
          <w:szCs w:val="28"/>
          <w:highlight w:val="none"/>
          <w:lang w:val="en-US" w:eastAsia="zh-CN"/>
        </w:rPr>
        <w:t>了</w:t>
      </w:r>
      <w:r>
        <w:rPr>
          <w:rFonts w:hint="eastAsia" w:ascii="方正仿宋_GBK" w:hAnsi="方正仿宋_GBK" w:eastAsia="方正仿宋_GBK" w:cs="方正仿宋_GBK"/>
          <w:bCs w:val="0"/>
          <w:color w:val="auto"/>
          <w:sz w:val="28"/>
          <w:szCs w:val="28"/>
          <w:highlight w:val="none"/>
        </w:rPr>
        <w:t>比较法、因素分析法、公众评判法等方法进行评价。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bCs w:val="0"/>
          <w:color w:val="auto"/>
          <w:sz w:val="28"/>
          <w:szCs w:val="28"/>
          <w:highlight w:val="none"/>
        </w:rPr>
      </w:pPr>
      <w:r>
        <w:rPr>
          <w:rFonts w:hint="eastAsia" w:ascii="方正仿宋_GBK" w:hAnsi="方正仿宋_GBK" w:eastAsia="方正仿宋_GBK" w:cs="方正仿宋_GBK"/>
          <w:bCs w:val="0"/>
          <w:color w:val="auto"/>
          <w:sz w:val="28"/>
          <w:szCs w:val="28"/>
          <w:highlight w:val="none"/>
          <w:lang w:eastAsia="zh-CN"/>
        </w:rPr>
        <w:t>（</w:t>
      </w:r>
      <w:r>
        <w:rPr>
          <w:rFonts w:hint="eastAsia" w:ascii="方正仿宋_GBK" w:hAnsi="方正仿宋_GBK" w:eastAsia="方正仿宋_GBK" w:cs="方正仿宋_GBK"/>
          <w:bCs w:val="0"/>
          <w:color w:val="auto"/>
          <w:sz w:val="28"/>
          <w:szCs w:val="28"/>
          <w:highlight w:val="none"/>
          <w:lang w:val="en-US" w:eastAsia="zh-CN"/>
        </w:rPr>
        <w:t>1</w:t>
      </w:r>
      <w:r>
        <w:rPr>
          <w:rFonts w:hint="eastAsia" w:ascii="方正仿宋_GBK" w:hAnsi="方正仿宋_GBK" w:eastAsia="方正仿宋_GBK" w:cs="方正仿宋_GBK"/>
          <w:bCs w:val="0"/>
          <w:color w:val="auto"/>
          <w:sz w:val="28"/>
          <w:szCs w:val="28"/>
          <w:highlight w:val="none"/>
          <w:lang w:eastAsia="zh-CN"/>
        </w:rPr>
        <w:t>）</w:t>
      </w:r>
      <w:r>
        <w:rPr>
          <w:rFonts w:hint="eastAsia" w:ascii="方正仿宋_GBK" w:hAnsi="方正仿宋_GBK" w:eastAsia="方正仿宋_GBK" w:cs="方正仿宋_GBK"/>
          <w:bCs w:val="0"/>
          <w:color w:val="auto"/>
          <w:sz w:val="28"/>
          <w:szCs w:val="28"/>
          <w:highlight w:val="none"/>
        </w:rPr>
        <w:t>比较法</w:t>
      </w:r>
      <w:r>
        <w:rPr>
          <w:rFonts w:hint="eastAsia" w:ascii="方正仿宋_GBK" w:hAnsi="方正仿宋_GBK" w:eastAsia="方正仿宋_GBK" w:cs="方正仿宋_GBK"/>
          <w:bCs w:val="0"/>
          <w:color w:val="auto"/>
          <w:sz w:val="28"/>
          <w:szCs w:val="28"/>
          <w:highlight w:val="none"/>
          <w:lang w:eastAsia="zh-CN"/>
        </w:rPr>
        <w:t>：</w:t>
      </w:r>
      <w:r>
        <w:rPr>
          <w:rFonts w:hint="eastAsia" w:ascii="方正仿宋_GBK" w:hAnsi="方正仿宋_GBK" w:eastAsia="方正仿宋_GBK" w:cs="方正仿宋_GBK"/>
          <w:bCs w:val="0"/>
          <w:color w:val="auto"/>
          <w:sz w:val="28"/>
          <w:szCs w:val="28"/>
          <w:highlight w:val="none"/>
        </w:rPr>
        <w:t>是指通过对绩效目标与实施效果、历史与当期的比较，综合分析绩效目标实现程度。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bCs w:val="0"/>
          <w:color w:val="auto"/>
          <w:sz w:val="28"/>
          <w:szCs w:val="28"/>
          <w:highlight w:val="none"/>
        </w:rPr>
      </w:pPr>
      <w:r>
        <w:rPr>
          <w:rFonts w:hint="eastAsia" w:ascii="方正仿宋_GBK" w:hAnsi="方正仿宋_GBK" w:eastAsia="方正仿宋_GBK" w:cs="方正仿宋_GBK"/>
          <w:bCs w:val="0"/>
          <w:color w:val="auto"/>
          <w:sz w:val="28"/>
          <w:szCs w:val="28"/>
          <w:highlight w:val="none"/>
          <w:lang w:eastAsia="zh-CN"/>
        </w:rPr>
        <w:t>（</w:t>
      </w:r>
      <w:r>
        <w:rPr>
          <w:rFonts w:hint="eastAsia" w:ascii="方正仿宋_GBK" w:hAnsi="方正仿宋_GBK" w:eastAsia="方正仿宋_GBK" w:cs="方正仿宋_GBK"/>
          <w:bCs w:val="0"/>
          <w:color w:val="auto"/>
          <w:sz w:val="28"/>
          <w:szCs w:val="28"/>
          <w:highlight w:val="none"/>
          <w:lang w:val="en-US" w:eastAsia="zh-CN"/>
        </w:rPr>
        <w:t>2</w:t>
      </w:r>
      <w:r>
        <w:rPr>
          <w:rFonts w:hint="eastAsia" w:ascii="方正仿宋_GBK" w:hAnsi="方正仿宋_GBK" w:eastAsia="方正仿宋_GBK" w:cs="方正仿宋_GBK"/>
          <w:bCs w:val="0"/>
          <w:color w:val="auto"/>
          <w:sz w:val="28"/>
          <w:szCs w:val="28"/>
          <w:highlight w:val="none"/>
          <w:lang w:eastAsia="zh-CN"/>
        </w:rPr>
        <w:t>）</w:t>
      </w:r>
      <w:r>
        <w:rPr>
          <w:rFonts w:hint="eastAsia" w:ascii="方正仿宋_GBK" w:hAnsi="方正仿宋_GBK" w:eastAsia="方正仿宋_GBK" w:cs="方正仿宋_GBK"/>
          <w:bCs w:val="0"/>
          <w:color w:val="auto"/>
          <w:sz w:val="28"/>
          <w:szCs w:val="28"/>
          <w:highlight w:val="none"/>
        </w:rPr>
        <w:t>因素分析法</w:t>
      </w:r>
      <w:r>
        <w:rPr>
          <w:rFonts w:hint="eastAsia" w:ascii="方正仿宋_GBK" w:hAnsi="方正仿宋_GBK" w:eastAsia="方正仿宋_GBK" w:cs="方正仿宋_GBK"/>
          <w:bCs w:val="0"/>
          <w:color w:val="auto"/>
          <w:sz w:val="28"/>
          <w:szCs w:val="28"/>
          <w:highlight w:val="none"/>
          <w:lang w:eastAsia="zh-CN"/>
        </w:rPr>
        <w:t>：</w:t>
      </w:r>
      <w:r>
        <w:rPr>
          <w:rFonts w:hint="eastAsia" w:ascii="方正仿宋_GBK" w:hAnsi="方正仿宋_GBK" w:eastAsia="方正仿宋_GBK" w:cs="方正仿宋_GBK"/>
          <w:bCs w:val="0"/>
          <w:color w:val="auto"/>
          <w:sz w:val="28"/>
          <w:szCs w:val="28"/>
          <w:highlight w:val="none"/>
        </w:rPr>
        <w:t>是指通过综合分析影响绩效目标实现、实施效果的内外因素，评价绩效目标实现程度。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bCs w:val="0"/>
          <w:color w:val="auto"/>
          <w:sz w:val="28"/>
          <w:szCs w:val="28"/>
          <w:highlight w:val="none"/>
        </w:rPr>
      </w:pPr>
      <w:r>
        <w:rPr>
          <w:rFonts w:hint="eastAsia" w:ascii="方正仿宋_GBK" w:hAnsi="方正仿宋_GBK" w:eastAsia="方正仿宋_GBK" w:cs="方正仿宋_GBK"/>
          <w:bCs w:val="0"/>
          <w:color w:val="auto"/>
          <w:sz w:val="28"/>
          <w:szCs w:val="28"/>
          <w:highlight w:val="none"/>
          <w:lang w:eastAsia="zh-CN"/>
        </w:rPr>
        <w:t>（</w:t>
      </w:r>
      <w:r>
        <w:rPr>
          <w:rFonts w:hint="eastAsia" w:ascii="方正仿宋_GBK" w:hAnsi="方正仿宋_GBK" w:eastAsia="方正仿宋_GBK" w:cs="方正仿宋_GBK"/>
          <w:bCs w:val="0"/>
          <w:color w:val="auto"/>
          <w:sz w:val="28"/>
          <w:szCs w:val="28"/>
          <w:highlight w:val="none"/>
          <w:lang w:val="en-US" w:eastAsia="zh-CN"/>
        </w:rPr>
        <w:t>3</w:t>
      </w:r>
      <w:r>
        <w:rPr>
          <w:rFonts w:hint="eastAsia" w:ascii="方正仿宋_GBK" w:hAnsi="方正仿宋_GBK" w:eastAsia="方正仿宋_GBK" w:cs="方正仿宋_GBK"/>
          <w:bCs w:val="0"/>
          <w:color w:val="auto"/>
          <w:sz w:val="28"/>
          <w:szCs w:val="28"/>
          <w:highlight w:val="none"/>
          <w:lang w:eastAsia="zh-CN"/>
        </w:rPr>
        <w:t>）</w:t>
      </w:r>
      <w:r>
        <w:rPr>
          <w:rFonts w:hint="eastAsia" w:ascii="方正仿宋_GBK" w:hAnsi="方正仿宋_GBK" w:eastAsia="方正仿宋_GBK" w:cs="方正仿宋_GBK"/>
          <w:bCs w:val="0"/>
          <w:color w:val="auto"/>
          <w:sz w:val="28"/>
          <w:szCs w:val="28"/>
          <w:highlight w:val="none"/>
        </w:rPr>
        <w:t>公众评判法</w:t>
      </w:r>
      <w:r>
        <w:rPr>
          <w:rFonts w:hint="eastAsia" w:ascii="方正仿宋_GBK" w:hAnsi="方正仿宋_GBK" w:eastAsia="方正仿宋_GBK" w:cs="方正仿宋_GBK"/>
          <w:bCs w:val="0"/>
          <w:color w:val="auto"/>
          <w:sz w:val="28"/>
          <w:szCs w:val="28"/>
          <w:highlight w:val="none"/>
          <w:lang w:eastAsia="zh-CN"/>
        </w:rPr>
        <w:t>：</w:t>
      </w:r>
      <w:r>
        <w:rPr>
          <w:rFonts w:hint="eastAsia" w:ascii="方正仿宋_GBK" w:hAnsi="方正仿宋_GBK" w:eastAsia="方正仿宋_GBK" w:cs="方正仿宋_GBK"/>
          <w:bCs w:val="0"/>
          <w:color w:val="auto"/>
          <w:sz w:val="28"/>
          <w:szCs w:val="28"/>
          <w:highlight w:val="none"/>
        </w:rPr>
        <w:t>是指通过专家评估、公众问卷及抽样调查等对</w:t>
      </w:r>
      <w:r>
        <w:rPr>
          <w:rFonts w:hint="eastAsia" w:ascii="方正仿宋_GBK" w:hAnsi="方正仿宋_GBK" w:eastAsia="方正仿宋_GBK" w:cs="方正仿宋_GBK"/>
          <w:bCs w:val="0"/>
          <w:color w:val="auto"/>
          <w:sz w:val="28"/>
          <w:szCs w:val="28"/>
          <w:highlight w:val="none"/>
          <w:lang w:val="en-US" w:eastAsia="zh-CN"/>
        </w:rPr>
        <w:t>财政</w:t>
      </w:r>
      <w:r>
        <w:rPr>
          <w:rFonts w:hint="eastAsia" w:ascii="方正仿宋_GBK" w:hAnsi="方正仿宋_GBK" w:eastAsia="方正仿宋_GBK" w:cs="方正仿宋_GBK"/>
          <w:bCs w:val="0"/>
          <w:color w:val="auto"/>
          <w:sz w:val="28"/>
          <w:szCs w:val="28"/>
          <w:highlight w:val="none"/>
        </w:rPr>
        <w:t>资金使用效果进行评判，评价绩效目标实现程度。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1"/>
        <w:rPr>
          <w:rFonts w:hint="eastAsia" w:ascii="方正楷体_GBK" w:hAnsi="方正楷体_GBK" w:eastAsia="方正楷体_GBK" w:cs="方正楷体_GBK"/>
          <w:color w:val="auto"/>
          <w:sz w:val="28"/>
          <w:szCs w:val="28"/>
        </w:rPr>
      </w:pPr>
      <w:bookmarkStart w:id="23" w:name="_Toc18385"/>
      <w:bookmarkStart w:id="24" w:name="_Toc5361"/>
      <w:bookmarkStart w:id="25" w:name="_Toc17251"/>
      <w:r>
        <w:rPr>
          <w:rFonts w:hint="eastAsia" w:ascii="方正楷体_GBK" w:hAnsi="方正楷体_GBK" w:eastAsia="方正楷体_GBK" w:cs="方正楷体_GBK"/>
          <w:color w:val="auto"/>
          <w:sz w:val="28"/>
          <w:szCs w:val="28"/>
        </w:rPr>
        <w:t>（三）绩效评价工作过程</w:t>
      </w:r>
      <w:bookmarkEnd w:id="23"/>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bookmarkStart w:id="26" w:name="_Toc20654"/>
      <w:bookmarkStart w:id="27" w:name="_Toc12694"/>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评价工作组织架构及审批流程</w:t>
      </w:r>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本次评价工作由</w:t>
      </w:r>
      <w:r>
        <w:rPr>
          <w:rFonts w:hint="eastAsia" w:ascii="方正仿宋_GBK" w:hAnsi="方正仿宋_GBK" w:eastAsia="方正仿宋_GBK" w:cs="方正仿宋_GBK"/>
          <w:color w:val="auto"/>
          <w:sz w:val="28"/>
          <w:szCs w:val="28"/>
          <w:highlight w:val="none"/>
          <w:lang w:val="en-US" w:eastAsia="zh-CN"/>
        </w:rPr>
        <w:t>部门</w:t>
      </w:r>
      <w:r>
        <w:rPr>
          <w:rFonts w:hint="eastAsia" w:ascii="方正仿宋_GBK" w:hAnsi="方正仿宋_GBK" w:eastAsia="方正仿宋_GBK" w:cs="方正仿宋_GBK"/>
          <w:color w:val="auto"/>
          <w:sz w:val="28"/>
          <w:szCs w:val="28"/>
          <w:highlight w:val="none"/>
        </w:rPr>
        <w:t>主要领导统筹负责，具体工</w:t>
      </w:r>
      <w:r>
        <w:rPr>
          <w:rFonts w:hint="eastAsia" w:ascii="方正仿宋_GBK" w:hAnsi="方正仿宋_GBK" w:eastAsia="方正仿宋_GBK" w:cs="方正仿宋_GBK"/>
          <w:color w:val="auto"/>
          <w:sz w:val="28"/>
          <w:szCs w:val="28"/>
          <w:highlight w:val="none"/>
        </w:rPr>
        <w:t>作由</w:t>
      </w:r>
      <w:r>
        <w:rPr>
          <w:rFonts w:hint="eastAsia" w:ascii="方正仿宋_GBK" w:hAnsi="方正仿宋_GBK" w:eastAsia="方正仿宋_GBK" w:cs="方正仿宋_GBK"/>
          <w:color w:val="auto"/>
          <w:sz w:val="28"/>
          <w:szCs w:val="28"/>
          <w:highlight w:val="none"/>
          <w:lang w:val="en-US" w:eastAsia="zh-CN"/>
        </w:rPr>
        <w:t>财务局</w:t>
      </w:r>
      <w:r>
        <w:rPr>
          <w:rFonts w:hint="eastAsia" w:ascii="方正仿宋_GBK" w:hAnsi="方正仿宋_GBK" w:eastAsia="方正仿宋_GBK" w:cs="方正仿宋_GBK"/>
          <w:color w:val="auto"/>
          <w:sz w:val="28"/>
          <w:szCs w:val="28"/>
          <w:highlight w:val="none"/>
        </w:rPr>
        <w:t>牵</w:t>
      </w:r>
      <w:r>
        <w:rPr>
          <w:rFonts w:hint="eastAsia" w:ascii="方正仿宋_GBK" w:hAnsi="方正仿宋_GBK" w:eastAsia="方正仿宋_GBK" w:cs="方正仿宋_GBK"/>
          <w:color w:val="auto"/>
          <w:sz w:val="28"/>
          <w:szCs w:val="28"/>
          <w:highlight w:val="none"/>
        </w:rPr>
        <w:t>头，各个业务</w:t>
      </w:r>
      <w:r>
        <w:rPr>
          <w:rFonts w:hint="eastAsia" w:ascii="方正仿宋_GBK" w:hAnsi="方正仿宋_GBK" w:eastAsia="方正仿宋_GBK" w:cs="方正仿宋_GBK"/>
          <w:color w:val="auto"/>
          <w:sz w:val="28"/>
          <w:szCs w:val="28"/>
          <w:highlight w:val="none"/>
          <w:lang w:val="en-US" w:eastAsia="zh-CN"/>
        </w:rPr>
        <w:t>部门</w:t>
      </w:r>
      <w:r>
        <w:rPr>
          <w:rFonts w:hint="eastAsia" w:ascii="方正仿宋_GBK" w:hAnsi="方正仿宋_GBK" w:eastAsia="方正仿宋_GBK" w:cs="方正仿宋_GBK"/>
          <w:color w:val="auto"/>
          <w:sz w:val="28"/>
          <w:szCs w:val="28"/>
          <w:highlight w:val="none"/>
        </w:rPr>
        <w:t>配合开展。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bookmarkStart w:id="28" w:name="_Toc6007"/>
      <w:bookmarkStart w:id="29" w:name="_Toc20715"/>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项目基础数据和信息采集</w:t>
      </w:r>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评价依据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①</w:t>
      </w:r>
      <w:r>
        <w:rPr>
          <w:rFonts w:hint="eastAsia" w:ascii="方正仿宋_GBK" w:hAnsi="方正仿宋_GBK" w:eastAsia="方正仿宋_GBK" w:cs="方正仿宋_GBK"/>
          <w:color w:val="auto"/>
          <w:sz w:val="28"/>
          <w:szCs w:val="28"/>
          <w:highlight w:val="none"/>
        </w:rPr>
        <w:t>《中共中央国务院关于全面实施预算绩效管理的意见》（中发〔2018〕34号）</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②</w:t>
      </w:r>
      <w:r>
        <w:rPr>
          <w:rFonts w:hint="eastAsia" w:ascii="方正仿宋_GBK" w:hAnsi="方正仿宋_GBK" w:eastAsia="方正仿宋_GBK" w:cs="方正仿宋_GBK"/>
          <w:color w:val="auto"/>
          <w:sz w:val="28"/>
          <w:szCs w:val="28"/>
          <w:highlight w:val="none"/>
        </w:rPr>
        <w:t>《重庆市委重庆市人民政府关于全面实施预算绩效管理的实施意见》（渝委发〔2019〕12号）</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③《</w:t>
      </w:r>
      <w:r>
        <w:rPr>
          <w:rFonts w:hint="eastAsia" w:ascii="方正仿宋_GBK" w:hAnsi="方正仿宋_GBK" w:eastAsia="方正仿宋_GBK" w:cs="方正仿宋_GBK"/>
          <w:color w:val="auto"/>
          <w:sz w:val="28"/>
          <w:szCs w:val="28"/>
          <w:highlight w:val="none"/>
          <w:lang w:val="en-US" w:eastAsia="zh-CN"/>
        </w:rPr>
        <w:t>重庆市璧山区财政局关于开展2020年度绩效评价工作的通知</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璧财绩</w:t>
      </w:r>
      <w:r>
        <w:rPr>
          <w:rFonts w:hint="eastAsia" w:ascii="方正仿宋_GBK" w:hAnsi="方正仿宋_GBK" w:eastAsia="方正仿宋_GBK" w:cs="方正仿宋_GBK"/>
          <w:color w:val="auto"/>
          <w:sz w:val="28"/>
          <w:szCs w:val="28"/>
          <w:highlight w:val="none"/>
          <w:lang w:eastAsia="zh-CN"/>
        </w:rPr>
        <w:t>〔20</w:t>
      </w:r>
      <w:r>
        <w:rPr>
          <w:rFonts w:hint="eastAsia" w:ascii="方正仿宋_GBK" w:hAnsi="方正仿宋_GBK" w:eastAsia="方正仿宋_GBK" w:cs="方正仿宋_GBK"/>
          <w:color w:val="auto"/>
          <w:sz w:val="28"/>
          <w:szCs w:val="28"/>
          <w:highlight w:val="none"/>
          <w:lang w:val="en-US" w:eastAsia="zh-CN"/>
        </w:rPr>
        <w:t>21</w:t>
      </w:r>
      <w:r>
        <w:rPr>
          <w:rFonts w:hint="eastAsia" w:ascii="方正仿宋_GBK" w:hAnsi="方正仿宋_GBK" w:eastAsia="方正仿宋_GBK" w:cs="方正仿宋_GBK"/>
          <w:color w:val="auto"/>
          <w:sz w:val="28"/>
          <w:szCs w:val="28"/>
          <w:highlight w:val="none"/>
          <w:lang w:eastAsia="zh-CN"/>
        </w:rPr>
        <w:t>〕2号）。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评价过程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①</w:t>
      </w:r>
      <w:r>
        <w:rPr>
          <w:rFonts w:hint="eastAsia" w:ascii="方正仿宋_GBK" w:hAnsi="方正仿宋_GBK" w:eastAsia="方正仿宋_GBK" w:cs="方正仿宋_GBK"/>
          <w:color w:val="auto"/>
          <w:sz w:val="28"/>
          <w:szCs w:val="28"/>
          <w:highlight w:val="none"/>
        </w:rPr>
        <w:t>成立绩效评价项目组，进行人员分工；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②</w:t>
      </w:r>
      <w:r>
        <w:rPr>
          <w:rFonts w:hint="eastAsia" w:ascii="方正仿宋_GBK" w:hAnsi="方正仿宋_GBK" w:eastAsia="方正仿宋_GBK" w:cs="方正仿宋_GBK"/>
          <w:color w:val="auto"/>
          <w:sz w:val="28"/>
          <w:szCs w:val="28"/>
          <w:highlight w:val="none"/>
        </w:rPr>
        <w:t>组织项目组成员学习项目相关文件资料、熟悉项目实施方案；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③</w:t>
      </w:r>
      <w:r>
        <w:rPr>
          <w:rFonts w:hint="eastAsia" w:ascii="方正仿宋_GBK" w:hAnsi="方正仿宋_GBK" w:eastAsia="方正仿宋_GBK" w:cs="方正仿宋_GBK"/>
          <w:color w:val="auto"/>
          <w:sz w:val="28"/>
          <w:szCs w:val="28"/>
          <w:highlight w:val="none"/>
        </w:rPr>
        <w:t>项目具体负责人，经办人，业务实施负责人集中讨论汇报；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④</w:t>
      </w:r>
      <w:r>
        <w:rPr>
          <w:rFonts w:hint="eastAsia" w:ascii="方正仿宋_GBK" w:hAnsi="方正仿宋_GBK" w:eastAsia="方正仿宋_GBK" w:cs="方正仿宋_GBK"/>
          <w:color w:val="auto"/>
          <w:sz w:val="28"/>
          <w:szCs w:val="28"/>
          <w:highlight w:val="none"/>
        </w:rPr>
        <w:t>搜集整理汇总项目相关资料，对各项指标进行逐项逐条分析、评价；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⑤</w:t>
      </w:r>
      <w:r>
        <w:rPr>
          <w:rFonts w:hint="eastAsia" w:ascii="方正仿宋_GBK" w:hAnsi="方正仿宋_GBK" w:eastAsia="方正仿宋_GBK" w:cs="方正仿宋_GBK"/>
          <w:color w:val="auto"/>
          <w:sz w:val="28"/>
          <w:szCs w:val="28"/>
          <w:highlight w:val="none"/>
        </w:rPr>
        <w:t>对项目受益人、项目基层实施人员、参加培训人员开展问卷调查，获取项目资料；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⑥</w:t>
      </w:r>
      <w:r>
        <w:rPr>
          <w:rFonts w:hint="eastAsia" w:ascii="方正仿宋_GBK" w:hAnsi="方正仿宋_GBK" w:eastAsia="方正仿宋_GBK" w:cs="方正仿宋_GBK"/>
          <w:color w:val="auto"/>
          <w:sz w:val="28"/>
          <w:szCs w:val="28"/>
          <w:highlight w:val="none"/>
        </w:rPr>
        <w:t>整理、分析，撰写绩效评价报告。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left"/>
        <w:textAlignment w:val="auto"/>
        <w:outlineLvl w:val="9"/>
        <w:rPr>
          <w:rFonts w:hint="eastAsia" w:ascii="方正仿宋_GBK" w:hAnsi="方正仿宋_GBK" w:eastAsia="方正仿宋_GBK" w:cs="方正仿宋_GBK"/>
          <w:color w:val="auto"/>
          <w:sz w:val="28"/>
          <w:szCs w:val="28"/>
          <w:highlight w:val="none"/>
        </w:rPr>
      </w:pPr>
      <w:bookmarkStart w:id="30" w:name="_Toc7636"/>
      <w:bookmarkStart w:id="31" w:name="_Toc30032"/>
      <w:r>
        <w:rPr>
          <w:rFonts w:hint="eastAsia" w:ascii="方正仿宋_GBK" w:hAnsi="方正仿宋_GBK" w:eastAsia="方正仿宋_GBK" w:cs="方正仿宋_GBK"/>
          <w:color w:val="auto"/>
          <w:sz w:val="28"/>
          <w:szCs w:val="28"/>
          <w:highlight w:val="none"/>
          <w:lang w:val="en-US" w:eastAsia="zh-CN"/>
        </w:rPr>
        <w:t xml:space="preserve">1. </w:t>
      </w:r>
      <w:r>
        <w:rPr>
          <w:rFonts w:hint="eastAsia" w:ascii="方正仿宋_GBK" w:hAnsi="方正仿宋_GBK" w:eastAsia="方正仿宋_GBK" w:cs="方正仿宋_GBK"/>
          <w:color w:val="auto"/>
          <w:sz w:val="28"/>
          <w:szCs w:val="28"/>
          <w:highlight w:val="none"/>
        </w:rPr>
        <w:t>实地调查</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通过文献分析、问卷调查、文件检查、访谈法和大数据分析等方法，对我</w:t>
      </w:r>
      <w:r>
        <w:rPr>
          <w:rFonts w:hint="eastAsia" w:ascii="方正仿宋_GBK" w:hAnsi="方正仿宋_GBK" w:eastAsia="方正仿宋_GBK" w:cs="方正仿宋_GBK"/>
          <w:color w:val="auto"/>
          <w:sz w:val="28"/>
          <w:szCs w:val="28"/>
          <w:highlight w:val="none"/>
          <w:lang w:val="en-US" w:eastAsia="zh-CN"/>
        </w:rPr>
        <w:t>部门整体</w:t>
      </w:r>
      <w:r>
        <w:rPr>
          <w:rFonts w:hint="eastAsia" w:ascii="方正仿宋_GBK" w:hAnsi="方正仿宋_GBK" w:eastAsia="方正仿宋_GBK" w:cs="方正仿宋_GBK"/>
          <w:color w:val="auto"/>
          <w:sz w:val="28"/>
          <w:szCs w:val="28"/>
          <w:highlight w:val="none"/>
        </w:rPr>
        <w:t>进行绩效</w:t>
      </w:r>
      <w:r>
        <w:rPr>
          <w:rFonts w:hint="eastAsia" w:ascii="方正仿宋_GBK" w:hAnsi="方正仿宋_GBK" w:eastAsia="方正仿宋_GBK" w:cs="方正仿宋_GBK"/>
          <w:color w:val="auto"/>
          <w:sz w:val="28"/>
          <w:szCs w:val="28"/>
          <w:highlight w:val="none"/>
          <w:lang w:val="en-US" w:eastAsia="zh-CN"/>
        </w:rPr>
        <w:t>评价</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0"/>
        <w:rPr>
          <w:rFonts w:eastAsia="方正黑体_GBK"/>
          <w:color w:val="auto"/>
          <w:sz w:val="32"/>
          <w:szCs w:val="32"/>
          <w:highlight w:val="none"/>
        </w:rPr>
      </w:pPr>
      <w:bookmarkStart w:id="32" w:name="_Toc32476"/>
      <w:bookmarkStart w:id="33" w:name="_Toc2715"/>
      <w:bookmarkStart w:id="34" w:name="_Toc22099"/>
      <w:r>
        <w:rPr>
          <w:rFonts w:hint="eastAsia" w:eastAsia="方正黑体_GBK"/>
          <w:color w:val="auto"/>
          <w:sz w:val="32"/>
          <w:szCs w:val="32"/>
          <w:highlight w:val="none"/>
          <w:lang w:val="en-US" w:eastAsia="zh-CN"/>
        </w:rPr>
        <w:t>三、</w:t>
      </w:r>
      <w:r>
        <w:rPr>
          <w:rFonts w:hint="eastAsia" w:eastAsia="方正黑体_GBK"/>
          <w:color w:val="auto"/>
          <w:sz w:val="32"/>
          <w:szCs w:val="32"/>
          <w:highlight w:val="none"/>
        </w:rPr>
        <w:t>绩效</w:t>
      </w:r>
      <w:r>
        <w:rPr>
          <w:rFonts w:eastAsia="方正黑体_GBK"/>
          <w:color w:val="auto"/>
          <w:sz w:val="32"/>
          <w:szCs w:val="32"/>
          <w:highlight w:val="none"/>
        </w:rPr>
        <w:t>评价情况及结论</w:t>
      </w:r>
      <w:bookmarkEnd w:id="32"/>
      <w:bookmarkEnd w:id="33"/>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2020年度我</w:t>
      </w:r>
      <w:r>
        <w:rPr>
          <w:rFonts w:hint="eastAsia" w:ascii="方正仿宋_GBK" w:hAnsi="方正仿宋_GBK" w:eastAsia="方正仿宋_GBK" w:cs="方正仿宋_GBK"/>
          <w:color w:val="auto"/>
          <w:sz w:val="28"/>
          <w:szCs w:val="28"/>
          <w:highlight w:val="none"/>
          <w:lang w:val="en-US" w:eastAsia="zh-CN"/>
        </w:rPr>
        <w:t>部门整体</w:t>
      </w:r>
      <w:r>
        <w:rPr>
          <w:rFonts w:hint="eastAsia" w:ascii="方正仿宋_GBK" w:hAnsi="方正仿宋_GBK" w:eastAsia="方正仿宋_GBK" w:cs="方正仿宋_GBK"/>
          <w:color w:val="auto"/>
          <w:sz w:val="28"/>
          <w:szCs w:val="28"/>
          <w:highlight w:val="none"/>
        </w:rPr>
        <w:t>绩效自评得分为</w:t>
      </w:r>
      <w:r>
        <w:rPr>
          <w:rFonts w:hint="eastAsia" w:ascii="方正仿宋_GBK" w:hAnsi="方正仿宋_GBK" w:eastAsia="方正仿宋_GBK" w:cs="方正仿宋_GBK"/>
          <w:color w:val="auto"/>
          <w:sz w:val="28"/>
          <w:szCs w:val="28"/>
          <w:highlight w:val="none"/>
          <w:lang w:val="en-US" w:eastAsia="zh-CN"/>
        </w:rPr>
        <w:t>96.5</w:t>
      </w:r>
      <w:r>
        <w:rPr>
          <w:rFonts w:hint="eastAsia" w:ascii="方正仿宋_GBK" w:hAnsi="方正仿宋_GBK" w:eastAsia="方正仿宋_GBK" w:cs="方正仿宋_GBK"/>
          <w:color w:val="auto"/>
          <w:sz w:val="28"/>
          <w:szCs w:val="28"/>
          <w:highlight w:val="none"/>
        </w:rPr>
        <w:t>分。详</w:t>
      </w:r>
      <w:r>
        <w:rPr>
          <w:rFonts w:hint="eastAsia" w:ascii="方正仿宋_GBK" w:hAnsi="方正仿宋_GBK" w:eastAsia="方正仿宋_GBK" w:cs="方正仿宋_GBK"/>
          <w:color w:val="auto"/>
          <w:sz w:val="28"/>
          <w:szCs w:val="28"/>
          <w:highlight w:val="none"/>
        </w:rPr>
        <w:t>细情况分析如下：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1"/>
        <w:rPr>
          <w:rFonts w:hint="eastAsia" w:ascii="方正楷体_GBK" w:hAnsi="方正楷体_GBK" w:eastAsia="方正楷体_GBK" w:cs="方正楷体_GBK"/>
          <w:color w:val="auto"/>
          <w:sz w:val="28"/>
          <w:szCs w:val="28"/>
        </w:rPr>
      </w:pPr>
      <w:bookmarkStart w:id="35" w:name="_Toc12119"/>
      <w:bookmarkStart w:id="36" w:name="_Toc4923"/>
      <w:bookmarkStart w:id="37" w:name="_Toc11745"/>
      <w:r>
        <w:rPr>
          <w:rFonts w:hint="eastAsia" w:ascii="方正楷体_GBK" w:hAnsi="方正楷体_GBK" w:eastAsia="方正楷体_GBK" w:cs="方正楷体_GBK"/>
          <w:color w:val="auto"/>
          <w:sz w:val="28"/>
          <w:szCs w:val="28"/>
        </w:rPr>
        <w:t>（一）投入评价情况</w:t>
      </w:r>
      <w:bookmarkEnd w:id="35"/>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2020年，我部门投入指标在整体绩效自评中所占分值为7分，实际得分为7分，详细得分情况如下：</w:t>
      </w:r>
    </w:p>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textAlignment w:val="auto"/>
        <w:outlineLvl w:val="2"/>
        <w:rPr>
          <w:rFonts w:hint="eastAsia" w:ascii="方正仿宋_GBK" w:hAnsi="方正仿宋_GBK" w:eastAsia="方正仿宋_GBK" w:cs="方正仿宋_GBK"/>
          <w:color w:val="auto"/>
          <w:sz w:val="28"/>
          <w:szCs w:val="28"/>
          <w:lang w:val="en-US" w:eastAsia="zh-CN"/>
        </w:rPr>
      </w:pPr>
      <w:bookmarkStart w:id="38" w:name="_Toc1292"/>
      <w:bookmarkStart w:id="39" w:name="_Toc15416"/>
      <w:bookmarkStart w:id="40" w:name="_Toc2954"/>
      <w:r>
        <w:rPr>
          <w:rFonts w:hint="eastAsia" w:ascii="方正仿宋_GBK" w:hAnsi="方正仿宋_GBK" w:eastAsia="方正仿宋_GBK" w:cs="方正仿宋_GBK"/>
          <w:color w:val="auto"/>
          <w:sz w:val="28"/>
          <w:szCs w:val="28"/>
          <w:lang w:val="en-US" w:eastAsia="zh-CN"/>
        </w:rPr>
        <w:t>1. 目标设定</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（1）绩效目标合理性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lang w:val="en-US" w:eastAsia="zh-CN"/>
        </w:rPr>
        <w:t>2020年度，我部门依据国家法律法规、国民经济和社会发展总体规划，以及《中共重庆市璧山区委办公室重庆市璧山区人民政府办公室关于印发&lt;中共璧山高新技术产业开发区工作委员会璧山高新技术产业开发区管理委员会主要职责内设机构和人员编制规定&gt;的通知》（璧山委办发〔2016〕16号）中所定的职能职责，制定了部门整体工作计划。我</w:t>
      </w:r>
      <w:r>
        <w:rPr>
          <w:rFonts w:hint="eastAsia" w:ascii="方正仿宋_GBK" w:hAnsi="方正仿宋_GBK" w:eastAsia="方正仿宋_GBK" w:cs="方正仿宋_GBK"/>
          <w:color w:val="auto"/>
          <w:sz w:val="28"/>
          <w:szCs w:val="28"/>
        </w:rPr>
        <w:t>部门</w:t>
      </w:r>
      <w:r>
        <w:rPr>
          <w:rFonts w:hint="eastAsia" w:ascii="方正仿宋_GBK" w:hAnsi="方正仿宋_GBK" w:eastAsia="方正仿宋_GBK" w:cs="方正仿宋_GBK"/>
          <w:color w:val="auto"/>
          <w:sz w:val="28"/>
          <w:szCs w:val="28"/>
          <w:lang w:val="en-US" w:eastAsia="zh-CN"/>
        </w:rPr>
        <w:t>制定的</w:t>
      </w:r>
      <w:r>
        <w:rPr>
          <w:rFonts w:hint="eastAsia" w:ascii="方正仿宋_GBK" w:hAnsi="方正仿宋_GBK" w:eastAsia="方正仿宋_GBK" w:cs="方正仿宋_GBK"/>
          <w:color w:val="auto"/>
          <w:sz w:val="28"/>
          <w:szCs w:val="28"/>
        </w:rPr>
        <w:t>整体</w:t>
      </w:r>
      <w:r>
        <w:rPr>
          <w:rFonts w:hint="eastAsia" w:ascii="方正仿宋_GBK" w:hAnsi="方正仿宋_GBK" w:eastAsia="方正仿宋_GBK" w:cs="方正仿宋_GBK"/>
          <w:color w:val="auto"/>
          <w:sz w:val="28"/>
          <w:szCs w:val="28"/>
          <w:lang w:val="en-US" w:eastAsia="zh-CN"/>
        </w:rPr>
        <w:t>工作计划</w:t>
      </w:r>
      <w:r>
        <w:rPr>
          <w:rFonts w:hint="eastAsia" w:ascii="方正仿宋_GBK" w:hAnsi="方正仿宋_GBK" w:eastAsia="方正仿宋_GBK" w:cs="方正仿宋_GBK"/>
          <w:color w:val="auto"/>
          <w:sz w:val="28"/>
          <w:szCs w:val="28"/>
        </w:rPr>
        <w:t>与</w:t>
      </w:r>
      <w:r>
        <w:rPr>
          <w:rFonts w:hint="eastAsia" w:ascii="方正仿宋_GBK" w:hAnsi="方正仿宋_GBK" w:eastAsia="方正仿宋_GBK" w:cs="方正仿宋_GBK"/>
          <w:color w:val="auto"/>
          <w:sz w:val="28"/>
          <w:szCs w:val="28"/>
          <w:lang w:val="en-US" w:eastAsia="zh-CN"/>
        </w:rPr>
        <w:t>部门中长期实施规划、</w:t>
      </w:r>
      <w:r>
        <w:rPr>
          <w:rFonts w:hint="eastAsia" w:ascii="方正仿宋_GBK" w:hAnsi="方正仿宋_GBK" w:eastAsia="方正仿宋_GBK" w:cs="方正仿宋_GBK"/>
          <w:color w:val="auto"/>
          <w:sz w:val="28"/>
          <w:szCs w:val="28"/>
        </w:rPr>
        <w:t>部门履职、年度工作任务</w:t>
      </w:r>
      <w:r>
        <w:rPr>
          <w:rFonts w:hint="eastAsia" w:ascii="方正仿宋_GBK" w:hAnsi="方正仿宋_GBK" w:eastAsia="方正仿宋_GBK" w:cs="方正仿宋_GBK"/>
          <w:color w:val="auto"/>
          <w:sz w:val="28"/>
          <w:szCs w:val="28"/>
          <w:lang w:val="en-US" w:eastAsia="zh-CN"/>
        </w:rPr>
        <w:t>完全符合，</w:t>
      </w:r>
      <w:r>
        <w:rPr>
          <w:rFonts w:hint="eastAsia" w:ascii="方正仿宋_GBK" w:hAnsi="方正仿宋_GBK" w:eastAsia="方正仿宋_GBK" w:cs="方正仿宋_GBK"/>
          <w:color w:val="auto"/>
          <w:sz w:val="28"/>
          <w:szCs w:val="28"/>
          <w:highlight w:val="none"/>
          <w:lang w:val="en-US" w:eastAsia="zh-CN"/>
        </w:rPr>
        <w:t>该指标得1分。</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绩效指标明确性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2020年度，我部门根据本部门的年度预算与年度计划，将部门整体工作计划细化分解为具体的15个预算项目，分别对应编制了《项目支出绩效目标申报表》，并通过清晰、可衡量的指标值予以</w:t>
      </w:r>
      <w:r>
        <w:rPr>
          <w:rFonts w:hint="eastAsia" w:ascii="方正仿宋_GBK" w:hAnsi="方正仿宋_GBK" w:eastAsia="方正仿宋_GBK" w:cs="方正仿宋_GBK"/>
          <w:color w:val="auto"/>
          <w:sz w:val="28"/>
          <w:szCs w:val="28"/>
          <w:highlight w:val="none"/>
          <w:lang w:val="en-US" w:eastAsia="zh-CN"/>
        </w:rPr>
        <w:t>体现，该指标得2分</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left="0" w:leftChars="0" w:firstLine="560" w:firstLineChars="200"/>
        <w:textAlignment w:val="auto"/>
        <w:outlineLvl w:val="2"/>
        <w:rPr>
          <w:rFonts w:hint="eastAsia" w:ascii="方正仿宋_GBK" w:hAnsi="方正仿宋_GBK" w:eastAsia="方正仿宋_GBK" w:cs="方正仿宋_GBK"/>
          <w:color w:val="auto"/>
          <w:sz w:val="28"/>
          <w:szCs w:val="28"/>
          <w:lang w:val="en-US" w:eastAsia="zh-CN"/>
        </w:rPr>
      </w:pPr>
      <w:bookmarkStart w:id="41" w:name="_Toc12158"/>
      <w:bookmarkStart w:id="42" w:name="_Toc20603"/>
      <w:bookmarkStart w:id="43" w:name="_Toc2387"/>
      <w:r>
        <w:rPr>
          <w:rFonts w:hint="eastAsia" w:ascii="方正仿宋_GBK" w:hAnsi="方正仿宋_GBK" w:eastAsia="方正仿宋_GBK" w:cs="方正仿宋_GBK"/>
          <w:color w:val="auto"/>
          <w:sz w:val="28"/>
          <w:szCs w:val="28"/>
          <w:lang w:val="en-US" w:eastAsia="zh-CN"/>
        </w:rPr>
        <w:t>2. 预算配置</w:t>
      </w:r>
      <w:bookmarkEnd w:id="41"/>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（1）在职人员控制率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2020年我部门年末编制89人，实际在职正式职工84人，临聘人员33人，在职人员控制率为94.38%，该指标得2分。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（2）"三公经费"变动率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2020年部门“三公”经费预算共计1,220,800.00元，同2019年“三公”经费预算1,406,500.00元相比减少185,700.00元。</w:t>
      </w:r>
      <w:r>
        <w:rPr>
          <w:rFonts w:hint="eastAsia" w:ascii="方正仿宋_GBK" w:hAnsi="方正仿宋_GBK" w:eastAsia="方正仿宋_GBK" w:cs="方正仿宋_GBK"/>
          <w:color w:val="auto"/>
          <w:sz w:val="28"/>
          <w:szCs w:val="28"/>
          <w:highlight w:val="none"/>
          <w:lang w:val="en-US" w:eastAsia="zh-CN"/>
        </w:rPr>
        <w:t>其中：2020年度未产生因公出国（境）费用，与2019年持平；公务接待费920,800.00元，比2019年减少159,054.00元，主要原因系按中央八项规定严格开支和单位对公务接待严格规范，公务接待费较去年减少；公务用车运行维护费300,000.00元，比2019年持减少26,646.00元。</w:t>
      </w:r>
      <w:r>
        <w:rPr>
          <w:rFonts w:hint="eastAsia" w:ascii="方正仿宋_GBK" w:hAnsi="方正仿宋_GBK" w:eastAsia="方正仿宋_GBK" w:cs="方正仿宋_GBK"/>
          <w:color w:val="auto"/>
          <w:sz w:val="28"/>
          <w:szCs w:val="28"/>
          <w:lang w:val="en-US" w:eastAsia="zh-CN"/>
        </w:rPr>
        <w:t>“三公经费”变动率为-13.24%，</w:t>
      </w:r>
      <w:r>
        <w:rPr>
          <w:rFonts w:hint="eastAsia" w:ascii="方正仿宋_GBK" w:hAnsi="方正仿宋_GBK" w:eastAsia="方正仿宋_GBK" w:cs="方正仿宋_GBK"/>
          <w:color w:val="auto"/>
          <w:sz w:val="28"/>
          <w:szCs w:val="28"/>
          <w:highlight w:val="none"/>
          <w:lang w:val="en-US" w:eastAsia="zh-CN"/>
        </w:rPr>
        <w:t>该指标得2分。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1"/>
        <w:rPr>
          <w:rFonts w:hint="eastAsia" w:ascii="方正楷体_GBK" w:hAnsi="方正楷体_GBK" w:eastAsia="方正楷体_GBK" w:cs="方正楷体_GBK"/>
          <w:color w:val="auto"/>
          <w:sz w:val="28"/>
          <w:szCs w:val="28"/>
        </w:rPr>
      </w:pPr>
      <w:bookmarkStart w:id="44" w:name="_Toc17017"/>
      <w:bookmarkStart w:id="45" w:name="_Toc8924"/>
      <w:bookmarkStart w:id="46" w:name="_Toc17438"/>
      <w:r>
        <w:rPr>
          <w:rFonts w:hint="eastAsia" w:ascii="方正楷体_GBK" w:hAnsi="方正楷体_GBK" w:eastAsia="方正楷体_GBK" w:cs="方正楷体_GBK"/>
          <w:color w:val="auto"/>
          <w:sz w:val="28"/>
          <w:szCs w:val="28"/>
        </w:rPr>
        <w:t>（二）过程评价情况</w:t>
      </w:r>
      <w:bookmarkEnd w:id="44"/>
      <w:bookmarkEnd w:id="45"/>
      <w:bookmarkEnd w:id="46"/>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2020年，我部门过程</w:t>
      </w:r>
      <w:r>
        <w:rPr>
          <w:rFonts w:hint="eastAsia" w:ascii="方正仿宋_GBK" w:hAnsi="方正仿宋_GBK" w:eastAsia="方正仿宋_GBK" w:cs="方正仿宋_GBK"/>
          <w:color w:val="auto"/>
          <w:sz w:val="28"/>
          <w:szCs w:val="28"/>
          <w:lang w:val="en-US" w:eastAsia="zh-CN"/>
        </w:rPr>
        <w:t>指标</w:t>
      </w:r>
      <w:r>
        <w:rPr>
          <w:rFonts w:hint="eastAsia" w:ascii="方正仿宋_GBK" w:hAnsi="方正仿宋_GBK" w:eastAsia="方正仿宋_GBK" w:cs="方正仿宋_GBK"/>
          <w:color w:val="auto"/>
          <w:sz w:val="28"/>
          <w:szCs w:val="28"/>
        </w:rPr>
        <w:t>在整体绩效自评中所占分值为</w:t>
      </w:r>
      <w:r>
        <w:rPr>
          <w:rFonts w:hint="eastAsia" w:ascii="方正仿宋_GBK" w:hAnsi="方正仿宋_GBK" w:eastAsia="方正仿宋_GBK" w:cs="方正仿宋_GBK"/>
          <w:color w:val="auto"/>
          <w:sz w:val="28"/>
          <w:szCs w:val="28"/>
          <w:lang w:val="en-US" w:eastAsia="zh-CN"/>
        </w:rPr>
        <w:t>24</w:t>
      </w:r>
      <w:r>
        <w:rPr>
          <w:rFonts w:hint="eastAsia" w:ascii="方正仿宋_GBK" w:hAnsi="方正仿宋_GBK" w:eastAsia="方正仿宋_GBK" w:cs="方正仿宋_GBK"/>
          <w:color w:val="auto"/>
          <w:sz w:val="28"/>
          <w:szCs w:val="28"/>
        </w:rPr>
        <w:t>分，实际得分</w:t>
      </w:r>
      <w:r>
        <w:rPr>
          <w:rFonts w:hint="eastAsia" w:ascii="方正仿宋_GBK" w:hAnsi="方正仿宋_GBK" w:eastAsia="方正仿宋_GBK" w:cs="方正仿宋_GBK"/>
          <w:color w:val="auto"/>
          <w:sz w:val="28"/>
          <w:szCs w:val="28"/>
          <w:highlight w:val="none"/>
        </w:rPr>
        <w:t>为</w:t>
      </w:r>
      <w:r>
        <w:rPr>
          <w:rFonts w:hint="eastAsia" w:ascii="方正仿宋_GBK" w:hAnsi="方正仿宋_GBK" w:eastAsia="方正仿宋_GBK" w:cs="方正仿宋_GBK"/>
          <w:color w:val="auto"/>
          <w:sz w:val="28"/>
          <w:szCs w:val="28"/>
          <w:highlight w:val="none"/>
          <w:lang w:val="en-US" w:eastAsia="zh-CN"/>
        </w:rPr>
        <w:t>20.5</w:t>
      </w:r>
      <w:r>
        <w:rPr>
          <w:rFonts w:hint="eastAsia" w:ascii="方正仿宋_GBK" w:hAnsi="方正仿宋_GBK" w:eastAsia="方正仿宋_GBK" w:cs="方正仿宋_GBK"/>
          <w:color w:val="auto"/>
          <w:sz w:val="28"/>
          <w:szCs w:val="28"/>
          <w:highlight w:val="none"/>
        </w:rPr>
        <w:t>分</w:t>
      </w:r>
      <w:r>
        <w:rPr>
          <w:rFonts w:hint="eastAsia" w:ascii="方正仿宋_GBK" w:hAnsi="方正仿宋_GBK" w:eastAsia="方正仿宋_GBK" w:cs="方正仿宋_GBK"/>
          <w:color w:val="auto"/>
          <w:sz w:val="28"/>
          <w:szCs w:val="28"/>
        </w:rPr>
        <w:t>，详细得分情况如下：</w:t>
      </w:r>
    </w:p>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textAlignment w:val="auto"/>
        <w:outlineLvl w:val="2"/>
        <w:rPr>
          <w:rFonts w:hint="eastAsia" w:ascii="方正仿宋_GBK" w:hAnsi="方正仿宋_GBK" w:eastAsia="方正仿宋_GBK" w:cs="方正仿宋_GBK"/>
          <w:color w:val="auto"/>
          <w:sz w:val="28"/>
          <w:szCs w:val="28"/>
          <w:lang w:val="en-US" w:eastAsia="zh-CN"/>
        </w:rPr>
      </w:pPr>
      <w:bookmarkStart w:id="47" w:name="_Toc20572"/>
      <w:bookmarkStart w:id="48" w:name="_Toc19964"/>
      <w:bookmarkStart w:id="49" w:name="_Toc2761"/>
      <w:r>
        <w:rPr>
          <w:rFonts w:hint="eastAsia" w:ascii="方正仿宋_GBK" w:hAnsi="方正仿宋_GBK" w:eastAsia="方正仿宋_GBK" w:cs="方正仿宋_GBK"/>
          <w:color w:val="auto"/>
          <w:sz w:val="28"/>
          <w:szCs w:val="28"/>
          <w:lang w:val="en-US" w:eastAsia="zh-CN"/>
        </w:rPr>
        <w:t>1. 预算执行</w:t>
      </w:r>
      <w:bookmarkEnd w:id="47"/>
      <w:bookmarkEnd w:id="48"/>
      <w:bookmarkEnd w:id="49"/>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（1）预算完成率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2020年度，部门年初预算数3,148,458,515.86元；本年收入合计3,685,352,433.6元，包括一般公共预算财政拨款243,213,880.48元、政府性基金预算财政拨款3,442,138,553.12元；年初财政拨款结转和结余合计9,417,232.22元，包括其他污染防治支出5,194,400元、征地和拆迁补偿支出4</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lang w:val="en-US" w:eastAsia="zh-CN"/>
        </w:rPr>
        <w:t>222</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lang w:val="en-US" w:eastAsia="zh-CN"/>
        </w:rPr>
        <w:t>832.22元；年度中期调整预算数536,893,917.7元，预算完成数3,689,575,265.82元，预算完成率为100%，该指标得1.5分。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（2）预算调整率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2020年度，部门年初预算数为3,148,458,515.86元，年度中期调整预算数为43,521,398.32元，预算调整金额为536,893,917.70元，预算调整率为17.05%，扣1分，该指标得0.5分。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（3）结转结余率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2020年度，</w:t>
      </w:r>
      <w:r>
        <w:rPr>
          <w:rFonts w:hint="eastAsia" w:ascii="方正仿宋_GBK" w:hAnsi="方正仿宋_GBK" w:eastAsia="方正仿宋_GBK" w:cs="方正仿宋_GBK"/>
          <w:color w:val="auto"/>
          <w:sz w:val="28"/>
          <w:szCs w:val="28"/>
          <w:highlight w:val="none"/>
          <w:lang w:val="en-US" w:eastAsia="zh-CN"/>
        </w:rPr>
        <w:t>部门</w:t>
      </w:r>
      <w:r>
        <w:rPr>
          <w:rFonts w:hint="eastAsia" w:ascii="方正仿宋_GBK" w:hAnsi="方正仿宋_GBK" w:eastAsia="方正仿宋_GBK" w:cs="方正仿宋_GBK"/>
          <w:color w:val="auto"/>
          <w:sz w:val="28"/>
          <w:szCs w:val="28"/>
          <w:highlight w:val="none"/>
          <w:lang w:val="en-US" w:eastAsia="zh-CN"/>
        </w:rPr>
        <w:t>年末财政拨款结转和结余</w:t>
      </w:r>
      <w:r>
        <w:rPr>
          <w:rFonts w:hint="eastAsia" w:ascii="方正仿宋_GBK" w:hAnsi="方正仿宋_GBK" w:eastAsia="方正仿宋_GBK" w:cs="方正仿宋_GBK"/>
          <w:color w:val="auto"/>
          <w:sz w:val="28"/>
          <w:szCs w:val="28"/>
          <w:highlight w:val="none"/>
          <w:lang w:val="en-US" w:eastAsia="zh-CN"/>
        </w:rPr>
        <w:t>总额5,194,400.00元，支出预算数3,148,458,515.86元，结转结余率为0.16%，该指标得1.5分。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（4）公用经费控制率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2020年度，</w:t>
      </w:r>
      <w:r>
        <w:rPr>
          <w:rFonts w:hint="eastAsia" w:ascii="方正仿宋_GBK" w:hAnsi="方正仿宋_GBK" w:eastAsia="方正仿宋_GBK" w:cs="方正仿宋_GBK"/>
          <w:color w:val="auto"/>
          <w:sz w:val="28"/>
          <w:szCs w:val="28"/>
          <w:highlight w:val="none"/>
          <w:lang w:val="en-US" w:eastAsia="zh-CN"/>
        </w:rPr>
        <w:t>部门</w:t>
      </w:r>
      <w:r>
        <w:rPr>
          <w:rFonts w:hint="eastAsia" w:ascii="方正仿宋_GBK" w:hAnsi="方正仿宋_GBK" w:eastAsia="方正仿宋_GBK" w:cs="方正仿宋_GBK"/>
          <w:color w:val="auto"/>
          <w:sz w:val="28"/>
          <w:szCs w:val="28"/>
          <w:highlight w:val="none"/>
          <w:lang w:val="en-US" w:eastAsia="zh-CN"/>
        </w:rPr>
        <w:t>公用经费实际支出3</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670</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146</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764.67元，公用经费预算安排3</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670</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146</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764.67元，公用经费控制率为</w:t>
      </w:r>
      <w:r>
        <w:rPr>
          <w:rFonts w:hint="eastAsia" w:ascii="方正仿宋_GBK" w:hAnsi="方正仿宋_GBK" w:eastAsia="方正仿宋_GBK" w:cs="方正仿宋_GBK"/>
          <w:color w:val="auto"/>
          <w:sz w:val="28"/>
          <w:szCs w:val="28"/>
          <w:highlight w:val="none"/>
          <w:lang w:val="en-US" w:eastAsia="zh-CN"/>
        </w:rPr>
        <w:t>100</w:t>
      </w:r>
      <w:r>
        <w:rPr>
          <w:rFonts w:hint="eastAsia" w:ascii="方正仿宋_GBK" w:hAnsi="方正仿宋_GBK" w:eastAsia="方正仿宋_GBK" w:cs="方正仿宋_GBK"/>
          <w:color w:val="auto"/>
          <w:sz w:val="28"/>
          <w:szCs w:val="28"/>
          <w:highlight w:val="none"/>
          <w:lang w:val="en-US" w:eastAsia="zh-CN"/>
        </w:rPr>
        <w:t>%。该指标得</w:t>
      </w:r>
      <w:r>
        <w:rPr>
          <w:rFonts w:hint="eastAsia" w:ascii="方正仿宋_GBK" w:hAnsi="方正仿宋_GBK" w:eastAsia="方正仿宋_GBK" w:cs="方正仿宋_GBK"/>
          <w:color w:val="auto"/>
          <w:sz w:val="28"/>
          <w:szCs w:val="28"/>
          <w:highlight w:val="none"/>
          <w:lang w:val="en-US" w:eastAsia="zh-CN"/>
        </w:rPr>
        <w:t>1.5</w:t>
      </w:r>
      <w:r>
        <w:rPr>
          <w:rFonts w:hint="eastAsia" w:ascii="方正仿宋_GBK" w:hAnsi="方正仿宋_GBK" w:eastAsia="方正仿宋_GBK" w:cs="方正仿宋_GBK"/>
          <w:color w:val="auto"/>
          <w:sz w:val="28"/>
          <w:szCs w:val="28"/>
          <w:highlight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（5）"三公经费"控制率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2020年度，部门"三公经费"实际支出1,260,108.54元，“三公经费”预算安排1,220,800元，"三公经费"控制率为103.2%。该指标不得分。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（6）政府采购执行率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2020年度，部门政府实际采购金额366,204,589.40元，由于年度未对采购事项进行预算安排，故采购执行率超过105%。该指标不得分。</w:t>
      </w:r>
    </w:p>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left="420" w:leftChars="200" w:firstLine="280" w:firstLineChars="100"/>
        <w:textAlignment w:val="auto"/>
        <w:outlineLvl w:val="2"/>
        <w:rPr>
          <w:rFonts w:hint="eastAsia" w:ascii="方正仿宋_GBK" w:hAnsi="方正仿宋_GBK" w:eastAsia="方正仿宋_GBK" w:cs="方正仿宋_GBK"/>
          <w:color w:val="auto"/>
          <w:sz w:val="28"/>
          <w:szCs w:val="28"/>
          <w:lang w:val="en-US" w:eastAsia="zh-CN"/>
        </w:rPr>
      </w:pPr>
      <w:bookmarkStart w:id="50" w:name="_Toc9087"/>
      <w:bookmarkStart w:id="51" w:name="_Toc17776"/>
      <w:bookmarkStart w:id="52" w:name="_Toc15766"/>
      <w:r>
        <w:rPr>
          <w:rFonts w:hint="eastAsia" w:ascii="方正仿宋_GBK" w:hAnsi="方正仿宋_GBK" w:eastAsia="方正仿宋_GBK" w:cs="方正仿宋_GBK"/>
          <w:color w:val="auto"/>
          <w:sz w:val="28"/>
          <w:szCs w:val="28"/>
          <w:lang w:val="en-US" w:eastAsia="zh-CN"/>
        </w:rPr>
        <w:t>2. 预算管理</w:t>
      </w:r>
      <w:bookmarkEnd w:id="50"/>
      <w:bookmarkEnd w:id="51"/>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（1）管理制度健全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lang w:val="en-US" w:eastAsia="zh-CN"/>
        </w:rPr>
        <w:t>我部门整体经济业务共涉及预算、收支、采购、资产、建设项目以及合同等六大业务板块，针对各业务板块分别设有相关的经济业务管理制度：预算管理内部控制制度、收支管理内部控制制度、政府采购内部控制制度、资产管理内部控制制度、建设项目内部控制制度、合同管理内部控制制度，在部门财务和会计核算等相关工作设立了财务管理制度、会计核算制度等相关管理制度。各项制度合法合规且完整，共同构成了我部门预算管理制度体系。</w:t>
      </w:r>
      <w:r>
        <w:rPr>
          <w:rFonts w:hint="eastAsia" w:ascii="方正仿宋_GBK" w:hAnsi="方正仿宋_GBK" w:eastAsia="方正仿宋_GBK" w:cs="方正仿宋_GBK"/>
          <w:color w:val="auto"/>
          <w:sz w:val="28"/>
          <w:szCs w:val="28"/>
          <w:highlight w:val="none"/>
          <w:lang w:val="en-US" w:eastAsia="zh-CN"/>
        </w:rPr>
        <w:t>我部门根据《中华人民共和国会计法》、《中华人民共和国国家金库条例》、《党政机关厉行节约反对浪费条例》结合我部门实际情况编制了《璧山高新技术产业开发区管理委员会内部控制手册》，该指标得1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（2）资金使用合规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2020年，我部门根据《中华人民共和国预算法》（2014年），《行政事业单位内部控制规范（试行）》（财会[2012]21号），《重庆市预算审查监督条例》（重庆市人民代表大会常务委员会公告〔2016〕第45号）等重庆市政策以及我部门实际情况制定了《璧山高新技术产业开发区管理委员会内部控制手册》，并严格按照该制度执行相关工作，囊括了年度预算编制、年度收支计划编制、预算执行分析、决算编制、预决算信息公开、预算绩效评价等关键业务，资金使用无截留、挤占、挪用、虚列支出等情况。该指标得5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（3）预决算信息公开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我部门根据信息公开要求，及时撰写《璧山高新技术产业开发区管理委员会2020年部门预算情况说明》和《2020年预算公开表》，按时保质的完成了信息公开工作，</w:t>
      </w:r>
      <w:r>
        <w:rPr>
          <w:rFonts w:hint="eastAsia" w:ascii="方正仿宋_GBK" w:hAnsi="方正仿宋_GBK" w:eastAsia="方正仿宋_GBK" w:cs="方正仿宋_GBK"/>
          <w:color w:val="auto"/>
          <w:sz w:val="28"/>
          <w:szCs w:val="28"/>
          <w:highlight w:val="none"/>
          <w:lang w:val="en-US" w:eastAsia="zh-CN"/>
        </w:rPr>
        <w:t>该指标得1分</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（4）工程项目管理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2020年，我部门完成璧山高新区范围内道路路灯工程包括路面拆除及恢复、手孔井砌筑、PVC110双璧波纹管铺设、电缆铺设、管沟及基坑土石方开挖及回填、余方弃置等工程项目。达到限额标准的项目均按照要求通过招投标或竞争性比选程序实施；中标单位与实际施工单位一致，项目经理与合同指派一致，人员变更按合同要求取得建设单位同意。该指标得3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（5）基础信息完善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2020年，我部门基础数据信息和会计信息资料均按照相关法律法规以及上级文件要求进行填列、保管，信息资料真实、完整、准确。该指标得1分。</w:t>
      </w:r>
    </w:p>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left="420" w:leftChars="200" w:firstLine="280" w:firstLineChars="100"/>
        <w:textAlignment w:val="auto"/>
        <w:outlineLvl w:val="2"/>
        <w:rPr>
          <w:rFonts w:hint="eastAsia" w:ascii="方正仿宋_GBK" w:hAnsi="方正仿宋_GBK" w:eastAsia="方正仿宋_GBK" w:cs="方正仿宋_GBK"/>
          <w:color w:val="auto"/>
          <w:sz w:val="28"/>
          <w:szCs w:val="28"/>
          <w:lang w:val="en-US" w:eastAsia="zh-CN"/>
        </w:rPr>
      </w:pPr>
      <w:bookmarkStart w:id="53" w:name="_Toc21335"/>
      <w:bookmarkStart w:id="54" w:name="_Toc32735"/>
      <w:bookmarkStart w:id="55" w:name="_Toc20328"/>
      <w:r>
        <w:rPr>
          <w:rFonts w:hint="eastAsia" w:ascii="方正仿宋_GBK" w:hAnsi="方正仿宋_GBK" w:eastAsia="方正仿宋_GBK" w:cs="方正仿宋_GBK"/>
          <w:color w:val="auto"/>
          <w:sz w:val="28"/>
          <w:szCs w:val="28"/>
          <w:lang w:val="en-US" w:eastAsia="zh-CN"/>
        </w:rPr>
        <w:t>3. 资产管理</w:t>
      </w:r>
      <w:bookmarkEnd w:id="53"/>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（1）管理制度健全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lang w:val="en-US" w:eastAsia="zh-CN"/>
        </w:rPr>
        <w:t>2020年，我部门参照《重庆市璧山区行政事业单位国有资产管理办法》结合我部门的国有资产实际情况制定了《</w:t>
      </w:r>
      <w:r>
        <w:rPr>
          <w:rFonts w:hint="eastAsia" w:ascii="方正仿宋_GBK" w:hAnsi="方正仿宋_GBK" w:eastAsia="方正仿宋_GBK" w:cs="方正仿宋_GBK"/>
          <w:color w:val="auto"/>
          <w:sz w:val="28"/>
          <w:szCs w:val="28"/>
          <w:highlight w:val="none"/>
          <w:lang w:val="en-US" w:eastAsia="zh-CN"/>
        </w:rPr>
        <w:t>璧山高新技术产业开发区管理委员会内部控制手册</w:t>
      </w:r>
      <w:r>
        <w:rPr>
          <w:rFonts w:hint="eastAsia" w:ascii="方正仿宋_GBK" w:hAnsi="方正仿宋_GBK" w:eastAsia="方正仿宋_GBK" w:cs="方正仿宋_GBK"/>
          <w:color w:val="auto"/>
          <w:sz w:val="28"/>
          <w:szCs w:val="28"/>
          <w:lang w:val="en-US" w:eastAsia="zh-CN"/>
        </w:rPr>
        <w:t>》，同时根据《中华人民共和国会计法》、《现金管理条例》等有关财经法规，结合部门实际情况制定《货币资金管理制度》，根据国有资产的配置使用、处置等相关情况编制了《2020年资产台账》和《2020</w:t>
      </w:r>
      <w:r>
        <w:rPr>
          <w:rFonts w:hint="eastAsia" w:ascii="方正仿宋_GBK" w:hAnsi="方正仿宋_GBK" w:eastAsia="方正仿宋_GBK" w:cs="方正仿宋_GBK"/>
          <w:color w:val="auto"/>
          <w:sz w:val="28"/>
          <w:szCs w:val="28"/>
          <w:highlight w:val="none"/>
          <w:lang w:val="en-US" w:eastAsia="zh-CN"/>
        </w:rPr>
        <w:t>年资产报表分析报告》，该指标得1.5分。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（2）资产管理安全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2020年，我部门根据《行政单位国有资产管理暂行办法》（财政部令第35号）、《事业单位国有资产管理暂行办法》（财政部令第36号）等有关规定对部门资产进行管理，结合我部门实际情况建立了《璧山高新技术产业开发区管理委员会内部控制手册》和《资产台账》，形成了资产保存完整、使用合规、配置合理、处置规范、收入及时足额上缴、账实相符的工作局面，并结合《行政事业单位国有资产报告制度》等有关规定对我部门本年度资产总体、配置、使用、处置以及收益情况等分析报告，形成《2020年度行政事业性国有资产分析报告内容提要》。该指标得2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（3）固定资产利用率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截至2020</w:t>
      </w:r>
      <w:r>
        <w:rPr>
          <w:rFonts w:hint="eastAsia" w:ascii="方正仿宋_GBK" w:hAnsi="方正仿宋_GBK" w:eastAsia="方正仿宋_GBK" w:cs="方正仿宋_GBK"/>
          <w:color w:val="auto"/>
          <w:sz w:val="28"/>
          <w:szCs w:val="28"/>
          <w:highlight w:val="none"/>
          <w:lang w:val="en-US" w:eastAsia="zh-CN"/>
        </w:rPr>
        <w:t>年</w:t>
      </w:r>
      <w:r>
        <w:rPr>
          <w:rFonts w:hint="eastAsia" w:ascii="方正仿宋_GBK" w:hAnsi="方正仿宋_GBK" w:eastAsia="方正仿宋_GBK" w:cs="方正仿宋_GBK"/>
          <w:color w:val="auto"/>
          <w:sz w:val="28"/>
          <w:szCs w:val="28"/>
          <w:highlight w:val="none"/>
          <w:lang w:val="en-US" w:eastAsia="zh-CN"/>
        </w:rPr>
        <w:t>12月31日</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我部门</w:t>
      </w:r>
      <w:r>
        <w:rPr>
          <w:rFonts w:hint="eastAsia" w:ascii="方正仿宋_GBK" w:hAnsi="方正仿宋_GBK" w:eastAsia="方正仿宋_GBK" w:cs="方正仿宋_GBK"/>
          <w:color w:val="auto"/>
          <w:sz w:val="28"/>
          <w:szCs w:val="28"/>
          <w:highlight w:val="none"/>
          <w:lang w:val="en-US" w:eastAsia="zh-CN"/>
        </w:rPr>
        <w:t>实际在用固定资产账面净值总额</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140</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814.05元，占固定资产</w:t>
      </w:r>
      <w:r>
        <w:rPr>
          <w:rFonts w:hint="eastAsia" w:ascii="方正仿宋_GBK" w:hAnsi="方正仿宋_GBK" w:eastAsia="方正仿宋_GBK" w:cs="方正仿宋_GBK"/>
          <w:color w:val="auto"/>
          <w:sz w:val="28"/>
          <w:szCs w:val="28"/>
          <w:highlight w:val="none"/>
          <w:lang w:val="en-US" w:eastAsia="zh-CN"/>
        </w:rPr>
        <w:t>账面净值</w:t>
      </w:r>
      <w:r>
        <w:rPr>
          <w:rFonts w:hint="eastAsia" w:ascii="方正仿宋_GBK" w:hAnsi="方正仿宋_GBK" w:eastAsia="方正仿宋_GBK" w:cs="方正仿宋_GBK"/>
          <w:color w:val="auto"/>
          <w:sz w:val="28"/>
          <w:szCs w:val="28"/>
          <w:highlight w:val="none"/>
          <w:lang w:val="en-US" w:eastAsia="zh-CN"/>
        </w:rPr>
        <w:t>总额的100</w:t>
      </w:r>
      <w:r>
        <w:rPr>
          <w:rFonts w:hint="eastAsia" w:ascii="方正仿宋_GBK" w:hAnsi="方正仿宋_GBK" w:eastAsia="方正仿宋_GBK" w:cs="方正仿宋_GBK"/>
          <w:color w:val="auto"/>
          <w:sz w:val="28"/>
          <w:szCs w:val="28"/>
          <w:highlight w:val="none"/>
          <w:lang w:val="en-US" w:eastAsia="zh-CN"/>
        </w:rPr>
        <w:t>%，固定资产利用率为100%。该指标得1分。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1"/>
        <w:rPr>
          <w:rFonts w:hint="eastAsia" w:ascii="方正楷体_GBK" w:hAnsi="方正楷体_GBK" w:eastAsia="方正楷体_GBK" w:cs="方正楷体_GBK"/>
          <w:color w:val="auto"/>
          <w:sz w:val="28"/>
          <w:szCs w:val="28"/>
        </w:rPr>
      </w:pPr>
      <w:bookmarkStart w:id="56" w:name="_Toc32723"/>
      <w:bookmarkStart w:id="57" w:name="_Toc28502"/>
      <w:bookmarkStart w:id="58" w:name="_Toc26017"/>
      <w:r>
        <w:rPr>
          <w:rFonts w:hint="eastAsia" w:ascii="方正楷体_GBK" w:hAnsi="方正楷体_GBK" w:eastAsia="方正楷体_GBK" w:cs="方正楷体_GBK"/>
          <w:color w:val="auto"/>
          <w:sz w:val="28"/>
          <w:szCs w:val="28"/>
        </w:rPr>
        <w:t>（三）产出评价情况</w:t>
      </w:r>
      <w:bookmarkEnd w:id="56"/>
      <w:bookmarkEnd w:id="57"/>
      <w:bookmarkEnd w:id="58"/>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2020年，我部门产出</w:t>
      </w:r>
      <w:r>
        <w:rPr>
          <w:rFonts w:hint="eastAsia" w:ascii="方正仿宋_GBK" w:hAnsi="方正仿宋_GBK" w:eastAsia="方正仿宋_GBK" w:cs="方正仿宋_GBK"/>
          <w:color w:val="auto"/>
          <w:sz w:val="28"/>
          <w:szCs w:val="28"/>
          <w:lang w:val="en-US" w:eastAsia="zh-CN"/>
        </w:rPr>
        <w:t>指标</w:t>
      </w:r>
      <w:r>
        <w:rPr>
          <w:rFonts w:hint="eastAsia" w:ascii="方正仿宋_GBK" w:hAnsi="方正仿宋_GBK" w:eastAsia="方正仿宋_GBK" w:cs="方正仿宋_GBK"/>
          <w:color w:val="auto"/>
          <w:sz w:val="28"/>
          <w:szCs w:val="28"/>
        </w:rPr>
        <w:t>在整体绩效自评中所占分值为</w:t>
      </w:r>
      <w:r>
        <w:rPr>
          <w:rFonts w:hint="eastAsia" w:ascii="方正仿宋_GBK" w:hAnsi="方正仿宋_GBK" w:eastAsia="方正仿宋_GBK" w:cs="方正仿宋_GBK"/>
          <w:color w:val="auto"/>
          <w:sz w:val="28"/>
          <w:szCs w:val="28"/>
          <w:lang w:val="en-US" w:eastAsia="zh-CN"/>
        </w:rPr>
        <w:t>29</w:t>
      </w:r>
      <w:r>
        <w:rPr>
          <w:rFonts w:hint="eastAsia" w:ascii="方正仿宋_GBK" w:hAnsi="方正仿宋_GBK" w:eastAsia="方正仿宋_GBK" w:cs="方正仿宋_GBK"/>
          <w:color w:val="auto"/>
          <w:sz w:val="28"/>
          <w:szCs w:val="28"/>
        </w:rPr>
        <w:t>分，实际得分为</w:t>
      </w:r>
      <w:r>
        <w:rPr>
          <w:rFonts w:hint="eastAsia" w:ascii="方正仿宋_GBK" w:hAnsi="方正仿宋_GBK" w:eastAsia="方正仿宋_GBK" w:cs="方正仿宋_GBK"/>
          <w:color w:val="auto"/>
          <w:sz w:val="28"/>
          <w:szCs w:val="28"/>
          <w:lang w:val="en-US" w:eastAsia="zh-CN"/>
        </w:rPr>
        <w:t>29</w:t>
      </w:r>
      <w:r>
        <w:rPr>
          <w:rFonts w:hint="eastAsia" w:ascii="方正仿宋_GBK" w:hAnsi="方正仿宋_GBK" w:eastAsia="方正仿宋_GBK" w:cs="方正仿宋_GBK"/>
          <w:color w:val="auto"/>
          <w:sz w:val="28"/>
          <w:szCs w:val="28"/>
        </w:rPr>
        <w:t>分，详细得分情况如下：</w:t>
      </w:r>
    </w:p>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textAlignment w:val="auto"/>
        <w:outlineLvl w:val="2"/>
        <w:rPr>
          <w:rFonts w:hint="eastAsia" w:ascii="方正仿宋_GBK" w:hAnsi="方正仿宋_GBK" w:eastAsia="方正仿宋_GBK" w:cs="方正仿宋_GBK"/>
          <w:color w:val="auto"/>
          <w:sz w:val="28"/>
          <w:szCs w:val="28"/>
          <w:lang w:val="en-US" w:eastAsia="zh-CN"/>
        </w:rPr>
      </w:pPr>
      <w:bookmarkStart w:id="59" w:name="_Toc8389"/>
      <w:bookmarkStart w:id="60" w:name="_Toc7888"/>
      <w:bookmarkStart w:id="61" w:name="_Toc16736"/>
      <w:r>
        <w:rPr>
          <w:rFonts w:hint="eastAsia" w:ascii="方正仿宋_GBK" w:hAnsi="方正仿宋_GBK" w:eastAsia="方正仿宋_GBK" w:cs="方正仿宋_GBK"/>
          <w:color w:val="auto"/>
          <w:sz w:val="28"/>
          <w:szCs w:val="28"/>
          <w:lang w:val="en-US" w:eastAsia="zh-CN"/>
        </w:rPr>
        <w:t>1. 职责履行</w:t>
      </w:r>
      <w:bookmarkEnd w:id="59"/>
      <w:bookmarkEnd w:id="60"/>
      <w:bookmarkEnd w:id="61"/>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highlight w:val="none"/>
          <w:lang w:val="en-US" w:eastAsia="zh-CN"/>
        </w:rPr>
        <w:t xml:space="preserve">（1）参展线上智博会企业和单位数量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2020年我部门牵头组织全区42家企业和单位参展线上智博会，线上展厅2000平方米，展出26项前沿代表性创新产品和应用系统。该指标得6分。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（2）招商引资项目数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2020年，我部门招商引资成效显著，全年签约项目34个，其中100亿级项目2个，50亿级项目1个，10亿级项目10个，打造大项目顶天立地，小项目铺天盖地的“雨林型”产业生态，着力培育以比亚迪、中车恒通等企业为代表的千亿级新能源汽车产业集群，以康佳、宇海等企业为代表的千亿级电子信息产业集群。该指标得6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（3）新增市级及以上研发（科技服务）机构个数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2020年，我部门技术创新研发平台发展迅速，目前已新增市级及以上研发（科技服务）机构21家，新增规上工业企业建立研发机构20家以上，预计占规上企业达46%。该指标得6分。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（4）万人有效发明专利数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2020年，我部门提升企业专利意识，助推企业“知产”变“资产”。与中国科学院知识产权运营管理中心、北京山天大蓄等知识产权公司合作，提升成果转化质效，万人有效发明专利达到11件，新申请发明专利205项，转移发明专利153项。该指标得6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（5）有效专利提案个数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2020年，部门用好以重庆康佳光电技术研究院为代表的专业技术平台，汇集行业专家300余人，完成近600项有效专利提案，诞生3.25寸MicroLED显示屏等多项全球首创技术。该指标得5分。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1"/>
        <w:rPr>
          <w:rFonts w:hint="eastAsia" w:ascii="方正楷体_GBK" w:hAnsi="方正楷体_GBK" w:eastAsia="方正楷体_GBK" w:cs="方正楷体_GBK"/>
          <w:color w:val="auto"/>
          <w:sz w:val="28"/>
          <w:szCs w:val="28"/>
        </w:rPr>
      </w:pPr>
      <w:bookmarkStart w:id="62" w:name="_Toc8037"/>
      <w:bookmarkStart w:id="63" w:name="_Toc19319"/>
      <w:bookmarkStart w:id="64" w:name="_Toc26464"/>
      <w:r>
        <w:rPr>
          <w:rFonts w:hint="eastAsia" w:ascii="方正楷体_GBK" w:hAnsi="方正楷体_GBK" w:eastAsia="方正楷体_GBK" w:cs="方正楷体_GBK"/>
          <w:color w:val="auto"/>
          <w:sz w:val="28"/>
          <w:szCs w:val="28"/>
        </w:rPr>
        <w:t>（四）效益评价情况</w:t>
      </w:r>
      <w:bookmarkEnd w:id="62"/>
      <w:bookmarkEnd w:id="63"/>
      <w:bookmarkEnd w:id="64"/>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2020年，我部门</w:t>
      </w:r>
      <w:r>
        <w:rPr>
          <w:rFonts w:hint="eastAsia" w:ascii="方正仿宋_GBK" w:hAnsi="方正仿宋_GBK" w:eastAsia="方正仿宋_GBK" w:cs="方正仿宋_GBK"/>
          <w:color w:val="auto"/>
          <w:sz w:val="28"/>
          <w:szCs w:val="28"/>
          <w:lang w:val="en-US" w:eastAsia="zh-CN"/>
        </w:rPr>
        <w:t>效益指标</w:t>
      </w:r>
      <w:r>
        <w:rPr>
          <w:rFonts w:hint="eastAsia" w:ascii="方正仿宋_GBK" w:hAnsi="方正仿宋_GBK" w:eastAsia="方正仿宋_GBK" w:cs="方正仿宋_GBK"/>
          <w:color w:val="auto"/>
          <w:sz w:val="28"/>
          <w:szCs w:val="28"/>
        </w:rPr>
        <w:t>在整体绩效自评中所占分值为</w:t>
      </w:r>
      <w:r>
        <w:rPr>
          <w:rFonts w:hint="eastAsia" w:ascii="方正仿宋_GBK" w:hAnsi="方正仿宋_GBK" w:eastAsia="方正仿宋_GBK" w:cs="方正仿宋_GBK"/>
          <w:color w:val="auto"/>
          <w:sz w:val="28"/>
          <w:szCs w:val="28"/>
          <w:lang w:val="en-US" w:eastAsia="zh-CN"/>
        </w:rPr>
        <w:t>40</w:t>
      </w:r>
      <w:r>
        <w:rPr>
          <w:rFonts w:hint="eastAsia" w:ascii="方正仿宋_GBK" w:hAnsi="方正仿宋_GBK" w:eastAsia="方正仿宋_GBK" w:cs="方正仿宋_GBK"/>
          <w:color w:val="auto"/>
          <w:sz w:val="28"/>
          <w:szCs w:val="28"/>
        </w:rPr>
        <w:t>分，实际得分为</w:t>
      </w:r>
      <w:r>
        <w:rPr>
          <w:rFonts w:hint="eastAsia" w:ascii="方正仿宋_GBK" w:hAnsi="方正仿宋_GBK" w:eastAsia="方正仿宋_GBK" w:cs="方正仿宋_GBK"/>
          <w:color w:val="auto"/>
          <w:sz w:val="28"/>
          <w:szCs w:val="28"/>
          <w:lang w:val="en-US" w:eastAsia="zh-CN"/>
        </w:rPr>
        <w:t>40</w:t>
      </w:r>
      <w:r>
        <w:rPr>
          <w:rFonts w:hint="eastAsia" w:ascii="方正仿宋_GBK" w:hAnsi="方正仿宋_GBK" w:eastAsia="方正仿宋_GBK" w:cs="方正仿宋_GBK"/>
          <w:color w:val="auto"/>
          <w:sz w:val="28"/>
          <w:szCs w:val="28"/>
        </w:rPr>
        <w:t>分，详细得分情况如下：</w:t>
      </w:r>
    </w:p>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textAlignment w:val="auto"/>
        <w:outlineLvl w:val="2"/>
        <w:rPr>
          <w:rFonts w:hint="eastAsia" w:ascii="方正仿宋_GBK" w:hAnsi="方正仿宋_GBK" w:eastAsia="方正仿宋_GBK" w:cs="方正仿宋_GBK"/>
          <w:color w:val="auto"/>
          <w:sz w:val="28"/>
          <w:szCs w:val="28"/>
          <w:lang w:val="en-US" w:eastAsia="zh-CN"/>
        </w:rPr>
      </w:pPr>
      <w:bookmarkStart w:id="65" w:name="_Toc5930"/>
      <w:bookmarkStart w:id="66" w:name="_Toc988"/>
      <w:bookmarkStart w:id="67" w:name="_Toc10394"/>
      <w:r>
        <w:rPr>
          <w:rFonts w:hint="eastAsia" w:ascii="方正仿宋_GBK" w:hAnsi="方正仿宋_GBK" w:eastAsia="方正仿宋_GBK" w:cs="方正仿宋_GBK"/>
          <w:color w:val="auto"/>
          <w:sz w:val="28"/>
          <w:szCs w:val="28"/>
          <w:lang w:val="en-US" w:eastAsia="zh-CN"/>
        </w:rPr>
        <w:t>1. 经济效益</w:t>
      </w:r>
      <w:bookmarkEnd w:id="65"/>
      <w:bookmarkEnd w:id="66"/>
      <w:bookmarkEnd w:id="67"/>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（1）招商引资带动经济情况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2020年签约项目总投资额584.91亿元，全部建成投产后可实现年产值927.7亿元，打造大项目顶天立地，小项目铺天盖地的“雨林型”产业生态。该指标得10分。</w:t>
      </w:r>
    </w:p>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left="420" w:leftChars="200" w:firstLine="280" w:firstLineChars="100"/>
        <w:textAlignment w:val="auto"/>
        <w:outlineLvl w:val="2"/>
        <w:rPr>
          <w:rFonts w:hint="eastAsia" w:ascii="方正仿宋_GBK" w:hAnsi="方正仿宋_GBK" w:eastAsia="方正仿宋_GBK" w:cs="方正仿宋_GBK"/>
          <w:color w:val="auto"/>
          <w:sz w:val="28"/>
          <w:szCs w:val="28"/>
          <w:lang w:val="en-US" w:eastAsia="zh-CN"/>
        </w:rPr>
      </w:pPr>
      <w:bookmarkStart w:id="68" w:name="_Toc19987"/>
      <w:bookmarkStart w:id="69" w:name="_Toc31212"/>
      <w:r>
        <w:rPr>
          <w:rFonts w:hint="eastAsia" w:ascii="方正仿宋_GBK" w:hAnsi="方正仿宋_GBK" w:eastAsia="方正仿宋_GBK" w:cs="方正仿宋_GBK"/>
          <w:color w:val="auto"/>
          <w:sz w:val="28"/>
          <w:szCs w:val="28"/>
          <w:lang w:val="en-US" w:eastAsia="zh-CN"/>
        </w:rPr>
        <w:t>2. 环境效益</w:t>
      </w:r>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（1）璧南河水质达标情况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2020年扎实推进生态河长工作。严格按照生态河长办考核要求，开展辖区企业雨污排口登记、排查、整改、验收工作，累计开展日常巡河393次，清理棕树河段水生植物5公里余长，截至11月底，辖区共发现河道管护问题21件，均已全部落实整改，璧南河水质稳定达地表水Ⅲ类标准。该指标得10分。</w:t>
      </w:r>
    </w:p>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left="420" w:leftChars="200" w:firstLine="280" w:firstLineChars="100"/>
        <w:textAlignment w:val="auto"/>
        <w:outlineLvl w:val="2"/>
        <w:rPr>
          <w:rFonts w:hint="eastAsia" w:ascii="方正仿宋_GBK" w:hAnsi="方正仿宋_GBK" w:eastAsia="方正仿宋_GBK" w:cs="方正仿宋_GBK"/>
          <w:color w:val="auto"/>
          <w:sz w:val="28"/>
          <w:szCs w:val="28"/>
          <w:lang w:val="en-US" w:eastAsia="zh-CN"/>
        </w:rPr>
      </w:pPr>
      <w:bookmarkStart w:id="70" w:name="_Toc18926"/>
      <w:bookmarkStart w:id="71" w:name="_Toc1055"/>
      <w:bookmarkStart w:id="72" w:name="_Toc17524"/>
      <w:r>
        <w:rPr>
          <w:rFonts w:hint="eastAsia" w:ascii="方正仿宋_GBK" w:hAnsi="方正仿宋_GBK" w:eastAsia="方正仿宋_GBK" w:cs="方正仿宋_GBK"/>
          <w:color w:val="auto"/>
          <w:sz w:val="28"/>
          <w:szCs w:val="28"/>
          <w:lang w:val="en-US" w:eastAsia="zh-CN"/>
        </w:rPr>
        <w:t>3. 社会效益</w:t>
      </w:r>
      <w:bookmarkEnd w:id="70"/>
      <w:bookmarkEnd w:id="71"/>
      <w:bookmarkEnd w:id="72"/>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（1）营商环境持续优化情况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2020年，我部门加强调度，解决企业实际困难。召开部门协调会，解决7个工业项目落地问题；参加“企业吹哨，部门报到”会议，解决反映问题2个。该指标得10分。</w:t>
      </w:r>
    </w:p>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left="420" w:leftChars="200" w:firstLine="280" w:firstLineChars="100"/>
        <w:textAlignment w:val="auto"/>
        <w:outlineLvl w:val="2"/>
        <w:rPr>
          <w:rFonts w:hint="eastAsia" w:ascii="方正仿宋_GBK" w:hAnsi="方正仿宋_GBK" w:eastAsia="方正仿宋_GBK" w:cs="方正仿宋_GBK"/>
          <w:color w:val="auto"/>
          <w:sz w:val="28"/>
          <w:szCs w:val="28"/>
          <w:lang w:val="en-US" w:eastAsia="zh-CN"/>
        </w:rPr>
      </w:pPr>
      <w:bookmarkStart w:id="73" w:name="_Toc10576"/>
      <w:bookmarkStart w:id="74" w:name="_Toc26828"/>
      <w:bookmarkStart w:id="75" w:name="_Toc28898"/>
      <w:r>
        <w:rPr>
          <w:rFonts w:hint="eastAsia" w:ascii="方正仿宋_GBK" w:hAnsi="方正仿宋_GBK" w:eastAsia="方正仿宋_GBK" w:cs="方正仿宋_GBK"/>
          <w:color w:val="auto"/>
          <w:sz w:val="28"/>
          <w:szCs w:val="28"/>
          <w:lang w:val="en-US" w:eastAsia="zh-CN"/>
        </w:rPr>
        <w:t>4. 社会公众满意度</w:t>
      </w:r>
      <w:bookmarkEnd w:id="73"/>
      <w:bookmarkEnd w:id="74"/>
      <w:bookmarkEnd w:id="75"/>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（1）群众满意度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2020年12月，我部门对参与我部门工作的居民及相关商家、企业开展了满意度调研工作，满意度为95%，该指标得10分</w:t>
      </w:r>
      <w:r>
        <w:rPr>
          <w:rFonts w:hint="eastAsia"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0"/>
        <w:rPr>
          <w:rFonts w:hint="eastAsia" w:eastAsia="方正黑体_GBK"/>
          <w:color w:val="auto"/>
          <w:sz w:val="32"/>
          <w:szCs w:val="32"/>
          <w:highlight w:val="none"/>
          <w:lang w:val="en-US" w:eastAsia="zh-CN"/>
        </w:rPr>
      </w:pPr>
      <w:bookmarkStart w:id="76" w:name="_Toc23096"/>
      <w:bookmarkStart w:id="77" w:name="_Toc12047"/>
      <w:bookmarkStart w:id="78" w:name="_Toc31471"/>
      <w:r>
        <w:rPr>
          <w:rFonts w:hint="eastAsia" w:eastAsia="方正黑体_GBK"/>
          <w:color w:val="auto"/>
          <w:sz w:val="32"/>
          <w:szCs w:val="32"/>
          <w:highlight w:val="none"/>
          <w:lang w:val="en-US" w:eastAsia="zh-CN"/>
        </w:rPr>
        <w:t>四、主要经验及做法</w:t>
      </w:r>
      <w:bookmarkEnd w:id="76"/>
      <w:bookmarkEnd w:id="77"/>
      <w:bookmarkEnd w:id="78"/>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1"/>
        <w:rPr>
          <w:rFonts w:hint="eastAsia" w:ascii="方正楷体_GBK" w:hAnsi="方正楷体_GBK" w:eastAsia="方正楷体_GBK" w:cs="方正楷体_GBK"/>
          <w:color w:val="auto"/>
          <w:sz w:val="28"/>
          <w:szCs w:val="28"/>
          <w:lang w:val="en-US" w:eastAsia="zh-CN"/>
        </w:rPr>
      </w:pPr>
      <w:bookmarkStart w:id="79" w:name="_Toc23106"/>
      <w:bookmarkStart w:id="80" w:name="_Toc9504"/>
      <w:r>
        <w:rPr>
          <w:rFonts w:hint="eastAsia" w:ascii="方正楷体_GBK" w:hAnsi="方正楷体_GBK" w:eastAsia="方正楷体_GBK" w:cs="方正楷体_GBK"/>
          <w:color w:val="auto"/>
          <w:sz w:val="28"/>
          <w:szCs w:val="28"/>
          <w:highlight w:val="none"/>
          <w:lang w:val="en-US" w:eastAsia="zh-CN"/>
        </w:rPr>
        <w:t>（一）加快基础设施建设进度</w:t>
      </w:r>
      <w:bookmarkEnd w:id="79"/>
      <w:bookmarkEnd w:id="80"/>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是与两山公司积极对接，完善基金投资体系；二是依托五大产业园建立相应的公共服务平台；三是继续加强队伍建设，加强业务培训，增强项目信息收集能力，提高项目信息研判、跟踪、洽谈水平，逐步培养打造一支精干的专业化招商队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1"/>
        <w:rPr>
          <w:rFonts w:hint="eastAsia" w:ascii="方正楷体_GBK" w:hAnsi="方正楷体_GBK" w:eastAsia="方正楷体_GBK" w:cs="方正楷体_GBK"/>
          <w:color w:val="auto"/>
          <w:sz w:val="28"/>
          <w:szCs w:val="28"/>
          <w:lang w:val="en-US" w:eastAsia="zh-CN"/>
        </w:rPr>
      </w:pPr>
      <w:bookmarkStart w:id="81" w:name="_Toc20016"/>
      <w:bookmarkStart w:id="82" w:name="_Toc5143"/>
      <w:r>
        <w:rPr>
          <w:rFonts w:hint="eastAsia" w:ascii="方正楷体_GBK" w:hAnsi="方正楷体_GBK" w:eastAsia="方正楷体_GBK" w:cs="方正楷体_GBK"/>
          <w:color w:val="auto"/>
          <w:sz w:val="28"/>
          <w:szCs w:val="28"/>
          <w:lang w:val="en-US" w:eastAsia="zh-CN"/>
        </w:rPr>
        <w:t>（二）落实权利内控机制，实现用制度管钱管事</w:t>
      </w:r>
      <w:bookmarkEnd w:id="81"/>
      <w:bookmarkEnd w:id="82"/>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本着“先有办法，后拨资金”的原则，不断完善高新区财务管理制度，先后修订了《高新区财务管理办法》、《高新区政府采购限额以下货物、服务采购管理办法》等法规文件，强化资金监管，严格审核用款计划，强化资金支付管理，做到日清月结，提高了政策执行效果和资金使用效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1"/>
        <w:rPr>
          <w:rFonts w:hint="eastAsia" w:ascii="方正楷体_GBK" w:hAnsi="方正楷体_GBK" w:eastAsia="方正楷体_GBK" w:cs="方正楷体_GBK"/>
          <w:color w:val="auto"/>
          <w:sz w:val="28"/>
          <w:szCs w:val="28"/>
          <w:lang w:val="en-US" w:eastAsia="zh-CN"/>
        </w:rPr>
      </w:pPr>
      <w:bookmarkStart w:id="83" w:name="_Toc4257"/>
      <w:bookmarkStart w:id="84" w:name="_Toc23990"/>
      <w:r>
        <w:rPr>
          <w:rFonts w:hint="eastAsia" w:ascii="方正楷体_GBK" w:hAnsi="方正楷体_GBK" w:eastAsia="方正楷体_GBK" w:cs="方正楷体_GBK"/>
          <w:color w:val="auto"/>
          <w:sz w:val="28"/>
          <w:szCs w:val="28"/>
          <w:lang w:val="en-US" w:eastAsia="zh-CN"/>
        </w:rPr>
        <w:t>（三）严格预算执行管理，努力提升预算执行到位率</w:t>
      </w:r>
      <w:bookmarkEnd w:id="83"/>
      <w:bookmarkEnd w:id="84"/>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bookmarkStart w:id="85" w:name="_Toc18732"/>
      <w:r>
        <w:rPr>
          <w:rFonts w:hint="eastAsia" w:ascii="方正仿宋_GBK" w:hAnsi="方正仿宋_GBK" w:eastAsia="方正仿宋_GBK" w:cs="方正仿宋_GBK"/>
          <w:color w:val="auto"/>
          <w:sz w:val="28"/>
          <w:szCs w:val="28"/>
          <w:lang w:val="en-US" w:eastAsia="zh-CN"/>
        </w:rPr>
        <w:t>认真做好年初预算，年终决算，将预、决算管理贯穿全年，定期分析预算执行情况，做好高新区与区财政体制结算工作，合理安排经费使用，大力服务民营企业，确保把每个项目资金落到实处。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0"/>
        <w:rPr>
          <w:rFonts w:hint="eastAsia" w:eastAsia="方正黑体_GBK"/>
          <w:color w:val="auto"/>
          <w:sz w:val="32"/>
          <w:szCs w:val="32"/>
          <w:highlight w:val="none"/>
          <w:lang w:val="en-US" w:eastAsia="zh-CN"/>
        </w:rPr>
      </w:pPr>
      <w:bookmarkStart w:id="86" w:name="_Toc18402"/>
      <w:bookmarkStart w:id="87" w:name="_Toc22246"/>
      <w:r>
        <w:rPr>
          <w:rFonts w:hint="eastAsia" w:eastAsia="方正黑体_GBK"/>
          <w:color w:val="auto"/>
          <w:sz w:val="32"/>
          <w:szCs w:val="32"/>
          <w:highlight w:val="none"/>
          <w:lang w:val="en-US" w:eastAsia="zh-CN"/>
        </w:rPr>
        <w:t>五、存在的问题和建议</w:t>
      </w:r>
      <w:bookmarkEnd w:id="85"/>
      <w:bookmarkEnd w:id="86"/>
      <w:bookmarkEnd w:id="87"/>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1"/>
        <w:rPr>
          <w:rFonts w:hint="eastAsia" w:ascii="方正楷体_GBK" w:hAnsi="方正楷体_GBK" w:eastAsia="方正楷体_GBK" w:cs="方正楷体_GBK"/>
          <w:color w:val="auto"/>
          <w:sz w:val="28"/>
          <w:szCs w:val="28"/>
          <w:lang w:val="en-US" w:eastAsia="zh-CN"/>
        </w:rPr>
      </w:pPr>
      <w:bookmarkStart w:id="88" w:name="_Toc16370"/>
      <w:bookmarkStart w:id="89" w:name="_Toc30459"/>
      <w:r>
        <w:rPr>
          <w:rFonts w:hint="eastAsia" w:ascii="方正楷体_GBK" w:hAnsi="方正楷体_GBK" w:eastAsia="方正楷体_GBK" w:cs="方正楷体_GBK"/>
          <w:color w:val="auto"/>
          <w:sz w:val="28"/>
          <w:szCs w:val="28"/>
          <w:lang w:val="en-US" w:eastAsia="zh-CN"/>
        </w:rPr>
        <w:t>（一）预算管理工作水平有待提高</w:t>
      </w:r>
      <w:bookmarkEnd w:id="88"/>
      <w:bookmarkEnd w:id="89"/>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2020年度，我部门未在年初进行政府采购预算申报，下一步工作中，将全面落实六大业务板块的预算管理工作，加强政府采购预算管理，合理预算采购金额，提高年初政府采购预算精准度，提升部门政府采购工作水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1"/>
        <w:rPr>
          <w:rFonts w:hint="default" w:ascii="方正楷体_GBK" w:hAnsi="方正楷体_GBK" w:eastAsia="方正楷体_GBK" w:cs="方正楷体_GBK"/>
          <w:color w:val="auto"/>
          <w:sz w:val="28"/>
          <w:szCs w:val="28"/>
          <w:lang w:val="en-US" w:eastAsia="zh-CN"/>
        </w:rPr>
      </w:pPr>
      <w:bookmarkStart w:id="90" w:name="_Toc11007"/>
      <w:bookmarkStart w:id="91" w:name="_Toc20724"/>
      <w:r>
        <w:rPr>
          <w:rFonts w:hint="eastAsia" w:ascii="方正楷体_GBK" w:hAnsi="方正楷体_GBK" w:eastAsia="方正楷体_GBK" w:cs="方正楷体_GBK"/>
          <w:color w:val="auto"/>
          <w:sz w:val="28"/>
          <w:szCs w:val="28"/>
          <w:lang w:val="en-US" w:eastAsia="zh-CN"/>
        </w:rPr>
        <w:t>（二）“三公经费”管控力度有待加强</w:t>
      </w:r>
      <w:bookmarkEnd w:id="90"/>
      <w:bookmarkEnd w:id="9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我部门"三公经费"控制率</w:t>
      </w:r>
      <w:r>
        <w:rPr>
          <w:rFonts w:hint="eastAsia" w:ascii="方正仿宋_GBK" w:hAnsi="方正仿宋_GBK" w:eastAsia="方正仿宋_GBK" w:cs="方正仿宋_GBK"/>
          <w:color w:val="auto"/>
          <w:sz w:val="28"/>
          <w:szCs w:val="28"/>
          <w:lang w:val="en-US" w:eastAsia="zh-CN"/>
        </w:rPr>
        <w:t>达103.2%</w:t>
      </w:r>
      <w:r>
        <w:rPr>
          <w:rFonts w:hint="eastAsia" w:ascii="方正仿宋_GBK" w:hAnsi="方正仿宋_GBK" w:eastAsia="方正仿宋_GBK" w:cs="方正仿宋_GBK"/>
          <w:color w:val="auto"/>
          <w:sz w:val="28"/>
          <w:szCs w:val="28"/>
          <w:lang w:val="en-US" w:eastAsia="zh-CN"/>
        </w:rPr>
        <w:t>，实际支出超过预算。下一步工作中，将严格贯彻落实厉行节约、反对浪费精神，同时加强本部门经费支出管控，建立健全厉行节约制度，不断提高本部门的“三公经费”的使用效率，降低无效支出。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920" w:firstLineChars="14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璧山区高新技术产业开发区管理委员会</w:t>
      </w:r>
    </w:p>
    <w:p>
      <w:pPr>
        <w:spacing w:line="460" w:lineRule="exact"/>
        <w:ind w:firstLine="7280" w:firstLineChars="2600"/>
        <w:jc w:val="left"/>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2021年3月</w:t>
      </w:r>
    </w:p>
    <w:p/>
    <w:p/>
    <w:sectPr>
      <w:footerReference r:id="rId6" w:type="default"/>
      <w:type w:val="continuous"/>
      <w:pgSz w:w="11906" w:h="16838"/>
      <w:pgMar w:top="1588" w:right="1474" w:bottom="1588" w:left="147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Arial Unicode MS"/>
    <w:panose1 w:val="02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Arial Unicode MS"/>
    <w:panose1 w:val="02000000000000000000"/>
    <w:charset w:val="86"/>
    <w:family w:val="script"/>
    <w:pitch w:val="default"/>
    <w:sig w:usb0="00000000" w:usb1="00000000" w:usb2="00082016"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方正仿宋_GBK" w:hAnsi="方正仿宋_GBK" w:eastAsia="方正仿宋_GBK" w:cs="方正仿宋_GBK"/>
        <w:b/>
        <w:bCs/>
      </w:rPr>
    </w:pPr>
    <w:r>
      <w:rPr>
        <w:rFonts w:hint="eastAsia" w:ascii="方正仿宋_GBK" w:hAnsi="方正仿宋_GBK" w:eastAsia="方正仿宋_GBK" w:cs="方正仿宋_GBK"/>
        <w:b/>
        <w:bCs/>
      </w:rPr>
      <w:t>璧山区高新技术产业开发区管理委员会2020年整体支出绩效自评报告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69FD49"/>
    <w:multiLevelType w:val="singleLevel"/>
    <w:tmpl w:val="2969FD4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B01B9"/>
    <w:rsid w:val="003E4915"/>
    <w:rsid w:val="003E75C4"/>
    <w:rsid w:val="00401B11"/>
    <w:rsid w:val="00422429"/>
    <w:rsid w:val="0043034C"/>
    <w:rsid w:val="00443E03"/>
    <w:rsid w:val="00487348"/>
    <w:rsid w:val="00497B55"/>
    <w:rsid w:val="004C051C"/>
    <w:rsid w:val="00547BAD"/>
    <w:rsid w:val="00550210"/>
    <w:rsid w:val="005516E1"/>
    <w:rsid w:val="00563118"/>
    <w:rsid w:val="005A221A"/>
    <w:rsid w:val="005B5ED1"/>
    <w:rsid w:val="00606BA5"/>
    <w:rsid w:val="006417E5"/>
    <w:rsid w:val="0064309B"/>
    <w:rsid w:val="00671BB5"/>
    <w:rsid w:val="006772C6"/>
    <w:rsid w:val="006C793C"/>
    <w:rsid w:val="006D100A"/>
    <w:rsid w:val="006E6E29"/>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77086"/>
    <w:rsid w:val="00C858DD"/>
    <w:rsid w:val="00CD33CE"/>
    <w:rsid w:val="00CF26C3"/>
    <w:rsid w:val="00D610B4"/>
    <w:rsid w:val="00E05A32"/>
    <w:rsid w:val="00E225F8"/>
    <w:rsid w:val="00E25A0F"/>
    <w:rsid w:val="00E42BE7"/>
    <w:rsid w:val="00E55405"/>
    <w:rsid w:val="00E72086"/>
    <w:rsid w:val="00E91393"/>
    <w:rsid w:val="00EB0A75"/>
    <w:rsid w:val="00EF2A45"/>
    <w:rsid w:val="00F70C2E"/>
    <w:rsid w:val="00F9262E"/>
    <w:rsid w:val="00F93438"/>
    <w:rsid w:val="00FA41F0"/>
    <w:rsid w:val="00FD0041"/>
    <w:rsid w:val="01BC2763"/>
    <w:rsid w:val="02243C7E"/>
    <w:rsid w:val="05223B12"/>
    <w:rsid w:val="05D650C2"/>
    <w:rsid w:val="06552117"/>
    <w:rsid w:val="06C2521B"/>
    <w:rsid w:val="080B1CEC"/>
    <w:rsid w:val="0AF46598"/>
    <w:rsid w:val="0BCB6AF6"/>
    <w:rsid w:val="0C140027"/>
    <w:rsid w:val="0CE345D8"/>
    <w:rsid w:val="0E486780"/>
    <w:rsid w:val="1069392B"/>
    <w:rsid w:val="10D42942"/>
    <w:rsid w:val="114D2B19"/>
    <w:rsid w:val="11724E85"/>
    <w:rsid w:val="11B1536A"/>
    <w:rsid w:val="12363C93"/>
    <w:rsid w:val="144627E5"/>
    <w:rsid w:val="144819B9"/>
    <w:rsid w:val="144F6F9A"/>
    <w:rsid w:val="164F4E27"/>
    <w:rsid w:val="16DA561F"/>
    <w:rsid w:val="16E20A75"/>
    <w:rsid w:val="17931ED9"/>
    <w:rsid w:val="17EA7449"/>
    <w:rsid w:val="199D49B3"/>
    <w:rsid w:val="1A6616C4"/>
    <w:rsid w:val="1BBE1687"/>
    <w:rsid w:val="1C924D7A"/>
    <w:rsid w:val="1E9D5715"/>
    <w:rsid w:val="1F3A30C0"/>
    <w:rsid w:val="202E7607"/>
    <w:rsid w:val="21553674"/>
    <w:rsid w:val="215F2EFF"/>
    <w:rsid w:val="21E83571"/>
    <w:rsid w:val="221B2287"/>
    <w:rsid w:val="230B5FB5"/>
    <w:rsid w:val="235927DD"/>
    <w:rsid w:val="239B5E22"/>
    <w:rsid w:val="24423606"/>
    <w:rsid w:val="282F5BC2"/>
    <w:rsid w:val="286D7CC2"/>
    <w:rsid w:val="28CF4E48"/>
    <w:rsid w:val="2BE81C22"/>
    <w:rsid w:val="2D036B99"/>
    <w:rsid w:val="337F5D62"/>
    <w:rsid w:val="33B370B1"/>
    <w:rsid w:val="34B85B1D"/>
    <w:rsid w:val="34FC1C49"/>
    <w:rsid w:val="376A1582"/>
    <w:rsid w:val="37F73406"/>
    <w:rsid w:val="38780A28"/>
    <w:rsid w:val="38F30DC5"/>
    <w:rsid w:val="39B918E5"/>
    <w:rsid w:val="3A8A12A4"/>
    <w:rsid w:val="3A98356B"/>
    <w:rsid w:val="3FBB5231"/>
    <w:rsid w:val="417A1E8B"/>
    <w:rsid w:val="420833D0"/>
    <w:rsid w:val="42F92CE9"/>
    <w:rsid w:val="4351796C"/>
    <w:rsid w:val="45B63EB7"/>
    <w:rsid w:val="466E14C4"/>
    <w:rsid w:val="4738153B"/>
    <w:rsid w:val="47DF7E1F"/>
    <w:rsid w:val="481E1D16"/>
    <w:rsid w:val="4853704D"/>
    <w:rsid w:val="497922A7"/>
    <w:rsid w:val="4BC613B5"/>
    <w:rsid w:val="4C034E3E"/>
    <w:rsid w:val="4D6A5309"/>
    <w:rsid w:val="4DD219AA"/>
    <w:rsid w:val="4E431B6E"/>
    <w:rsid w:val="4E472361"/>
    <w:rsid w:val="4E756228"/>
    <w:rsid w:val="4F1911CD"/>
    <w:rsid w:val="4FF56807"/>
    <w:rsid w:val="50EE66EA"/>
    <w:rsid w:val="51423104"/>
    <w:rsid w:val="515C1C01"/>
    <w:rsid w:val="51C22C9D"/>
    <w:rsid w:val="51D3733F"/>
    <w:rsid w:val="53E204D8"/>
    <w:rsid w:val="54D54B3B"/>
    <w:rsid w:val="565D196B"/>
    <w:rsid w:val="56AE64CF"/>
    <w:rsid w:val="56F11188"/>
    <w:rsid w:val="589954F2"/>
    <w:rsid w:val="5B672888"/>
    <w:rsid w:val="5CB605DD"/>
    <w:rsid w:val="5D180D28"/>
    <w:rsid w:val="5D8A119B"/>
    <w:rsid w:val="5DC12F94"/>
    <w:rsid w:val="5E41669A"/>
    <w:rsid w:val="5E861C03"/>
    <w:rsid w:val="5EDC5D89"/>
    <w:rsid w:val="61006E15"/>
    <w:rsid w:val="61B05E7A"/>
    <w:rsid w:val="61EF553F"/>
    <w:rsid w:val="626F6647"/>
    <w:rsid w:val="64AD636B"/>
    <w:rsid w:val="66984FC6"/>
    <w:rsid w:val="689B0912"/>
    <w:rsid w:val="68C97C2C"/>
    <w:rsid w:val="6A3B7886"/>
    <w:rsid w:val="6B5027C4"/>
    <w:rsid w:val="6DD1151B"/>
    <w:rsid w:val="70A9713B"/>
    <w:rsid w:val="70BD2F90"/>
    <w:rsid w:val="71537570"/>
    <w:rsid w:val="774E1C54"/>
    <w:rsid w:val="779E0D65"/>
    <w:rsid w:val="780967FC"/>
    <w:rsid w:val="79506C68"/>
    <w:rsid w:val="7A301507"/>
    <w:rsid w:val="7AF22E92"/>
    <w:rsid w:val="7BD20109"/>
    <w:rsid w:val="7BFB5CE9"/>
    <w:rsid w:val="7C08626B"/>
    <w:rsid w:val="7C1504F6"/>
    <w:rsid w:val="7CC07F63"/>
    <w:rsid w:val="7DAE51C9"/>
    <w:rsid w:val="7DAF07A1"/>
    <w:rsid w:val="7E2F50EC"/>
    <w:rsid w:val="7EA770F5"/>
    <w:rsid w:val="7F6B4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outlineLvl w:val="1"/>
    </w:pPr>
    <w:rPr>
      <w:rFonts w:ascii="方正楷体_GBK" w:hAnsi="方正楷体_GBK" w:eastAsia="方正楷体_GBK"/>
      <w:bCs/>
      <w:szCs w:val="32"/>
    </w:rPr>
  </w:style>
  <w:style w:type="paragraph" w:styleId="3">
    <w:name w:val="heading 6"/>
    <w:basedOn w:val="1"/>
    <w:next w:val="1"/>
    <w:qFormat/>
    <w:uiPriority w:val="0"/>
    <w:pPr>
      <w:keepNext/>
      <w:keepLines/>
      <w:widowControl w:val="0"/>
      <w:spacing w:before="240" w:after="64" w:line="320" w:lineRule="auto"/>
      <w:ind w:right="100" w:rightChars="100" w:hanging="1152" w:firstLineChars="200"/>
      <w:jc w:val="both"/>
      <w:outlineLvl w:val="5"/>
    </w:pPr>
    <w:rPr>
      <w:rFonts w:ascii="Cambria" w:hAnsi="Cambria" w:eastAsia="宋体" w:cs="Times New Roman"/>
      <w:b/>
      <w:bCs/>
      <w:kern w:val="2"/>
      <w:sz w:val="24"/>
      <w:szCs w:val="24"/>
      <w:lang w:val="zh-CN" w:eastAsia="zh-CN"/>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next w:val="6"/>
    <w:qFormat/>
    <w:uiPriority w:val="1"/>
    <w:rPr>
      <w:rFonts w:ascii="方正仿宋_GBK" w:hAnsi="方正仿宋_GBK" w:eastAsia="方正仿宋_GBK" w:cs="方正仿宋_GBK"/>
      <w:sz w:val="28"/>
      <w:szCs w:val="28"/>
      <w:lang w:val="zh-CN" w:eastAsia="zh-CN" w:bidi="zh-CN"/>
    </w:rPr>
  </w:style>
  <w:style w:type="paragraph" w:customStyle="1" w:styleId="6">
    <w:name w:val="默认"/>
    <w:qFormat/>
    <w:uiPriority w:val="0"/>
    <w:rPr>
      <w:rFonts w:ascii="Helvetica" w:hAnsi="Helvetica" w:eastAsia="Helvetica" w:cs="Helvetica"/>
      <w:color w:val="000000"/>
      <w:sz w:val="22"/>
      <w:szCs w:val="22"/>
      <w:lang w:val="en-US" w:eastAsia="zh-CN" w:bidi="ar-SA"/>
    </w:rPr>
  </w:style>
  <w:style w:type="paragraph" w:styleId="7">
    <w:name w:val="toc 3"/>
    <w:basedOn w:val="1"/>
    <w:next w:val="1"/>
    <w:semiHidden/>
    <w:unhideWhenUsed/>
    <w:qFormat/>
    <w:uiPriority w:val="39"/>
    <w:pPr>
      <w:ind w:left="840" w:leftChars="400"/>
    </w:p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页眉 Char"/>
    <w:basedOn w:val="15"/>
    <w:link w:val="9"/>
    <w:qFormat/>
    <w:uiPriority w:val="99"/>
    <w:rPr>
      <w:rFonts w:ascii="Times New Roman" w:hAnsi="Times New Roman" w:eastAsia="宋体" w:cs="Times New Roman"/>
      <w:sz w:val="18"/>
      <w:szCs w:val="18"/>
    </w:rPr>
  </w:style>
  <w:style w:type="character" w:customStyle="1" w:styleId="18">
    <w:name w:val="页脚 Char"/>
    <w:basedOn w:val="15"/>
    <w:link w:val="8"/>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font3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9"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65</Words>
  <Characters>377</Characters>
  <Lines>3</Lines>
  <Paragraphs>1</Paragraphs>
  <TotalTime>1</TotalTime>
  <ScaleCrop>false</ScaleCrop>
  <LinksUpToDate>false</LinksUpToDate>
  <CharactersWithSpaces>441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admin</cp:lastModifiedBy>
  <cp:lastPrinted>2020-04-20T08:58:00Z</cp:lastPrinted>
  <dcterms:modified xsi:type="dcterms:W3CDTF">2021-03-28T07:49:07Z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14EA8E1ACF874F01A56B551381274560</vt:lpwstr>
  </property>
</Properties>
</file>