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ascii="方正小标宋_GBK" w:hAnsi="华文中宋" w:eastAsia="方正小标宋_GBK" w:cs="华文中宋"/>
          <w:sz w:val="44"/>
          <w:szCs w:val="44"/>
        </w:rPr>
      </w:pPr>
      <w:r>
        <w:rPr>
          <w:rFonts w:hint="eastAsia" w:ascii="方正小标宋_GBK" w:hAnsi="华文中宋" w:eastAsia="方正小标宋_GBK" w:cs="华文中宋"/>
          <w:sz w:val="44"/>
          <w:szCs w:val="44"/>
        </w:rPr>
        <w:t>重庆市璧山区康养服务指导中心</w:t>
      </w:r>
    </w:p>
    <w:p>
      <w:pPr>
        <w:pStyle w:val="13"/>
        <w:spacing w:line="596" w:lineRule="exact"/>
        <w:ind w:left="359" w:leftChars="171" w:firstLine="1100" w:firstLineChars="250"/>
        <w:rPr>
          <w:rFonts w:eastAsia="方正小标宋_GBK"/>
          <w:sz w:val="44"/>
          <w:szCs w:val="32"/>
        </w:rPr>
      </w:pPr>
      <w:r>
        <w:rPr>
          <w:rFonts w:hint="eastAsia" w:ascii="方正小标宋_GBK" w:hAnsi="华文中宋" w:eastAsia="方正小标宋_GBK" w:cs="华文中宋"/>
          <w:sz w:val="44"/>
          <w:szCs w:val="44"/>
        </w:rPr>
        <w:t>202</w:t>
      </w:r>
      <w:r>
        <w:rPr>
          <w:rFonts w:hint="eastAsia" w:ascii="方正小标宋_GBK" w:hAnsi="华文中宋" w:eastAsia="方正小标宋_GBK" w:cs="华文中宋"/>
          <w:sz w:val="44"/>
          <w:szCs w:val="44"/>
          <w:lang w:val="en-US" w:eastAsia="zh-CN"/>
        </w:rPr>
        <w:t>1</w:t>
      </w:r>
      <w:r>
        <w:rPr>
          <w:rFonts w:hint="eastAsia" w:ascii="方正小标宋_GBK" w:hAnsi="华文中宋" w:eastAsia="方正小标宋_GBK" w:cs="华文中宋"/>
          <w:sz w:val="44"/>
          <w:szCs w:val="44"/>
        </w:rPr>
        <w:t>年</w:t>
      </w:r>
      <w:r>
        <w:rPr>
          <w:rFonts w:eastAsia="方正小标宋_GBK"/>
          <w:sz w:val="44"/>
          <w:szCs w:val="32"/>
        </w:rPr>
        <w:t>整体支出绩效</w:t>
      </w:r>
      <w:r>
        <w:rPr>
          <w:rFonts w:hint="eastAsia" w:eastAsia="方正小标宋_GBK"/>
          <w:sz w:val="44"/>
          <w:szCs w:val="32"/>
        </w:rPr>
        <w:t>自评</w:t>
      </w:r>
      <w:r>
        <w:rPr>
          <w:rFonts w:eastAsia="方正小标宋_GBK"/>
          <w:sz w:val="44"/>
          <w:szCs w:val="32"/>
        </w:rPr>
        <w:t>报告</w:t>
      </w:r>
    </w:p>
    <w:p>
      <w:pPr>
        <w:pStyle w:val="16"/>
        <w:spacing w:line="594" w:lineRule="exact"/>
        <w:jc w:val="left"/>
        <w:rPr>
          <w:rStyle w:val="9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sz w:val="32"/>
          <w:szCs w:val="32"/>
        </w:rPr>
        <w:t>区财政局：</w:t>
      </w:r>
    </w:p>
    <w:p>
      <w:pPr>
        <w:pStyle w:val="16"/>
        <w:spacing w:line="594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sz w:val="32"/>
          <w:szCs w:val="32"/>
        </w:rPr>
        <w:t>我</w:t>
      </w:r>
      <w:r>
        <w:rPr>
          <w:rStyle w:val="9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中心</w:t>
      </w:r>
      <w:r>
        <w:rPr>
          <w:rStyle w:val="9"/>
          <w:rFonts w:hint="eastAsia" w:ascii="方正仿宋_GBK" w:hAnsi="方正仿宋_GBK" w:eastAsia="方正仿宋_GBK" w:cs="方正仿宋_GBK"/>
          <w:sz w:val="32"/>
          <w:szCs w:val="32"/>
        </w:rPr>
        <w:t>组织人员对202</w:t>
      </w:r>
      <w:r>
        <w:rPr>
          <w:rStyle w:val="9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Style w:val="9"/>
          <w:rFonts w:hint="eastAsia" w:ascii="方正仿宋_GBK" w:hAnsi="方正仿宋_GBK" w:eastAsia="方正仿宋_GBK" w:cs="方正仿宋_GBK"/>
          <w:sz w:val="32"/>
          <w:szCs w:val="32"/>
        </w:rPr>
        <w:t>年部门整体运行及支出情况进行了自查自评，并对照部门整体支出绩效评价表上的评价标准进行了评分，自评得分95分。现将自评情况报告如下：</w:t>
      </w:r>
    </w:p>
    <w:p>
      <w:pPr>
        <w:spacing w:line="600" w:lineRule="exact"/>
        <w:ind w:firstLine="640" w:firstLineChars="200"/>
        <w:rPr>
          <w:rFonts w:ascii="方正黑体_GBK" w:hAnsi="黑体" w:eastAsia="方正黑体_GBK" w:cs="仿宋_GB2312"/>
          <w:sz w:val="32"/>
        </w:rPr>
      </w:pPr>
      <w:r>
        <w:rPr>
          <w:rFonts w:hint="eastAsia" w:ascii="方正黑体_GBK" w:hAnsi="黑体" w:eastAsia="方正黑体_GBK" w:cs="仿宋_GB2312"/>
          <w:sz w:val="32"/>
        </w:rPr>
        <w:t>一、单位基本情况</w:t>
      </w:r>
    </w:p>
    <w:p>
      <w:pPr>
        <w:spacing w:line="600" w:lineRule="exact"/>
        <w:ind w:firstLine="640" w:firstLineChars="200"/>
        <w:rPr>
          <w:rFonts w:ascii="方正仿宋_GBK" w:hAnsi="仿宋_GB2312" w:eastAsia="方正仿宋_GBK" w:cs="仿宋_GB2312"/>
          <w:sz w:val="32"/>
        </w:rPr>
      </w:pPr>
      <w:r>
        <w:rPr>
          <w:rFonts w:hint="eastAsia" w:ascii="方正仿宋_GBK" w:hAnsi="仿宋_GB2312" w:eastAsia="方正仿宋_GBK" w:cs="仿宋_GB2312"/>
          <w:sz w:val="32"/>
        </w:rPr>
        <w:t>（一）职能职责</w:t>
      </w:r>
    </w:p>
    <w:p>
      <w:pPr>
        <w:spacing w:line="594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为</w:t>
      </w:r>
      <w:r>
        <w:rPr>
          <w:rFonts w:hint="eastAsia" w:eastAsia="方正仿宋_GBK"/>
          <w:sz w:val="32"/>
          <w:szCs w:val="32"/>
        </w:rPr>
        <w:t>康养</w:t>
      </w:r>
      <w:r>
        <w:rPr>
          <w:rFonts w:eastAsia="方正仿宋_GBK"/>
          <w:sz w:val="32"/>
          <w:szCs w:val="32"/>
        </w:rPr>
        <w:t>事业发展提供服务保障。</w:t>
      </w:r>
    </w:p>
    <w:p>
      <w:pPr>
        <w:pStyle w:val="2"/>
        <w:spacing w:after="0" w:line="594" w:lineRule="exact"/>
        <w:ind w:right="-11"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1、</w:t>
      </w:r>
      <w:r>
        <w:rPr>
          <w:sz w:val="32"/>
          <w:szCs w:val="32"/>
        </w:rPr>
        <w:t>贯彻执行老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人福利补贴制度、政策和标准。</w:t>
      </w:r>
    </w:p>
    <w:p>
      <w:pPr>
        <w:pStyle w:val="2"/>
        <w:spacing w:after="0" w:line="594" w:lineRule="exact"/>
        <w:ind w:right="-11"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2、</w:t>
      </w:r>
      <w:r>
        <w:rPr>
          <w:sz w:val="32"/>
          <w:szCs w:val="32"/>
        </w:rPr>
        <w:t>指导全区</w:t>
      </w:r>
      <w:r>
        <w:rPr>
          <w:rFonts w:hint="eastAsia"/>
          <w:sz w:val="32"/>
          <w:szCs w:val="32"/>
        </w:rPr>
        <w:t>养老</w:t>
      </w:r>
      <w:r>
        <w:rPr>
          <w:sz w:val="32"/>
          <w:szCs w:val="32"/>
        </w:rPr>
        <w:t>服务</w:t>
      </w:r>
      <w:r>
        <w:rPr>
          <w:rFonts w:hint="eastAsia"/>
          <w:sz w:val="32"/>
          <w:szCs w:val="32"/>
        </w:rPr>
        <w:t>场所标准化</w:t>
      </w:r>
      <w:r>
        <w:rPr>
          <w:sz w:val="32"/>
          <w:szCs w:val="32"/>
        </w:rPr>
        <w:t>建设。</w:t>
      </w:r>
    </w:p>
    <w:p>
      <w:pPr>
        <w:pStyle w:val="2"/>
        <w:spacing w:after="0" w:line="594" w:lineRule="exact"/>
        <w:ind w:right="-11"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3、</w:t>
      </w:r>
      <w:r>
        <w:rPr>
          <w:sz w:val="32"/>
          <w:szCs w:val="32"/>
        </w:rPr>
        <w:t>指导</w:t>
      </w:r>
      <w:r>
        <w:rPr>
          <w:rFonts w:hint="eastAsia"/>
          <w:sz w:val="32"/>
          <w:szCs w:val="32"/>
        </w:rPr>
        <w:t>养老</w:t>
      </w:r>
      <w:r>
        <w:rPr>
          <w:sz w:val="32"/>
          <w:szCs w:val="32"/>
        </w:rPr>
        <w:t>服务</w:t>
      </w:r>
      <w:r>
        <w:rPr>
          <w:rFonts w:hint="eastAsia"/>
          <w:sz w:val="32"/>
          <w:szCs w:val="32"/>
        </w:rPr>
        <w:t>场所</w:t>
      </w:r>
      <w:r>
        <w:rPr>
          <w:sz w:val="32"/>
          <w:szCs w:val="32"/>
        </w:rPr>
        <w:t>、老</w:t>
      </w:r>
      <w:bookmarkStart w:id="0" w:name="_GoBack"/>
      <w:bookmarkEnd w:id="0"/>
      <w:r>
        <w:rPr>
          <w:sz w:val="32"/>
          <w:szCs w:val="32"/>
        </w:rPr>
        <w:t>年人福利</w:t>
      </w:r>
      <w:r>
        <w:rPr>
          <w:rFonts w:hint="eastAsia"/>
          <w:sz w:val="32"/>
          <w:szCs w:val="32"/>
        </w:rPr>
        <w:t>机构</w:t>
      </w:r>
      <w:r>
        <w:rPr>
          <w:sz w:val="32"/>
          <w:szCs w:val="32"/>
        </w:rPr>
        <w:t>、特困人员供养</w:t>
      </w:r>
      <w:r>
        <w:rPr>
          <w:rFonts w:hint="eastAsia"/>
          <w:sz w:val="32"/>
          <w:szCs w:val="32"/>
        </w:rPr>
        <w:t>机构</w:t>
      </w:r>
      <w:r>
        <w:rPr>
          <w:sz w:val="32"/>
          <w:szCs w:val="32"/>
        </w:rPr>
        <w:t>日常管理工作，协调推进农村留守老人关爱服务工作。</w:t>
      </w:r>
    </w:p>
    <w:p>
      <w:pPr>
        <w:pStyle w:val="2"/>
        <w:spacing w:after="0" w:line="594" w:lineRule="exact"/>
        <w:ind w:right="-11"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4、指导敬老院开展</w:t>
      </w:r>
      <w:r>
        <w:rPr>
          <w:sz w:val="32"/>
          <w:szCs w:val="32"/>
        </w:rPr>
        <w:t>老年人福利</w:t>
      </w:r>
      <w:r>
        <w:rPr>
          <w:rFonts w:hint="eastAsia"/>
          <w:sz w:val="32"/>
          <w:szCs w:val="32"/>
        </w:rPr>
        <w:t>和</w:t>
      </w:r>
      <w:r>
        <w:rPr>
          <w:sz w:val="32"/>
          <w:szCs w:val="32"/>
        </w:rPr>
        <w:t>特困老人救助及供养服务工作。</w:t>
      </w: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5、负责城市三无（无收入来源、无劳动能力、无法定赡养人）老人的教育、管理和服务工作。</w:t>
      </w:r>
    </w:p>
    <w:p>
      <w:pPr>
        <w:pStyle w:val="2"/>
        <w:spacing w:after="0" w:line="594" w:lineRule="exact"/>
        <w:ind w:right="-11"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6、</w:t>
      </w:r>
      <w:r>
        <w:rPr>
          <w:sz w:val="32"/>
          <w:szCs w:val="32"/>
        </w:rPr>
        <w:t>负责社会弃婴</w:t>
      </w:r>
      <w:r>
        <w:rPr>
          <w:rFonts w:hint="eastAsia"/>
          <w:sz w:val="32"/>
          <w:szCs w:val="32"/>
        </w:rPr>
        <w:t>和</w:t>
      </w:r>
      <w:r>
        <w:rPr>
          <w:sz w:val="32"/>
          <w:szCs w:val="32"/>
        </w:rPr>
        <w:t>孤儿</w:t>
      </w:r>
      <w:r>
        <w:rPr>
          <w:rFonts w:hint="eastAsia"/>
          <w:sz w:val="32"/>
          <w:szCs w:val="32"/>
        </w:rPr>
        <w:t>的</w:t>
      </w:r>
      <w:r>
        <w:rPr>
          <w:sz w:val="32"/>
          <w:szCs w:val="32"/>
        </w:rPr>
        <w:t>收养及其教育、管理和服务工作。</w:t>
      </w:r>
    </w:p>
    <w:p>
      <w:pPr>
        <w:pStyle w:val="2"/>
        <w:spacing w:after="0" w:line="594" w:lineRule="exact"/>
        <w:ind w:right="-11"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7、</w:t>
      </w:r>
      <w:r>
        <w:rPr>
          <w:sz w:val="32"/>
          <w:szCs w:val="32"/>
        </w:rPr>
        <w:t>负责社会弃婴</w:t>
      </w:r>
      <w:r>
        <w:rPr>
          <w:rFonts w:hint="eastAsia"/>
          <w:sz w:val="32"/>
          <w:szCs w:val="32"/>
        </w:rPr>
        <w:t>和</w:t>
      </w:r>
      <w:r>
        <w:rPr>
          <w:sz w:val="32"/>
          <w:szCs w:val="32"/>
        </w:rPr>
        <w:t>孤儿</w:t>
      </w:r>
      <w:r>
        <w:rPr>
          <w:rFonts w:hint="eastAsia"/>
          <w:sz w:val="32"/>
          <w:szCs w:val="32"/>
        </w:rPr>
        <w:t>的</w:t>
      </w:r>
      <w:r>
        <w:rPr>
          <w:sz w:val="32"/>
          <w:szCs w:val="32"/>
        </w:rPr>
        <w:t>安置及涉外送养工作。</w:t>
      </w:r>
    </w:p>
    <w:p>
      <w:pPr>
        <w:pStyle w:val="2"/>
        <w:spacing w:after="0" w:line="594" w:lineRule="exact"/>
        <w:ind w:right="-11"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8、承办主管部门交办的其他事项。</w:t>
      </w:r>
    </w:p>
    <w:p>
      <w:pPr>
        <w:pStyle w:val="2"/>
        <w:spacing w:after="0" w:line="594" w:lineRule="exact"/>
        <w:ind w:right="-11" w:firstLine="640" w:firstLineChars="200"/>
        <w:jc w:val="left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9、编制7人，在职7人。</w:t>
      </w:r>
    </w:p>
    <w:p>
      <w:pPr>
        <w:pStyle w:val="13"/>
        <w:tabs>
          <w:tab w:val="center" w:pos="4153"/>
          <w:tab w:val="left" w:pos="7275"/>
        </w:tabs>
        <w:spacing w:line="600" w:lineRule="exact"/>
        <w:ind w:left="640" w:firstLine="0" w:firstLineChars="0"/>
        <w:jc w:val="left"/>
        <w:rPr>
          <w:rFonts w:hint="eastAsia" w:ascii="方正仿宋_GBK" w:hAnsi="仿宋_GB2312" w:eastAsia="方正仿宋_GBK" w:cs="仿宋_GB2312"/>
          <w:sz w:val="32"/>
        </w:rPr>
      </w:pPr>
    </w:p>
    <w:p>
      <w:pPr>
        <w:pStyle w:val="13"/>
        <w:tabs>
          <w:tab w:val="center" w:pos="4153"/>
          <w:tab w:val="left" w:pos="7275"/>
        </w:tabs>
        <w:spacing w:line="600" w:lineRule="exact"/>
        <w:ind w:left="640" w:firstLine="0" w:firstLineChars="0"/>
        <w:jc w:val="left"/>
        <w:rPr>
          <w:rFonts w:hint="eastAsia" w:ascii="方正仿宋_GBK" w:hAnsi="仿宋_GB2312" w:eastAsia="方正仿宋_GBK" w:cs="仿宋_GB2312"/>
          <w:sz w:val="32"/>
          <w:lang w:eastAsia="zh-CN"/>
        </w:rPr>
      </w:pPr>
      <w:r>
        <w:rPr>
          <w:rFonts w:hint="eastAsia" w:ascii="方正仿宋_GBK" w:hAnsi="仿宋_GB2312" w:eastAsia="方正仿宋_GBK" w:cs="仿宋_GB2312"/>
          <w:sz w:val="32"/>
        </w:rPr>
        <w:t>（二）</w:t>
      </w:r>
      <w:r>
        <w:rPr>
          <w:rFonts w:hint="eastAsia" w:ascii="方正仿宋_GBK" w:hAnsi="仿宋_GB2312" w:eastAsia="方正仿宋_GBK" w:cs="仿宋_GB2312"/>
          <w:sz w:val="32"/>
          <w:lang w:eastAsia="zh-CN"/>
        </w:rPr>
        <w:t>预算支出情况</w:t>
      </w:r>
    </w:p>
    <w:p>
      <w:pPr>
        <w:spacing w:line="596" w:lineRule="exact"/>
        <w:ind w:firstLine="640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2021年度年初预算2146449.3元，其中项目支出342332元</w:t>
      </w:r>
      <w:r>
        <w:rPr>
          <w:rFonts w:hint="eastAsia" w:ascii="方正仿宋_GBK" w:eastAsia="方正仿宋_GBK"/>
          <w:sz w:val="32"/>
          <w:szCs w:val="32"/>
        </w:rPr>
        <w:t>。</w:t>
      </w:r>
      <w:r>
        <w:rPr>
          <w:rFonts w:hint="eastAsia" w:ascii="方正仿宋_GBK" w:eastAsia="方正仿宋_GBK"/>
          <w:sz w:val="32"/>
          <w:szCs w:val="32"/>
          <w:lang w:eastAsia="zh-CN"/>
        </w:rPr>
        <w:t>支出为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2299782.94元，其中项目支出180553.84元。</w:t>
      </w:r>
    </w:p>
    <w:p>
      <w:pPr>
        <w:spacing w:line="600" w:lineRule="exact"/>
        <w:ind w:firstLine="640" w:firstLineChars="200"/>
        <w:rPr>
          <w:rFonts w:ascii="方正黑体_GBK" w:hAnsi="黑体" w:eastAsia="方正黑体_GBK" w:cs="仿宋_GB2312"/>
          <w:sz w:val="32"/>
        </w:rPr>
      </w:pP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二、绩效评价</w:t>
      </w:r>
      <w:r>
        <w:rPr>
          <w:rFonts w:hint="eastAsia" w:eastAsia="方正黑体_GBK"/>
          <w:sz w:val="32"/>
          <w:szCs w:val="32"/>
        </w:rPr>
        <w:t>基本</w:t>
      </w:r>
      <w:r>
        <w:rPr>
          <w:rFonts w:eastAsia="方正黑体_GBK"/>
          <w:sz w:val="32"/>
          <w:szCs w:val="32"/>
        </w:rPr>
        <w:t>情况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（一）绩效评价目的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eastAsia="方正仿宋_GBK"/>
          <w:color w:val="auto"/>
          <w:sz w:val="28"/>
          <w:szCs w:val="28"/>
          <w:lang w:val="en-US" w:eastAsia="zh-CN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本次绩效评价是围绕我部门的职责职能，以预算及支出为抓手，洞悉部门人、财、物资源与职能匹配情况，进而从更宽泛的层面把握部门的职能履行情况，从支出效益分析中总结经验、查找问题，促进财政资金管理，强化部门责任意识。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（二）绩效评价原则</w:t>
      </w:r>
    </w:p>
    <w:p>
      <w:pPr>
        <w:spacing w:line="596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绩效评价原则包括科学规范原则、公开公正原则、分级分类原则、绩效相关原则。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sz w:val="32"/>
          <w:szCs w:val="32"/>
        </w:rPr>
        <w:t>评价方法：因素分析法。</w:t>
      </w:r>
    </w:p>
    <w:p>
      <w:pPr>
        <w:spacing w:line="596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（三）绩效评价工作过程</w:t>
      </w:r>
    </w:p>
    <w:p>
      <w:pPr>
        <w:spacing w:line="596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bCs/>
          <w:sz w:val="32"/>
          <w:szCs w:val="32"/>
        </w:rPr>
        <w:t>健全组织，成立小组。</w:t>
      </w:r>
    </w:p>
    <w:p>
      <w:pPr>
        <w:spacing w:line="596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按照区财政局预算绩效管理工作会议精神，我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中心</w:t>
      </w:r>
      <w:r>
        <w:rPr>
          <w:rFonts w:hint="eastAsia" w:ascii="仿宋_GB2312" w:eastAsia="仿宋_GB2312"/>
          <w:bCs/>
          <w:sz w:val="32"/>
          <w:szCs w:val="32"/>
        </w:rPr>
        <w:t>做出了2021年预算绩效管理工作开展的要求，成立了以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主任付航</w:t>
      </w:r>
      <w:r>
        <w:rPr>
          <w:rFonts w:hint="eastAsia" w:ascii="仿宋_GB2312" w:eastAsia="仿宋_GB2312"/>
          <w:bCs/>
          <w:sz w:val="32"/>
          <w:szCs w:val="32"/>
        </w:rPr>
        <w:t>为组长，单位其他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工作人员</w:t>
      </w:r>
      <w:r>
        <w:rPr>
          <w:rFonts w:hint="eastAsia" w:ascii="仿宋_GB2312" w:eastAsia="仿宋_GB2312"/>
          <w:bCs/>
          <w:sz w:val="32"/>
          <w:szCs w:val="32"/>
        </w:rPr>
        <w:t>为成员，专题研究了我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中心</w:t>
      </w:r>
      <w:r>
        <w:rPr>
          <w:rFonts w:hint="eastAsia" w:ascii="仿宋_GB2312" w:eastAsia="仿宋_GB2312"/>
          <w:bCs/>
          <w:sz w:val="32"/>
          <w:szCs w:val="32"/>
        </w:rPr>
        <w:t>2021年度预算绩效管理工作，并责成以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财务</w:t>
      </w:r>
      <w:r>
        <w:rPr>
          <w:rFonts w:hint="eastAsia" w:ascii="仿宋_GB2312" w:eastAsia="仿宋_GB2312"/>
          <w:bCs/>
          <w:sz w:val="32"/>
          <w:szCs w:val="32"/>
        </w:rPr>
        <w:t>人员负责实施我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中心</w:t>
      </w:r>
      <w:r>
        <w:rPr>
          <w:rFonts w:hint="eastAsia" w:ascii="仿宋_GB2312" w:eastAsia="仿宋_GB2312"/>
          <w:bCs/>
          <w:sz w:val="32"/>
          <w:szCs w:val="32"/>
        </w:rPr>
        <w:t>2021年预算绩效管理工作。</w:t>
      </w:r>
      <w:r>
        <w:rPr>
          <w:rFonts w:hint="eastAsia" w:ascii="仿宋_GB2312" w:eastAsia="仿宋_GB2312"/>
          <w:bCs/>
          <w:sz w:val="32"/>
          <w:szCs w:val="32"/>
        </w:rPr>
        <w:br w:type="textWrapping"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 2、</w:t>
      </w:r>
      <w:r>
        <w:rPr>
          <w:rFonts w:hint="eastAsia" w:ascii="仿宋_GB2312" w:eastAsia="仿宋_GB2312"/>
          <w:bCs/>
          <w:sz w:val="32"/>
          <w:szCs w:val="32"/>
        </w:rPr>
        <w:t>学习文件，夯实基础。</w:t>
      </w:r>
      <w:r>
        <w:rPr>
          <w:rFonts w:hint="eastAsia" w:ascii="仿宋_GB2312" w:eastAsia="仿宋_GB2312"/>
          <w:bCs/>
          <w:sz w:val="32"/>
          <w:szCs w:val="32"/>
        </w:rPr>
        <w:br w:type="textWrapping"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中心</w:t>
      </w:r>
      <w:r>
        <w:rPr>
          <w:rFonts w:hint="eastAsia" w:ascii="仿宋_GB2312" w:eastAsia="仿宋_GB2312"/>
          <w:bCs/>
          <w:sz w:val="32"/>
          <w:szCs w:val="32"/>
        </w:rPr>
        <w:t>积极与财政领导咨询和研读绩效管理文件精神，并组织我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中心</w:t>
      </w:r>
      <w:r>
        <w:rPr>
          <w:rFonts w:hint="eastAsia" w:ascii="仿宋_GB2312" w:eastAsia="仿宋_GB2312"/>
          <w:bCs/>
          <w:sz w:val="32"/>
          <w:szCs w:val="32"/>
        </w:rPr>
        <w:t>绩效管理工作小组成员学习“财政支出预算绩效管理暂行办法、预算绩效管理工作职责分工情况、预算绩效管理工作考核办法、预算绩放评价共性指标体系”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bCs/>
          <w:sz w:val="32"/>
          <w:szCs w:val="32"/>
        </w:rPr>
        <w:t>系列关于绩效管理工作的制度、 条例、方案等，为预算绩效管理工作的开展提供了制度保障、方案支持和工作指南，力求实现我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中心</w:t>
      </w:r>
      <w:r>
        <w:rPr>
          <w:rFonts w:hint="eastAsia" w:ascii="仿宋_GB2312" w:eastAsia="仿宋_GB2312"/>
          <w:bCs/>
          <w:sz w:val="32"/>
          <w:szCs w:val="32"/>
        </w:rPr>
        <w:t>绩效管理工作科学化、规范化、合理化。</w:t>
      </w:r>
      <w:r>
        <w:rPr>
          <w:rFonts w:hint="eastAsia" w:ascii="仿宋_GB2312" w:eastAsia="仿宋_GB2312"/>
          <w:bCs/>
          <w:sz w:val="32"/>
          <w:szCs w:val="32"/>
        </w:rPr>
        <w:br w:type="textWrapping"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 3、</w:t>
      </w:r>
      <w:r>
        <w:rPr>
          <w:rFonts w:hint="eastAsia" w:ascii="仿宋_GB2312" w:eastAsia="仿宋_GB2312"/>
          <w:bCs/>
          <w:sz w:val="32"/>
          <w:szCs w:val="32"/>
        </w:rPr>
        <w:t>精心实施，扎实推进。</w:t>
      </w:r>
      <w:r>
        <w:rPr>
          <w:rFonts w:hint="eastAsia" w:ascii="仿宋_GB2312" w:eastAsia="仿宋_GB2312"/>
          <w:bCs/>
          <w:sz w:val="32"/>
          <w:szCs w:val="32"/>
        </w:rPr>
        <w:br w:type="textWrapping"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Cs/>
          <w:sz w:val="32"/>
          <w:szCs w:val="32"/>
        </w:rPr>
        <w:t>自2021年底开展财政预算绩效评价工作后，我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中心</w:t>
      </w:r>
      <w:r>
        <w:rPr>
          <w:rFonts w:hint="eastAsia" w:ascii="仿宋_GB2312" w:eastAsia="仿宋_GB2312"/>
          <w:bCs/>
          <w:sz w:val="32"/>
          <w:szCs w:val="32"/>
        </w:rPr>
        <w:t>遵循财政局的总体部署、分步实施，稳步推进的原则。</w:t>
      </w:r>
      <w:r>
        <w:rPr>
          <w:rFonts w:hint="eastAsia" w:ascii="仿宋_GB2312" w:eastAsia="仿宋_GB2312"/>
          <w:bCs/>
          <w:sz w:val="32"/>
          <w:szCs w:val="32"/>
        </w:rPr>
        <w:br w:type="textWrapping"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（ </w:t>
      </w:r>
      <w:r>
        <w:rPr>
          <w:rFonts w:hint="eastAsia" w:ascii="仿宋_GB2312" w:eastAsia="仿宋_GB2312"/>
          <w:bCs/>
          <w:sz w:val="32"/>
          <w:szCs w:val="32"/>
        </w:rPr>
        <w:t>1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Cs/>
          <w:sz w:val="32"/>
          <w:szCs w:val="32"/>
        </w:rPr>
        <w:t>、2021年，我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中心</w:t>
      </w:r>
      <w:r>
        <w:rPr>
          <w:rFonts w:hint="eastAsia" w:ascii="仿宋_GB2312" w:eastAsia="仿宋_GB2312"/>
          <w:bCs/>
          <w:sz w:val="32"/>
          <w:szCs w:val="32"/>
        </w:rPr>
        <w:t>实施了整体支出绩效目标。整体预算支出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2146449.3</w:t>
      </w:r>
      <w:r>
        <w:rPr>
          <w:rFonts w:hint="eastAsia" w:ascii="仿宋_GB2312" w:eastAsia="仿宋_GB2312"/>
          <w:bCs/>
          <w:sz w:val="32"/>
          <w:szCs w:val="32"/>
        </w:rPr>
        <w:t>元，拟定了整体绩效目标:加快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中心</w:t>
      </w:r>
      <w:r>
        <w:rPr>
          <w:rFonts w:hint="eastAsia" w:ascii="仿宋_GB2312" w:eastAsia="仿宋_GB2312"/>
          <w:bCs/>
          <w:sz w:val="32"/>
          <w:szCs w:val="32"/>
        </w:rPr>
        <w:t>发展，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保障中心完成上级区民政局下达的工作任务，为</w:t>
      </w:r>
      <w:r>
        <w:rPr>
          <w:rFonts w:hint="eastAsia" w:eastAsia="方正仿宋_GBK"/>
          <w:sz w:val="32"/>
          <w:szCs w:val="32"/>
        </w:rPr>
        <w:t>康养</w:t>
      </w:r>
      <w:r>
        <w:rPr>
          <w:rFonts w:eastAsia="方正仿宋_GBK"/>
          <w:sz w:val="32"/>
          <w:szCs w:val="32"/>
        </w:rPr>
        <w:t>事业发展提供服务保障</w:t>
      </w:r>
      <w:r>
        <w:rPr>
          <w:rFonts w:hint="eastAsia" w:ascii="仿宋_GB2312" w:eastAsia="仿宋_GB2312"/>
          <w:bCs/>
          <w:sz w:val="32"/>
          <w:szCs w:val="32"/>
        </w:rPr>
        <w:t>。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中心</w:t>
      </w:r>
      <w:r>
        <w:rPr>
          <w:rFonts w:hint="eastAsia" w:ascii="仿宋_GB2312" w:eastAsia="仿宋_GB2312"/>
          <w:bCs/>
          <w:sz w:val="32"/>
          <w:szCs w:val="32"/>
        </w:rPr>
        <w:t>绩效管理工作小组根据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职能职责及项目情况量化了</w:t>
      </w:r>
      <w:r>
        <w:rPr>
          <w:rFonts w:hint="eastAsia" w:ascii="仿宋_GB2312" w:eastAsia="仿宋_GB2312"/>
          <w:bCs/>
          <w:sz w:val="32"/>
          <w:szCs w:val="32"/>
        </w:rPr>
        <w:t>整体支出绩效指标内容、指标权重、计量单位、指标性质及指标值。稳妥推进了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中心</w:t>
      </w:r>
      <w:r>
        <w:rPr>
          <w:rFonts w:hint="eastAsia" w:ascii="仿宋_GB2312" w:eastAsia="仿宋_GB2312"/>
          <w:bCs/>
          <w:sz w:val="32"/>
          <w:szCs w:val="32"/>
        </w:rPr>
        <w:t>的绩效管理工作。</w:t>
      </w:r>
    </w:p>
    <w:p>
      <w:pPr>
        <w:spacing w:line="596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（ 2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）、</w:t>
      </w:r>
      <w:r>
        <w:rPr>
          <w:rFonts w:hint="eastAsia" w:ascii="仿宋_GB2312" w:eastAsia="仿宋_GB2312"/>
          <w:bCs/>
          <w:sz w:val="32"/>
          <w:szCs w:val="32"/>
        </w:rPr>
        <w:t>我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中心</w:t>
      </w:r>
      <w:r>
        <w:rPr>
          <w:rFonts w:hint="eastAsia" w:ascii="仿宋_GB2312" w:eastAsia="仿宋_GB2312"/>
          <w:bCs/>
          <w:sz w:val="32"/>
          <w:szCs w:val="32"/>
        </w:rPr>
        <w:t>实施了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重点</w:t>
      </w:r>
      <w:r>
        <w:rPr>
          <w:rFonts w:hint="eastAsia" w:ascii="仿宋_GB2312" w:eastAsia="仿宋_GB2312"/>
          <w:bCs/>
          <w:sz w:val="32"/>
          <w:szCs w:val="32"/>
        </w:rPr>
        <w:t>项目支出绩效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Cs/>
          <w:sz w:val="32"/>
          <w:szCs w:val="32"/>
        </w:rPr>
        <w:t> 个: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困难群众医疗及护理，公养老人生活费，遗弃儿童生活及其他费用</w:t>
      </w:r>
      <w:r>
        <w:rPr>
          <w:rFonts w:hint="eastAsia" w:ascii="仿宋_GB2312" w:eastAsia="仿宋_GB2312"/>
          <w:bCs/>
          <w:sz w:val="32"/>
          <w:szCs w:val="32"/>
        </w:rPr>
        <w:t>。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中心</w:t>
      </w:r>
      <w:r>
        <w:rPr>
          <w:rFonts w:hint="eastAsia" w:ascii="仿宋_GB2312" w:eastAsia="仿宋_GB2312"/>
          <w:bCs/>
          <w:sz w:val="32"/>
          <w:szCs w:val="32"/>
        </w:rPr>
        <w:t>绩效管理工作小组根据经费组成及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中心</w:t>
      </w:r>
      <w:r>
        <w:rPr>
          <w:rFonts w:hint="eastAsia" w:ascii="仿宋_GB2312" w:eastAsia="仿宋_GB2312"/>
          <w:bCs/>
          <w:sz w:val="32"/>
          <w:szCs w:val="32"/>
        </w:rPr>
        <w:t>具体工作情况:根据项目立项依据、项目实施可行性必要性、项目概况、项目实施进度计划等要求，拟定了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Cs/>
          <w:sz w:val="32"/>
          <w:szCs w:val="32"/>
        </w:rPr>
        <w:t>个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重点</w:t>
      </w:r>
      <w:r>
        <w:rPr>
          <w:rFonts w:hint="eastAsia" w:ascii="仿宋_GB2312" w:eastAsia="仿宋_GB2312"/>
          <w:bCs/>
          <w:sz w:val="32"/>
          <w:szCs w:val="32"/>
        </w:rPr>
        <w:t>项目支出绩效目标，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量</w:t>
      </w:r>
      <w:r>
        <w:rPr>
          <w:rFonts w:hint="eastAsia" w:ascii="仿宋_GB2312" w:eastAsia="仿宋_GB2312"/>
          <w:bCs/>
          <w:sz w:val="32"/>
          <w:szCs w:val="32"/>
        </w:rPr>
        <w:t>化了各个项目绩效指标，指标内容、指标权重、计量单位、指标性质，及指标值。根据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中心</w:t>
      </w:r>
      <w:r>
        <w:rPr>
          <w:rFonts w:hint="eastAsia" w:ascii="仿宋_GB2312" w:eastAsia="仿宋_GB2312"/>
          <w:bCs/>
          <w:sz w:val="32"/>
          <w:szCs w:val="32"/>
        </w:rPr>
        <w:t>具体实情稳步推进了一般项目的实施进度。</w:t>
      </w:r>
      <w:r>
        <w:rPr>
          <w:rFonts w:hint="eastAsia" w:ascii="仿宋_GB2312" w:eastAsia="仿宋_GB2312"/>
          <w:bCs/>
          <w:sz w:val="32"/>
          <w:szCs w:val="32"/>
        </w:rPr>
        <w:br w:type="textWrapping"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eastAsia="方正黑体_GBK"/>
          <w:sz w:val="32"/>
          <w:szCs w:val="32"/>
        </w:rPr>
        <w:t>三、</w:t>
      </w:r>
      <w:r>
        <w:rPr>
          <w:rFonts w:hint="eastAsia" w:eastAsia="方正黑体_GBK"/>
          <w:sz w:val="32"/>
          <w:szCs w:val="32"/>
        </w:rPr>
        <w:t>绩效</w:t>
      </w:r>
      <w:r>
        <w:rPr>
          <w:rFonts w:eastAsia="方正黑体_GBK"/>
          <w:sz w:val="32"/>
          <w:szCs w:val="32"/>
        </w:rPr>
        <w:t>评价情况及结论</w:t>
      </w:r>
    </w:p>
    <w:p>
      <w:pPr>
        <w:spacing w:line="596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本单位部门整体支出绩效自评得分95分。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</w:t>
      </w:r>
      <w:r>
        <w:rPr>
          <w:rFonts w:hint="eastAsia" w:eastAsia="方正仿宋_GBK"/>
          <w:sz w:val="32"/>
          <w:szCs w:val="32"/>
        </w:rPr>
        <w:t>投入评价情况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投入自评得分5分，其中：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（1）目标设定：绩效目标设定合理性1分；绩效指标设定明确性2分；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（2）预算配置：在职人员配置控制率0分；“三公”经费变动率2分。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</w:t>
      </w:r>
      <w:r>
        <w:rPr>
          <w:rFonts w:hint="eastAsia" w:eastAsia="方正仿宋_GBK"/>
          <w:sz w:val="32"/>
          <w:szCs w:val="32"/>
        </w:rPr>
        <w:t>过程评价情况</w:t>
      </w:r>
    </w:p>
    <w:p>
      <w:pPr>
        <w:spacing w:line="596" w:lineRule="exact"/>
        <w:ind w:firstLine="63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过程自评得分2</w:t>
      </w:r>
      <w:r>
        <w:rPr>
          <w:rFonts w:hint="eastAsia" w:eastAsia="方正仿宋_GBK"/>
          <w:sz w:val="32"/>
          <w:szCs w:val="32"/>
          <w:lang w:val="en-US" w:eastAsia="zh-CN"/>
        </w:rPr>
        <w:t>0</w:t>
      </w:r>
      <w:r>
        <w:rPr>
          <w:rFonts w:hint="eastAsia" w:eastAsia="方正仿宋_GBK"/>
          <w:sz w:val="32"/>
          <w:szCs w:val="32"/>
        </w:rPr>
        <w:t>分，其中：</w:t>
      </w:r>
    </w:p>
    <w:p>
      <w:pPr>
        <w:spacing w:line="596" w:lineRule="exact"/>
        <w:ind w:firstLine="63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（1）预算执行：预算执行完成率得分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hint="eastAsia" w:eastAsia="方正仿宋_GBK"/>
          <w:sz w:val="32"/>
          <w:szCs w:val="32"/>
        </w:rPr>
        <w:t>分(预算执行完成率为</w:t>
      </w:r>
      <w:r>
        <w:rPr>
          <w:rFonts w:hint="eastAsia" w:eastAsia="方正仿宋_GBK"/>
          <w:sz w:val="32"/>
          <w:szCs w:val="32"/>
          <w:lang w:val="en-US" w:eastAsia="zh-CN"/>
        </w:rPr>
        <w:t>100</w:t>
      </w:r>
      <w:r>
        <w:rPr>
          <w:rFonts w:hint="eastAsia" w:eastAsia="方正仿宋_GBK"/>
          <w:sz w:val="32"/>
          <w:szCs w:val="32"/>
        </w:rPr>
        <w:t>%)；预算调整率得分</w:t>
      </w:r>
      <w:r>
        <w:rPr>
          <w:rFonts w:hint="eastAsia" w:eastAsia="方正仿宋_GBK"/>
          <w:sz w:val="32"/>
          <w:szCs w:val="32"/>
          <w:lang w:val="en-US" w:eastAsia="zh-CN"/>
        </w:rPr>
        <w:t>0</w:t>
      </w:r>
      <w:r>
        <w:rPr>
          <w:rFonts w:hint="eastAsia" w:eastAsia="方正仿宋_GBK"/>
          <w:sz w:val="32"/>
          <w:szCs w:val="32"/>
        </w:rPr>
        <w:t>分；预算执行结转结余率得分0分(结转率10%)；公用经费控制率得分1.5分；“三公”经费控制率得分1.5分；政府采购执行率得分</w:t>
      </w:r>
      <w:r>
        <w:rPr>
          <w:rFonts w:hint="eastAsia" w:eastAsia="方正仿宋_GBK"/>
          <w:sz w:val="32"/>
          <w:szCs w:val="32"/>
          <w:lang w:val="en-US" w:eastAsia="zh-CN"/>
        </w:rPr>
        <w:t>0</w:t>
      </w:r>
      <w:r>
        <w:rPr>
          <w:rFonts w:hint="eastAsia" w:eastAsia="方正仿宋_GBK"/>
          <w:sz w:val="32"/>
          <w:szCs w:val="32"/>
        </w:rPr>
        <w:t>分。</w:t>
      </w:r>
    </w:p>
    <w:p>
      <w:pPr>
        <w:spacing w:line="596" w:lineRule="exact"/>
        <w:ind w:firstLine="63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（2）预算管理：管理制度健全得分1分；管理资金使用合规得分5分；预决算信息公开得分1分；工程项目管理得分3分；基础信息完善得分1分。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（3）资产管理：管理制度健全得分1.5分；资产管理安全得分2分；固定资产利用率得分1分。</w:t>
      </w:r>
    </w:p>
    <w:p>
      <w:pPr>
        <w:spacing w:line="596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（三）</w:t>
      </w:r>
      <w:r>
        <w:rPr>
          <w:rFonts w:hint="eastAsia" w:eastAsia="方正仿宋_GBK"/>
          <w:sz w:val="32"/>
          <w:szCs w:val="32"/>
        </w:rPr>
        <w:t>产出评价情况</w:t>
      </w:r>
    </w:p>
    <w:p>
      <w:pPr>
        <w:spacing w:line="596" w:lineRule="exact"/>
        <w:ind w:firstLine="63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产出自评得分</w:t>
      </w:r>
      <w:r>
        <w:rPr>
          <w:rFonts w:hint="eastAsia" w:eastAsia="方正仿宋_GBK"/>
          <w:sz w:val="32"/>
          <w:szCs w:val="32"/>
          <w:lang w:val="en-US" w:eastAsia="zh-CN"/>
        </w:rPr>
        <w:t>70</w:t>
      </w:r>
      <w:r>
        <w:rPr>
          <w:rFonts w:hint="eastAsia" w:eastAsia="方正仿宋_GBK"/>
          <w:sz w:val="32"/>
          <w:szCs w:val="32"/>
        </w:rPr>
        <w:t>分，其中：</w:t>
      </w:r>
    </w:p>
    <w:p>
      <w:pPr>
        <w:numPr>
          <w:ilvl w:val="0"/>
          <w:numId w:val="1"/>
        </w:numPr>
        <w:spacing w:line="596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职责履行：公费收养老人医疗费保障</w:t>
      </w:r>
      <w:r>
        <w:rPr>
          <w:rFonts w:hint="eastAsia" w:eastAsia="方正仿宋_GBK"/>
          <w:sz w:val="32"/>
          <w:szCs w:val="32"/>
          <w:lang w:val="en-US" w:eastAsia="zh-CN"/>
        </w:rPr>
        <w:t>87</w:t>
      </w:r>
      <w:r>
        <w:rPr>
          <w:rFonts w:hint="eastAsia" w:eastAsia="方正仿宋_GBK"/>
          <w:sz w:val="32"/>
          <w:szCs w:val="32"/>
        </w:rPr>
        <w:t>人，得分</w:t>
      </w:r>
      <w:r>
        <w:rPr>
          <w:rFonts w:hint="eastAsia" w:eastAsia="方正仿宋_GBK"/>
          <w:sz w:val="32"/>
          <w:szCs w:val="32"/>
          <w:lang w:val="en-US" w:eastAsia="zh-CN"/>
        </w:rPr>
        <w:t>20</w:t>
      </w:r>
      <w:r>
        <w:rPr>
          <w:rFonts w:hint="eastAsia" w:eastAsia="方正仿宋_GBK"/>
          <w:sz w:val="32"/>
          <w:szCs w:val="32"/>
        </w:rPr>
        <w:t>分；公费遗弃儿童生活保障</w:t>
      </w:r>
      <w:r>
        <w:rPr>
          <w:rFonts w:hint="eastAsia" w:eastAsia="方正仿宋_GBK"/>
          <w:sz w:val="32"/>
          <w:szCs w:val="32"/>
          <w:lang w:val="en-US" w:eastAsia="zh-CN"/>
        </w:rPr>
        <w:t>2人</w:t>
      </w:r>
      <w:r>
        <w:rPr>
          <w:rFonts w:hint="eastAsia" w:eastAsia="方正仿宋_GBK"/>
          <w:sz w:val="32"/>
          <w:szCs w:val="32"/>
        </w:rPr>
        <w:t>，得分</w:t>
      </w:r>
      <w:r>
        <w:rPr>
          <w:rFonts w:hint="eastAsia" w:eastAsia="方正仿宋_GBK"/>
          <w:sz w:val="32"/>
          <w:szCs w:val="32"/>
          <w:lang w:val="en-US" w:eastAsia="zh-CN"/>
        </w:rPr>
        <w:t>20</w:t>
      </w:r>
      <w:r>
        <w:rPr>
          <w:rFonts w:hint="eastAsia" w:eastAsia="方正仿宋_GBK"/>
          <w:sz w:val="32"/>
          <w:szCs w:val="32"/>
        </w:rPr>
        <w:t>分；</w:t>
      </w:r>
    </w:p>
    <w:p>
      <w:pPr>
        <w:numPr>
          <w:ilvl w:val="0"/>
          <w:numId w:val="0"/>
        </w:numPr>
        <w:spacing w:line="596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（四）效益评价情况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</w:rPr>
        <w:t>效益自评得分</w:t>
      </w:r>
      <w:r>
        <w:rPr>
          <w:rFonts w:hint="eastAsia" w:eastAsia="方正仿宋_GBK"/>
          <w:sz w:val="32"/>
          <w:szCs w:val="32"/>
          <w:lang w:val="en-US" w:eastAsia="zh-CN"/>
        </w:rPr>
        <w:t>30</w:t>
      </w:r>
      <w:r>
        <w:rPr>
          <w:rFonts w:hint="eastAsia" w:eastAsia="方正仿宋_GBK"/>
          <w:sz w:val="32"/>
          <w:szCs w:val="32"/>
        </w:rPr>
        <w:t>分，其中：</w:t>
      </w:r>
    </w:p>
    <w:p>
      <w:pPr>
        <w:spacing w:line="596" w:lineRule="exact"/>
        <w:ind w:firstLine="63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（1）工作满意度100%，得分</w:t>
      </w:r>
      <w:r>
        <w:rPr>
          <w:rFonts w:hint="eastAsia" w:eastAsia="方正仿宋_GBK"/>
          <w:sz w:val="32"/>
          <w:szCs w:val="32"/>
          <w:lang w:val="en-US" w:eastAsia="zh-CN"/>
        </w:rPr>
        <w:t>20</w:t>
      </w:r>
      <w:r>
        <w:rPr>
          <w:rFonts w:hint="eastAsia" w:eastAsia="方正仿宋_GBK"/>
          <w:sz w:val="32"/>
          <w:szCs w:val="32"/>
        </w:rPr>
        <w:t>分。</w:t>
      </w:r>
    </w:p>
    <w:p>
      <w:pPr>
        <w:spacing w:line="596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（2）绩效管理率100%，得分</w:t>
      </w:r>
      <w:r>
        <w:rPr>
          <w:rFonts w:hint="eastAsia" w:eastAsia="方正仿宋_GBK"/>
          <w:sz w:val="32"/>
          <w:szCs w:val="32"/>
          <w:lang w:val="en-US" w:eastAsia="zh-CN"/>
        </w:rPr>
        <w:t>10</w:t>
      </w:r>
      <w:r>
        <w:rPr>
          <w:rFonts w:hint="eastAsia" w:eastAsia="方正仿宋_GBK"/>
          <w:sz w:val="32"/>
          <w:szCs w:val="32"/>
        </w:rPr>
        <w:t>分</w:t>
      </w:r>
    </w:p>
    <w:p>
      <w:pPr>
        <w:spacing w:line="596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四</w:t>
      </w:r>
      <w:r>
        <w:rPr>
          <w:rFonts w:eastAsia="方正黑体_GBK"/>
          <w:sz w:val="32"/>
          <w:szCs w:val="32"/>
        </w:rPr>
        <w:t>、主要经验及做法</w:t>
      </w:r>
    </w:p>
    <w:p>
      <w:pPr>
        <w:spacing w:line="596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我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中心</w:t>
      </w:r>
      <w:r>
        <w:rPr>
          <w:rFonts w:hint="eastAsia" w:ascii="仿宋_GB2312" w:eastAsia="仿宋_GB2312"/>
          <w:bCs/>
          <w:sz w:val="32"/>
          <w:szCs w:val="32"/>
        </w:rPr>
        <w:t>2021年开展的预算绩效管理，顺利实施了1个整体绩效目标管理和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Cs/>
          <w:sz w:val="32"/>
          <w:szCs w:val="32"/>
        </w:rPr>
        <w:t>个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重点</w:t>
      </w:r>
      <w:r>
        <w:rPr>
          <w:rFonts w:hint="eastAsia" w:ascii="仿宋_GB2312" w:eastAsia="仿宋_GB2312"/>
          <w:bCs/>
          <w:sz w:val="32"/>
          <w:szCs w:val="32"/>
        </w:rPr>
        <w:t>项目支出绩效目标管理，做到了项目指标明确、拟定了考核科学、反馈及时的绩效管理目标，确保参加评价的每一笔资金都能看得明白，查得清楚，理得顺畅，用得放心。</w:t>
      </w:r>
      <w:r>
        <w:rPr>
          <w:rFonts w:hint="eastAsia" w:ascii="仿宋_GB2312" w:eastAsia="仿宋_GB2312"/>
          <w:bCs/>
          <w:sz w:val="32"/>
          <w:szCs w:val="32"/>
        </w:rPr>
        <w:br w:type="textWrapping"/>
      </w:r>
      <w:r>
        <w:rPr>
          <w:rFonts w:hint="eastAsia" w:ascii="仿宋_GB2312" w:eastAsia="仿宋_GB2312"/>
          <w:bCs/>
          <w:sz w:val="32"/>
          <w:szCs w:val="32"/>
        </w:rPr>
        <w:br w:type="textWrapping"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eastAsia="方正黑体_GBK"/>
          <w:sz w:val="32"/>
          <w:szCs w:val="32"/>
        </w:rPr>
        <w:t>五、</w:t>
      </w:r>
      <w:r>
        <w:rPr>
          <w:rFonts w:eastAsia="方正黑体_GBK"/>
          <w:sz w:val="32"/>
          <w:szCs w:val="32"/>
        </w:rPr>
        <w:t>存在的问题和建议</w:t>
      </w:r>
    </w:p>
    <w:p>
      <w:pPr>
        <w:spacing w:line="596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根据目前我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中心</w:t>
      </w:r>
      <w:r>
        <w:rPr>
          <w:rFonts w:hint="eastAsia" w:ascii="仿宋_GB2312" w:eastAsia="仿宋_GB2312"/>
          <w:bCs/>
          <w:sz w:val="32"/>
          <w:szCs w:val="32"/>
        </w:rPr>
        <w:t>预算绩效管理工作的开展情况来看，主要存在问题:由于我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中心</w:t>
      </w:r>
      <w:r>
        <w:rPr>
          <w:rFonts w:hint="eastAsia" w:ascii="仿宋_GB2312" w:eastAsia="仿宋_GB2312"/>
          <w:bCs/>
          <w:sz w:val="32"/>
          <w:szCs w:val="32"/>
        </w:rPr>
        <w:t>年初预算项目估计不全面，不能准确预估到全年可能开展的全部工作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情况</w:t>
      </w:r>
      <w:r>
        <w:rPr>
          <w:rFonts w:hint="eastAsia" w:ascii="仿宋_GB2312" w:eastAsia="仿宋_GB2312"/>
          <w:bCs/>
          <w:sz w:val="32"/>
          <w:szCs w:val="32"/>
        </w:rPr>
        <w:t>，导致部分预算项目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经费执行率不高</w:t>
      </w:r>
      <w:r>
        <w:rPr>
          <w:rFonts w:hint="eastAsia" w:ascii="仿宋_GB2312" w:eastAsia="仿宋_GB2312"/>
          <w:bCs/>
          <w:sz w:val="32"/>
          <w:szCs w:val="32"/>
        </w:rPr>
        <w:t>。</w:t>
      </w:r>
      <w:r>
        <w:rPr>
          <w:rFonts w:hint="eastAsia" w:ascii="仿宋_GB2312" w:eastAsia="仿宋_GB2312"/>
          <w:bCs/>
          <w:sz w:val="32"/>
          <w:szCs w:val="32"/>
        </w:rPr>
        <w:br w:type="textWrapping"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</w:rPr>
        <w:t>我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中心</w:t>
      </w:r>
      <w:r>
        <w:rPr>
          <w:rFonts w:hint="eastAsia" w:ascii="仿宋_GB2312" w:eastAsia="仿宋_GB2312"/>
          <w:bCs/>
          <w:sz w:val="32"/>
          <w:szCs w:val="32"/>
        </w:rPr>
        <w:t>将深入开展预算绩效管理工作，在传统预算管理中引入预算绩效管理，从资金投入管理转向项目预算编制、执行和监管全过程绩效管理。认真学习预算绩效管理制度，力求将预算绩效管理工作变成一项指令性、 经常性、制度性的工作。</w:t>
      </w:r>
      <w:r>
        <w:rPr>
          <w:rFonts w:hint="eastAsia" w:ascii="仿宋_GB2312" w:eastAsia="仿宋_GB2312"/>
          <w:bCs/>
          <w:sz w:val="32"/>
          <w:szCs w:val="32"/>
        </w:rPr>
        <w:br w:type="textWrapping"/>
      </w:r>
      <w:r>
        <w:rPr>
          <w:rFonts w:hint="eastAsia" w:ascii="仿宋_GB2312" w:eastAsia="仿宋_GB2312"/>
          <w:bCs/>
          <w:sz w:val="32"/>
          <w:szCs w:val="32"/>
        </w:rPr>
        <w:br w:type="textWrapping"/>
      </w:r>
    </w:p>
    <w:sectPr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20A0F6"/>
    <w:multiLevelType w:val="singleLevel"/>
    <w:tmpl w:val="8820A0F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1D"/>
    <w:rsid w:val="00006FB1"/>
    <w:rsid w:val="0001271B"/>
    <w:rsid w:val="00023A4C"/>
    <w:rsid w:val="00042219"/>
    <w:rsid w:val="00047C7A"/>
    <w:rsid w:val="00053834"/>
    <w:rsid w:val="000551A4"/>
    <w:rsid w:val="000624D8"/>
    <w:rsid w:val="0007330D"/>
    <w:rsid w:val="00075914"/>
    <w:rsid w:val="0008570C"/>
    <w:rsid w:val="00091B93"/>
    <w:rsid w:val="00093301"/>
    <w:rsid w:val="00096685"/>
    <w:rsid w:val="000A60FC"/>
    <w:rsid w:val="000C594E"/>
    <w:rsid w:val="000D2E8F"/>
    <w:rsid w:val="000D6437"/>
    <w:rsid w:val="000F1499"/>
    <w:rsid w:val="000F5707"/>
    <w:rsid w:val="0010264D"/>
    <w:rsid w:val="00106A76"/>
    <w:rsid w:val="00124171"/>
    <w:rsid w:val="00125BD3"/>
    <w:rsid w:val="00125C07"/>
    <w:rsid w:val="00134826"/>
    <w:rsid w:val="0014404E"/>
    <w:rsid w:val="001525DD"/>
    <w:rsid w:val="00161474"/>
    <w:rsid w:val="00165A74"/>
    <w:rsid w:val="00191ADC"/>
    <w:rsid w:val="00192FC6"/>
    <w:rsid w:val="001957F9"/>
    <w:rsid w:val="001B4AD6"/>
    <w:rsid w:val="001C0A7C"/>
    <w:rsid w:val="001D0CAA"/>
    <w:rsid w:val="001D4937"/>
    <w:rsid w:val="001E1AED"/>
    <w:rsid w:val="001E31D9"/>
    <w:rsid w:val="00202E0A"/>
    <w:rsid w:val="00207EE3"/>
    <w:rsid w:val="002132E9"/>
    <w:rsid w:val="00213635"/>
    <w:rsid w:val="00226F1D"/>
    <w:rsid w:val="00242727"/>
    <w:rsid w:val="00246006"/>
    <w:rsid w:val="00246AA4"/>
    <w:rsid w:val="00252849"/>
    <w:rsid w:val="002605A5"/>
    <w:rsid w:val="0026529F"/>
    <w:rsid w:val="0027005A"/>
    <w:rsid w:val="0027012D"/>
    <w:rsid w:val="002773F0"/>
    <w:rsid w:val="00280A93"/>
    <w:rsid w:val="00286440"/>
    <w:rsid w:val="002959B6"/>
    <w:rsid w:val="00296AD9"/>
    <w:rsid w:val="002B41F1"/>
    <w:rsid w:val="002C4122"/>
    <w:rsid w:val="002D1FF8"/>
    <w:rsid w:val="002D2A88"/>
    <w:rsid w:val="002E46A9"/>
    <w:rsid w:val="0030024E"/>
    <w:rsid w:val="003019D9"/>
    <w:rsid w:val="00341606"/>
    <w:rsid w:val="00346387"/>
    <w:rsid w:val="0034700C"/>
    <w:rsid w:val="00357A28"/>
    <w:rsid w:val="00367516"/>
    <w:rsid w:val="00375FC9"/>
    <w:rsid w:val="00383298"/>
    <w:rsid w:val="003872D5"/>
    <w:rsid w:val="0039559F"/>
    <w:rsid w:val="003B11A5"/>
    <w:rsid w:val="003B33C4"/>
    <w:rsid w:val="003B36C2"/>
    <w:rsid w:val="003D14F0"/>
    <w:rsid w:val="003D7234"/>
    <w:rsid w:val="003D7504"/>
    <w:rsid w:val="003E4EB6"/>
    <w:rsid w:val="003F6450"/>
    <w:rsid w:val="004130B1"/>
    <w:rsid w:val="00430B72"/>
    <w:rsid w:val="00437D88"/>
    <w:rsid w:val="004417DC"/>
    <w:rsid w:val="00445520"/>
    <w:rsid w:val="00445607"/>
    <w:rsid w:val="00462595"/>
    <w:rsid w:val="004756B4"/>
    <w:rsid w:val="0049017F"/>
    <w:rsid w:val="00492FB3"/>
    <w:rsid w:val="00496C6A"/>
    <w:rsid w:val="004B1650"/>
    <w:rsid w:val="004C42ED"/>
    <w:rsid w:val="004C60BD"/>
    <w:rsid w:val="004D1E02"/>
    <w:rsid w:val="004E592A"/>
    <w:rsid w:val="004E6E1A"/>
    <w:rsid w:val="004F1853"/>
    <w:rsid w:val="004F7D1D"/>
    <w:rsid w:val="00500B1D"/>
    <w:rsid w:val="00506DF4"/>
    <w:rsid w:val="00507823"/>
    <w:rsid w:val="005174B9"/>
    <w:rsid w:val="00522313"/>
    <w:rsid w:val="00536713"/>
    <w:rsid w:val="00543257"/>
    <w:rsid w:val="00572736"/>
    <w:rsid w:val="0058350C"/>
    <w:rsid w:val="00595C24"/>
    <w:rsid w:val="005A1227"/>
    <w:rsid w:val="005A4606"/>
    <w:rsid w:val="005A4AD7"/>
    <w:rsid w:val="005B0F11"/>
    <w:rsid w:val="005E18A6"/>
    <w:rsid w:val="005F1960"/>
    <w:rsid w:val="0060360C"/>
    <w:rsid w:val="006115F1"/>
    <w:rsid w:val="00620BCE"/>
    <w:rsid w:val="0066585E"/>
    <w:rsid w:val="006809FA"/>
    <w:rsid w:val="006C01C3"/>
    <w:rsid w:val="006D0C33"/>
    <w:rsid w:val="006D1609"/>
    <w:rsid w:val="006E0BEC"/>
    <w:rsid w:val="006E455F"/>
    <w:rsid w:val="006F7539"/>
    <w:rsid w:val="00714828"/>
    <w:rsid w:val="007158F8"/>
    <w:rsid w:val="0071734A"/>
    <w:rsid w:val="007252E3"/>
    <w:rsid w:val="00742C4D"/>
    <w:rsid w:val="007620B8"/>
    <w:rsid w:val="00762CF8"/>
    <w:rsid w:val="00765DF5"/>
    <w:rsid w:val="007713EB"/>
    <w:rsid w:val="00791CE4"/>
    <w:rsid w:val="007B10D4"/>
    <w:rsid w:val="007B22D6"/>
    <w:rsid w:val="007B5ACF"/>
    <w:rsid w:val="007B6182"/>
    <w:rsid w:val="007C4C9B"/>
    <w:rsid w:val="007D2AEA"/>
    <w:rsid w:val="007E0B4D"/>
    <w:rsid w:val="007E6A39"/>
    <w:rsid w:val="007F68E5"/>
    <w:rsid w:val="00801BFF"/>
    <w:rsid w:val="00803270"/>
    <w:rsid w:val="00805D05"/>
    <w:rsid w:val="00813B4F"/>
    <w:rsid w:val="00830BF3"/>
    <w:rsid w:val="00833B65"/>
    <w:rsid w:val="00837D8A"/>
    <w:rsid w:val="00841884"/>
    <w:rsid w:val="008474D5"/>
    <w:rsid w:val="008560C6"/>
    <w:rsid w:val="00876439"/>
    <w:rsid w:val="00880920"/>
    <w:rsid w:val="00893BF5"/>
    <w:rsid w:val="008A13B7"/>
    <w:rsid w:val="008A622D"/>
    <w:rsid w:val="008D2570"/>
    <w:rsid w:val="008E3C27"/>
    <w:rsid w:val="008E5A19"/>
    <w:rsid w:val="008E7590"/>
    <w:rsid w:val="008F1CA6"/>
    <w:rsid w:val="008F731A"/>
    <w:rsid w:val="00905727"/>
    <w:rsid w:val="00906178"/>
    <w:rsid w:val="00914195"/>
    <w:rsid w:val="00926FE2"/>
    <w:rsid w:val="00933A24"/>
    <w:rsid w:val="009342F0"/>
    <w:rsid w:val="00936EDC"/>
    <w:rsid w:val="00940465"/>
    <w:rsid w:val="00942ED0"/>
    <w:rsid w:val="00945CE2"/>
    <w:rsid w:val="0094655E"/>
    <w:rsid w:val="00946D33"/>
    <w:rsid w:val="009561D9"/>
    <w:rsid w:val="009653AE"/>
    <w:rsid w:val="00972AB0"/>
    <w:rsid w:val="00983001"/>
    <w:rsid w:val="0098712E"/>
    <w:rsid w:val="009B77D4"/>
    <w:rsid w:val="009E6734"/>
    <w:rsid w:val="009F01A9"/>
    <w:rsid w:val="009F38CC"/>
    <w:rsid w:val="00A05F72"/>
    <w:rsid w:val="00A07288"/>
    <w:rsid w:val="00A174AB"/>
    <w:rsid w:val="00A21DCD"/>
    <w:rsid w:val="00A33F5E"/>
    <w:rsid w:val="00A35F07"/>
    <w:rsid w:val="00A3721F"/>
    <w:rsid w:val="00A45A23"/>
    <w:rsid w:val="00A52D34"/>
    <w:rsid w:val="00A712EA"/>
    <w:rsid w:val="00A8020D"/>
    <w:rsid w:val="00A802E9"/>
    <w:rsid w:val="00A80B6C"/>
    <w:rsid w:val="00AA324B"/>
    <w:rsid w:val="00AB25DF"/>
    <w:rsid w:val="00AB4C26"/>
    <w:rsid w:val="00AC6F85"/>
    <w:rsid w:val="00AE0A20"/>
    <w:rsid w:val="00AE4156"/>
    <w:rsid w:val="00B1352B"/>
    <w:rsid w:val="00B24FA7"/>
    <w:rsid w:val="00B257E3"/>
    <w:rsid w:val="00B54CE7"/>
    <w:rsid w:val="00B558CC"/>
    <w:rsid w:val="00B56688"/>
    <w:rsid w:val="00B65450"/>
    <w:rsid w:val="00B72347"/>
    <w:rsid w:val="00B86388"/>
    <w:rsid w:val="00BA42BA"/>
    <w:rsid w:val="00BB3B39"/>
    <w:rsid w:val="00BC2C3D"/>
    <w:rsid w:val="00BD0BB9"/>
    <w:rsid w:val="00BD5FA5"/>
    <w:rsid w:val="00BE573E"/>
    <w:rsid w:val="00BF67E7"/>
    <w:rsid w:val="00C2696C"/>
    <w:rsid w:val="00C427D3"/>
    <w:rsid w:val="00C47446"/>
    <w:rsid w:val="00C5758E"/>
    <w:rsid w:val="00C601F9"/>
    <w:rsid w:val="00C7602D"/>
    <w:rsid w:val="00C827DC"/>
    <w:rsid w:val="00C95346"/>
    <w:rsid w:val="00CA32E1"/>
    <w:rsid w:val="00CA4340"/>
    <w:rsid w:val="00CB0296"/>
    <w:rsid w:val="00CC4A96"/>
    <w:rsid w:val="00CD1C4A"/>
    <w:rsid w:val="00CE1014"/>
    <w:rsid w:val="00CF42ED"/>
    <w:rsid w:val="00D0143D"/>
    <w:rsid w:val="00D10AB7"/>
    <w:rsid w:val="00D11404"/>
    <w:rsid w:val="00D160DD"/>
    <w:rsid w:val="00D21CDE"/>
    <w:rsid w:val="00D40ADE"/>
    <w:rsid w:val="00D411DD"/>
    <w:rsid w:val="00D46486"/>
    <w:rsid w:val="00D64C2C"/>
    <w:rsid w:val="00D66063"/>
    <w:rsid w:val="00D77D37"/>
    <w:rsid w:val="00D80BC2"/>
    <w:rsid w:val="00D8620E"/>
    <w:rsid w:val="00DA7788"/>
    <w:rsid w:val="00DA7FE6"/>
    <w:rsid w:val="00DB0EC5"/>
    <w:rsid w:val="00DB1931"/>
    <w:rsid w:val="00DB4539"/>
    <w:rsid w:val="00DE3685"/>
    <w:rsid w:val="00DE5805"/>
    <w:rsid w:val="00DE6056"/>
    <w:rsid w:val="00E00D68"/>
    <w:rsid w:val="00E01CEB"/>
    <w:rsid w:val="00E11FB2"/>
    <w:rsid w:val="00E275D0"/>
    <w:rsid w:val="00E40ED1"/>
    <w:rsid w:val="00E4747D"/>
    <w:rsid w:val="00E712B9"/>
    <w:rsid w:val="00E74C2B"/>
    <w:rsid w:val="00E93C2C"/>
    <w:rsid w:val="00E96899"/>
    <w:rsid w:val="00EC09E7"/>
    <w:rsid w:val="00EE21B6"/>
    <w:rsid w:val="00EF1B14"/>
    <w:rsid w:val="00EF782E"/>
    <w:rsid w:val="00EF7D6B"/>
    <w:rsid w:val="00F11A07"/>
    <w:rsid w:val="00F258CE"/>
    <w:rsid w:val="00F605C0"/>
    <w:rsid w:val="00F66710"/>
    <w:rsid w:val="00F84112"/>
    <w:rsid w:val="00F84AC6"/>
    <w:rsid w:val="00F86A3C"/>
    <w:rsid w:val="00F90464"/>
    <w:rsid w:val="00F9492F"/>
    <w:rsid w:val="00FB1FEF"/>
    <w:rsid w:val="00FC2169"/>
    <w:rsid w:val="00FC2267"/>
    <w:rsid w:val="00FE12C3"/>
    <w:rsid w:val="00FE28C5"/>
    <w:rsid w:val="02EC6ECD"/>
    <w:rsid w:val="05785025"/>
    <w:rsid w:val="084F4F9C"/>
    <w:rsid w:val="0A447526"/>
    <w:rsid w:val="0AF30AAF"/>
    <w:rsid w:val="0D9D64BF"/>
    <w:rsid w:val="101B0A18"/>
    <w:rsid w:val="159C73F1"/>
    <w:rsid w:val="18CC21E2"/>
    <w:rsid w:val="19D75DEA"/>
    <w:rsid w:val="20FB7185"/>
    <w:rsid w:val="22E87DBF"/>
    <w:rsid w:val="33823E22"/>
    <w:rsid w:val="38C76AD3"/>
    <w:rsid w:val="38D245F7"/>
    <w:rsid w:val="3B731C4A"/>
    <w:rsid w:val="3BC5739B"/>
    <w:rsid w:val="41FE2084"/>
    <w:rsid w:val="453728B4"/>
    <w:rsid w:val="48310C7F"/>
    <w:rsid w:val="4B1976A8"/>
    <w:rsid w:val="51FB099D"/>
    <w:rsid w:val="52FA36B8"/>
    <w:rsid w:val="57B10F53"/>
    <w:rsid w:val="57E90622"/>
    <w:rsid w:val="5D69236D"/>
    <w:rsid w:val="5DA42655"/>
    <w:rsid w:val="69317E0F"/>
    <w:rsid w:val="6D7A6F7D"/>
    <w:rsid w:val="6FEF63F1"/>
    <w:rsid w:val="70722C7F"/>
    <w:rsid w:val="79B96163"/>
    <w:rsid w:val="7B6A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uiPriority w:val="0"/>
    <w:pPr>
      <w:spacing w:after="120"/>
    </w:pPr>
    <w:rPr>
      <w:rFonts w:ascii="Times New Roman" w:hAnsi="Times New Roman" w:eastAsia="方正仿宋_GBK"/>
      <w:sz w:val="33"/>
      <w:szCs w:val="33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unhideWhenUsed/>
    <w:qFormat/>
    <w:uiPriority w:val="99"/>
  </w:style>
  <w:style w:type="character" w:customStyle="1" w:styleId="10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4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普通(网站) Cha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正文文本 Char"/>
    <w:basedOn w:val="8"/>
    <w:link w:val="2"/>
    <w:qFormat/>
    <w:uiPriority w:val="0"/>
    <w:rPr>
      <w:rFonts w:ascii="Times New Roman" w:hAnsi="Times New Roman" w:eastAsia="方正仿宋_GBK"/>
      <w:kern w:val="2"/>
      <w:sz w:val="33"/>
      <w:szCs w:val="33"/>
    </w:rPr>
  </w:style>
  <w:style w:type="paragraph" w:styleId="16">
    <w:name w:val="No Spacing"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2085</Words>
  <Characters>2179</Characters>
  <Lines>13</Lines>
  <Paragraphs>3</Paragraphs>
  <TotalTime>3</TotalTime>
  <ScaleCrop>false</ScaleCrop>
  <LinksUpToDate>false</LinksUpToDate>
  <CharactersWithSpaces>2215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2022-02-14T03:28:00Z</dcterms:created>
  <dc:creator>Administrator</dc:creator>
  <cp:lastModifiedBy>Administrator</cp:lastModifiedBy>
  <cp:lastPrinted>2022-02-14T03:50:00Z</cp:lastPrinted>
  <dcterms:modified xsi:type="dcterms:W3CDTF">2022-04-02T07:37:35Z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442608EA53E24B1E9C5B98E0BFCAAD8C</vt:lpwstr>
  </property>
</Properties>
</file>