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eastAsia="方正小标宋_GBK"/>
          <w:sz w:val="44"/>
          <w:szCs w:val="32"/>
          <w:lang w:eastAsia="zh-CN"/>
        </w:rPr>
      </w:pPr>
      <w:r>
        <w:rPr>
          <w:rFonts w:hint="eastAsia" w:eastAsia="方正小标宋_GBK"/>
          <w:sz w:val="44"/>
          <w:szCs w:val="32"/>
          <w:lang w:eastAsia="zh-CN"/>
        </w:rPr>
        <w:t>重庆市</w:t>
      </w: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第二人民医院</w:t>
      </w:r>
    </w:p>
    <w:p>
      <w:pPr>
        <w:pStyle w:val="6"/>
        <w:spacing w:line="596" w:lineRule="exact"/>
        <w:ind w:firstLine="1320" w:firstLineChars="300"/>
        <w:jc w:val="both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spacing w:line="596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pStyle w:val="6"/>
        <w:spacing w:line="596" w:lineRule="exact"/>
        <w:ind w:left="0" w:leftChars="0" w:firstLine="0" w:firstLineChars="0"/>
        <w:jc w:val="both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单位基本情况</w:t>
      </w:r>
    </w:p>
    <w:p>
      <w:pPr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>医院设有内科、外科、儿科、妇产科、精神科等8个住院病区，放射科、检验科、B超等5个医技科室，党办、行政办、医务科等8个职能科室，总务科、收费室、供应室等4个医辅科室。核定床位245张，实际开放床位660张；核定人员编制117人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职能职责</w:t>
      </w:r>
    </w:p>
    <w:p>
      <w:pPr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1、公共卫生服务： 负责指导全区精神病人的管理、预治、宣传工作。</w:t>
      </w:r>
    </w:p>
    <w:p>
      <w:pPr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2、基本医疗服务：开展一般常见病、多发病和中医的基本医疗服务;现场救护和转诊服务:慢性病管理;计划生育技术服务。</w:t>
      </w:r>
    </w:p>
    <w:p>
      <w:pPr>
        <w:numPr>
          <w:ilvl w:val="0"/>
          <w:numId w:val="1"/>
        </w:numPr>
        <w:spacing w:line="596" w:lineRule="exact"/>
        <w:ind w:left="0" w:leftChars="0" w:firstLine="0" w:firstLineChars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、年初预算收入情况：2021年年初预算数10517.72万元，其中：一般公共预算拨款113.92万元，事业收入预算万10403.80元。2021年实际调整后总预算资金数12833.28万元，其中：一般公共预算拨款4666.10万元，事业收入8115.99万元，其他收入51.19万元。</w:t>
      </w:r>
    </w:p>
    <w:p>
      <w:pPr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2、支出预算情况：年初预算数为10517.72万元，其中基本支出为10485.72万元，项目支出预算数为32.00万元，实际调整后2021年支出预算为13238.27万元，项目支出执行数为4549.18万元。</w:t>
      </w:r>
    </w:p>
    <w:p>
      <w:pPr>
        <w:spacing w:line="596" w:lineRule="exact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通过对2021年度整体支出情况和实际效果、预期绩效总目标、绩效目标完成情况、分析项目的效率性等情况进行分析，发现整体支出中存在的问题，提出解决问题的意见和建议，及时总结经验，规范管理，提高组织化程度，总结资金使用过程中的经验和不足，提高资金的安全性、规范性和效益性，进一步完善资金的管理办法，保证资金安全和发挥效益、工作的健康开展。</w:t>
      </w:r>
    </w:p>
    <w:p>
      <w:pPr>
        <w:numPr>
          <w:ilvl w:val="0"/>
          <w:numId w:val="2"/>
        </w:numPr>
        <w:spacing w:line="596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绩效评价原则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Cs/>
          <w:sz w:val="30"/>
          <w:szCs w:val="30"/>
        </w:rPr>
      </w:pPr>
      <w:r>
        <w:rPr>
          <w:rFonts w:hint="eastAsia" w:ascii="方正仿宋_GBK" w:eastAsia="方正仿宋_GBK"/>
          <w:bCs/>
          <w:sz w:val="30"/>
          <w:szCs w:val="30"/>
        </w:rPr>
        <w:t>科学规范原则：主要从宏观效益与微观效益，近期与远期、直接与间接等角度考察分析专项资金的运行过程和执行结果，注重资金投向的合理性评价和对资金拨付的及时性、准确性、安全性的评判，全面衡量资金支出的管理水平和使用效益。对项目的所有资料数据等情况必须真实、可靠，经得起任何检验，对绩效评价反应资金的执行情况等过程能准确全面地明确指标体系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Cs/>
          <w:sz w:val="30"/>
          <w:szCs w:val="30"/>
        </w:rPr>
      </w:pPr>
      <w:r>
        <w:rPr>
          <w:rFonts w:hint="eastAsia" w:ascii="方正仿宋_GBK" w:eastAsia="方正仿宋_GBK"/>
          <w:bCs/>
          <w:sz w:val="30"/>
          <w:szCs w:val="30"/>
        </w:rPr>
        <w:t>公开公正原则：公平性，通过财政补助产生的不同受益对象的分配达到公平状态，能够较好满足众多受益对象的需求。对统一岗位职工方面使用相同的考评标准。真实性，保障财政资金支出效益公正，客观评价的基础。项目支出后绩效资料数据等必须真实，如资料等虚假那绩效评价出来的效益结果就不正确，所以必须进行相关核查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Cs/>
          <w:sz w:val="30"/>
          <w:szCs w:val="30"/>
        </w:rPr>
      </w:pPr>
      <w:r>
        <w:rPr>
          <w:rFonts w:hint="eastAsia" w:ascii="方正仿宋_GBK" w:eastAsia="方正仿宋_GBK"/>
          <w:bCs/>
          <w:sz w:val="30"/>
          <w:szCs w:val="30"/>
        </w:rPr>
        <w:t>分级分类原则：要求根据评价对象特点分类组织实施。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Cs/>
          <w:sz w:val="30"/>
          <w:szCs w:val="30"/>
          <w:lang w:eastAsia="zh-CN"/>
        </w:rPr>
      </w:pPr>
      <w:r>
        <w:rPr>
          <w:rFonts w:hint="eastAsia" w:ascii="方正仿宋_GBK" w:eastAsia="方正仿宋_GBK"/>
          <w:bCs/>
          <w:sz w:val="30"/>
          <w:szCs w:val="30"/>
        </w:rPr>
        <w:t>绩效相关原则：要求支出与其产出之间有紧密相关关系，然后评价结果应客观公正，并接受社会公开监督</w:t>
      </w:r>
      <w:r>
        <w:rPr>
          <w:rFonts w:hint="eastAsia" w:ascii="方正仿宋_GBK" w:eastAsia="方正仿宋_GBK"/>
          <w:bCs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spacing w:line="596" w:lineRule="exact"/>
        <w:ind w:left="0" w:leftChars="0" w:firstLine="0" w:firstLineChars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绩效评价工作过程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2022年3月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  <w:szCs w:val="30"/>
        </w:rPr>
        <w:t>日，成立璧山区</w:t>
      </w:r>
      <w:r>
        <w:rPr>
          <w:rFonts w:hint="eastAsia" w:ascii="方正仿宋_GBK" w:eastAsia="方正仿宋_GBK"/>
          <w:sz w:val="30"/>
          <w:szCs w:val="30"/>
          <w:lang w:eastAsia="zh-CN"/>
        </w:rPr>
        <w:t>第二人民医院</w:t>
      </w:r>
      <w:r>
        <w:rPr>
          <w:rFonts w:hint="eastAsia" w:ascii="方正仿宋_GBK" w:eastAsia="方正仿宋_GBK"/>
          <w:sz w:val="30"/>
          <w:szCs w:val="30"/>
        </w:rPr>
        <w:t>支出项目绩效评价工作组，负责绩效自评工作，工作组的主要成员及职责如下：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1.工作组成员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>组  长：</w:t>
      </w:r>
      <w:r>
        <w:rPr>
          <w:rFonts w:hint="eastAsia" w:ascii="方正仿宋_GBK" w:eastAsia="方正仿宋_GBK"/>
          <w:sz w:val="30"/>
          <w:szCs w:val="30"/>
          <w:lang w:eastAsia="zh-CN"/>
        </w:rPr>
        <w:t>吴国松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>副组长：</w:t>
      </w:r>
      <w:r>
        <w:rPr>
          <w:rFonts w:hint="eastAsia" w:ascii="方正仿宋_GBK" w:eastAsia="方正仿宋_GBK"/>
          <w:sz w:val="30"/>
          <w:szCs w:val="30"/>
          <w:lang w:eastAsia="zh-CN"/>
        </w:rPr>
        <w:t>李新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>成  员：</w:t>
      </w:r>
      <w:r>
        <w:rPr>
          <w:rFonts w:hint="eastAsia" w:ascii="方正仿宋_GBK" w:eastAsia="方正仿宋_GBK"/>
          <w:sz w:val="30"/>
          <w:szCs w:val="30"/>
          <w:lang w:eastAsia="zh-CN"/>
        </w:rPr>
        <w:t>各科室主任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办公室设在财务科。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2.工作职责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（</w:t>
      </w:r>
      <w:r>
        <w:rPr>
          <w:rFonts w:hint="eastAsia" w:ascii="方正仿宋_GBK" w:hAnsi="宋体" w:eastAsia="方正仿宋_GBK" w:cs="宋体"/>
          <w:sz w:val="30"/>
          <w:szCs w:val="30"/>
          <w:lang w:val="en-US" w:eastAsia="zh-CN"/>
        </w:rPr>
        <w:t>1</w:t>
      </w: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）</w:t>
      </w:r>
      <w:r>
        <w:rPr>
          <w:rFonts w:hint="eastAsia" w:ascii="方正仿宋_GBK" w:eastAsia="方正仿宋_GBK"/>
          <w:sz w:val="30"/>
          <w:szCs w:val="30"/>
        </w:rPr>
        <w:t xml:space="preserve"> 组长职责：审批绩效自评方案，监督、检查核实绩效自评结果；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（</w:t>
      </w:r>
      <w:r>
        <w:rPr>
          <w:rFonts w:hint="eastAsia" w:ascii="方正仿宋_GBK" w:hAnsi="宋体" w:eastAsia="方正仿宋_GBK" w:cs="宋体"/>
          <w:sz w:val="30"/>
          <w:szCs w:val="30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）</w:t>
      </w:r>
      <w:r>
        <w:rPr>
          <w:rFonts w:hint="eastAsia" w:ascii="方正仿宋_GBK" w:eastAsia="方正仿宋_GBK"/>
          <w:sz w:val="30"/>
          <w:szCs w:val="30"/>
        </w:rPr>
        <w:t>副组长职责：审核修改拟定的绩效自评方案，并提交考评工作组会议讨论通过；监督、部署、确认绩效自评过程及反馈意见的处理。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（</w:t>
      </w:r>
      <w:r>
        <w:rPr>
          <w:rFonts w:hint="eastAsia" w:ascii="方正仿宋_GBK" w:hAnsi="宋体" w:eastAsia="方正仿宋_GBK" w:cs="宋体"/>
          <w:sz w:val="30"/>
          <w:szCs w:val="30"/>
          <w:lang w:val="en-US" w:eastAsia="zh-CN"/>
        </w:rPr>
        <w:t>3</w:t>
      </w: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）</w:t>
      </w:r>
      <w:r>
        <w:rPr>
          <w:rFonts w:hint="eastAsia" w:ascii="方正仿宋_GBK" w:eastAsia="方正仿宋_GBK"/>
          <w:sz w:val="30"/>
          <w:szCs w:val="30"/>
        </w:rPr>
        <w:t>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2022年3月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  <w:szCs w:val="30"/>
        </w:rPr>
        <w:t>日，考评工作分项目开展自评检查工作，对项目整体实施情况和质量进行评定，核实资金拨付情况和工作完成情况等。</w:t>
      </w:r>
    </w:p>
    <w:p>
      <w:pPr>
        <w:numPr>
          <w:ilvl w:val="0"/>
          <w:numId w:val="3"/>
        </w:numPr>
        <w:spacing w:line="596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 w:val="0"/>
          <w:bCs/>
          <w:sz w:val="30"/>
          <w:szCs w:val="30"/>
        </w:rPr>
      </w:pPr>
      <w:r>
        <w:rPr>
          <w:rFonts w:hint="eastAsia" w:ascii="方正仿宋_GBK" w:eastAsia="方正仿宋_GBK"/>
          <w:b w:val="0"/>
          <w:bCs/>
          <w:sz w:val="30"/>
          <w:szCs w:val="30"/>
        </w:rPr>
        <w:t>（一）投入评价情况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所设立的整体绩效目标依据符合国家法律法规、国民经济和社会发展总体规划；符合部门制定的中长期实施规划。我单位将部门整体的绩效目标细化分解为具体的工作任务；通过清晰、可衡量的指标值予以体现；与部门年度的任务数或计划数相对应；与本年度部门预算资金相匹配。</w:t>
      </w:r>
    </w:p>
    <w:p>
      <w:pPr>
        <w:spacing w:line="596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（二）过程评价情况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2021年预算项目资金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4549.18</w:t>
      </w:r>
      <w:r>
        <w:rPr>
          <w:rFonts w:hint="eastAsia" w:ascii="方正仿宋_GBK" w:eastAsia="方正仿宋_GBK"/>
          <w:sz w:val="30"/>
          <w:szCs w:val="30"/>
        </w:rPr>
        <w:t>万元，分别</w:t>
      </w:r>
      <w:r>
        <w:rPr>
          <w:rFonts w:hint="eastAsia" w:ascii="方正仿宋_GBK" w:eastAsia="方正仿宋_GBK"/>
          <w:sz w:val="30"/>
          <w:szCs w:val="30"/>
          <w:lang w:eastAsia="zh-CN"/>
        </w:rPr>
        <w:t>用于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  <w:szCs w:val="30"/>
        </w:rPr>
        <w:t>个项目，投入资金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4549.18</w:t>
      </w:r>
      <w:r>
        <w:rPr>
          <w:rFonts w:hint="eastAsia" w:ascii="方正仿宋_GBK" w:eastAsia="方正仿宋_GBK"/>
          <w:sz w:val="30"/>
          <w:szCs w:val="30"/>
        </w:rPr>
        <w:t>万元，资金到位率100%。在项目实施过程中，我们采取项目比较分析、随机访谈、随机抽查、问卷调查等方式对项目实施监督，出现问题及时纠正，发现问题及时会同区财政协调解决，确保项目顺利开展。</w:t>
      </w:r>
    </w:p>
    <w:p>
      <w:pPr>
        <w:spacing w:line="596" w:lineRule="exact"/>
        <w:ind w:firstLine="600" w:firstLineChars="200"/>
        <w:rPr>
          <w:rFonts w:hint="eastAsia" w:ascii="方正仿宋_GBK" w:hAnsi="方正楷体_GBK" w:eastAsia="方正仿宋_GBK" w:cs="方正楷体_GBK"/>
          <w:b w:val="0"/>
          <w:bCs/>
          <w:sz w:val="30"/>
          <w:szCs w:val="30"/>
        </w:rPr>
      </w:pPr>
      <w:r>
        <w:rPr>
          <w:rFonts w:hint="eastAsia" w:ascii="方正仿宋_GBK" w:hAnsi="方正楷体_GBK" w:eastAsia="方正仿宋_GBK" w:cs="方正楷体_GBK"/>
          <w:b w:val="0"/>
          <w:bCs/>
          <w:sz w:val="30"/>
          <w:szCs w:val="30"/>
        </w:rPr>
        <w:t>（</w:t>
      </w:r>
      <w:r>
        <w:rPr>
          <w:rFonts w:hint="eastAsia" w:ascii="方正仿宋_GBK" w:hAnsi="方正楷体_GBK" w:eastAsia="方正仿宋_GBK" w:cs="方正楷体_GBK"/>
          <w:b w:val="0"/>
          <w:bCs/>
          <w:sz w:val="30"/>
          <w:szCs w:val="30"/>
          <w:lang w:eastAsia="zh-CN"/>
        </w:rPr>
        <w:t>三</w:t>
      </w:r>
      <w:r>
        <w:rPr>
          <w:rFonts w:hint="eastAsia" w:ascii="方正仿宋_GBK" w:hAnsi="方正楷体_GBK" w:eastAsia="方正仿宋_GBK" w:cs="方正楷体_GBK"/>
          <w:b w:val="0"/>
          <w:bCs/>
          <w:sz w:val="30"/>
          <w:szCs w:val="30"/>
        </w:rPr>
        <w:t>）评价结果</w:t>
      </w:r>
    </w:p>
    <w:p>
      <w:pPr>
        <w:spacing w:line="596" w:lineRule="exact"/>
        <w:ind w:firstLine="600" w:firstLineChars="200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通过2021年度各项工作任务的开展，不断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完善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医院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医疗管理体制、提升了医疗服务能力，加大了服务力度，全面保证了辖区人民群众的身体健康。一年来，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医院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进一步强化领导干部和职工队伍的建设，强化医德医风、服务理念的转变，从业人员的医疗安全意识、法律意识、责任意识明显提高。与同时不断强化各项规章制度的建立健全，强化医疗质量、医疗安全的保障，有力的推动了卫生计生各项工作的深入开展，各项监管制度措施也得到了认真落实，信用体系建设、效能建设、廉政建设、政风行风建设、文明创建和创先争优活动取得了新的成效。促进了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医院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经济社会的全面、健康、可持续发展。</w:t>
      </w:r>
    </w:p>
    <w:p>
      <w:pPr>
        <w:numPr>
          <w:ilvl w:val="0"/>
          <w:numId w:val="3"/>
        </w:numPr>
        <w:spacing w:line="596" w:lineRule="exact"/>
        <w:ind w:left="0" w:leftChars="0"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>
      <w:pPr>
        <w:spacing w:line="596" w:lineRule="exact"/>
        <w:ind w:firstLine="600" w:firstLineChars="200"/>
        <w:rPr>
          <w:rFonts w:eastAsia="方正黑体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资金是开展业务及其它活动的重要保障。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医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院历来都非常重视，把资金管理例入重要议事日程，由分管财务副院长主抓，指定专人负责,以确保资金运行的安全和完整。按照相关部门的要求定期检查、清查单位的资金运行情况，及时发现和堵塞管理中的漏洞，妥善处理和解决管理中出现的各种问题，制定出相应的改进措施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。</w:t>
      </w:r>
    </w:p>
    <w:p>
      <w:pPr>
        <w:spacing w:line="596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1.预算细化程度不够，造成了预算数与执行数的差异；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项目资金预算不足；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预算执行完成后的绩效管理还有待完善和加强。</w:t>
      </w:r>
    </w:p>
    <w:p>
      <w:pPr>
        <w:numPr>
          <w:ilvl w:val="0"/>
          <w:numId w:val="0"/>
        </w:numPr>
        <w:spacing w:line="596" w:lineRule="exact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spacing w:line="596" w:lineRule="exact"/>
        <w:ind w:leftChars="0"/>
        <w:rPr>
          <w:rFonts w:eastAsia="方正仿宋_GBK"/>
          <w:sz w:val="32"/>
          <w:szCs w:val="32"/>
        </w:rPr>
      </w:pPr>
    </w:p>
    <w:p>
      <w:pPr>
        <w:numPr>
          <w:ilvl w:val="0"/>
          <w:numId w:val="0"/>
        </w:numPr>
        <w:spacing w:line="596" w:lineRule="exact"/>
        <w:ind w:leftChars="0"/>
        <w:rPr>
          <w:rFonts w:eastAsia="方正仿宋_GBK"/>
          <w:sz w:val="32"/>
          <w:szCs w:val="32"/>
        </w:rPr>
      </w:pPr>
    </w:p>
    <w:p>
      <w:pPr>
        <w:jc w:val="both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spacing w:line="596" w:lineRule="exact"/>
        <w:rPr>
          <w:rFonts w:eastAsia="方正仿宋_GBK"/>
          <w:sz w:val="32"/>
          <w:szCs w:val="32"/>
        </w:rPr>
      </w:pPr>
    </w:p>
    <w:p>
      <w:pPr>
        <w:numPr>
          <w:ilvl w:val="0"/>
          <w:numId w:val="0"/>
        </w:numPr>
        <w:spacing w:line="596" w:lineRule="exact"/>
        <w:ind w:leftChars="0"/>
        <w:rPr>
          <w:rFonts w:eastAsia="方正仿宋_GBK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1ECC5"/>
    <w:multiLevelType w:val="singleLevel"/>
    <w:tmpl w:val="8A11EC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50ED4BB"/>
    <w:multiLevelType w:val="singleLevel"/>
    <w:tmpl w:val="C50ED4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ACA0AC"/>
    <w:multiLevelType w:val="singleLevel"/>
    <w:tmpl w:val="72ACA0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OTU1Zjg2OWZmMjk5ODkwMjliZTA0MjE2ZDZiNzgifQ=="/>
  </w:docVars>
  <w:rsids>
    <w:rsidRoot w:val="6B8E16F8"/>
    <w:rsid w:val="17CB694C"/>
    <w:rsid w:val="24CA7B73"/>
    <w:rsid w:val="6B8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2086</Words>
  <Characters>2200</Characters>
  <Lines>0</Lines>
  <Paragraphs>0</Paragraphs>
  <TotalTime>1</TotalTime>
  <ScaleCrop>false</ScaleCrop>
  <LinksUpToDate>false</LinksUpToDate>
  <CharactersWithSpaces>2208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2022-03-31T02:31:00Z</dcterms:created>
  <dc:creator>A</dc:creator>
  <cp:lastModifiedBy>A</cp:lastModifiedBy>
  <dcterms:modified xsi:type="dcterms:W3CDTF">2022-10-12T08:45:38Z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D4CA03E643F54FD5A44D2BB1CF390D28</vt:lpwstr>
  </property>
</Properties>
</file>