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left"/>
        <w:rPr>
          <w:rFonts w:ascii="方正仿宋_GBK" w:eastAsia="方正仿宋_GBK"/>
          <w:sz w:val="32"/>
          <w:szCs w:val="32"/>
        </w:rPr>
      </w:pPr>
      <w:r>
        <w:rPr>
          <w:rFonts w:hint="eastAsia" w:ascii="方正仿宋_GBK" w:eastAsia="方正仿宋_GBK"/>
          <w:sz w:val="32"/>
          <w:szCs w:val="32"/>
        </w:rPr>
        <w:t>附件4</w:t>
      </w:r>
    </w:p>
    <w:p>
      <w:pPr>
        <w:spacing w:line="596" w:lineRule="exact"/>
        <w:jc w:val="center"/>
        <w:rPr>
          <w:rFonts w:eastAsia="方正小标宋_GBK"/>
          <w:sz w:val="44"/>
          <w:szCs w:val="32"/>
        </w:rPr>
      </w:pPr>
      <w:r>
        <w:rPr>
          <w:rFonts w:hint="eastAsia" w:eastAsia="方正小标宋_GBK"/>
          <w:sz w:val="44"/>
          <w:szCs w:val="32"/>
        </w:rPr>
        <w:t>璧山</w:t>
      </w:r>
      <w:r>
        <w:rPr>
          <w:rFonts w:eastAsia="方正小标宋_GBK"/>
          <w:sz w:val="44"/>
          <w:szCs w:val="32"/>
        </w:rPr>
        <w:t>区</w:t>
      </w:r>
      <w:r>
        <w:rPr>
          <w:rFonts w:hint="eastAsia" w:eastAsia="方正小标宋_GBK"/>
          <w:sz w:val="44"/>
          <w:szCs w:val="32"/>
          <w:lang w:eastAsia="zh-CN"/>
        </w:rPr>
        <w:t>经济和信息化委员会</w:t>
      </w:r>
    </w:p>
    <w:p>
      <w:pPr>
        <w:pStyle w:val="12"/>
        <w:spacing w:line="596" w:lineRule="exact"/>
        <w:ind w:left="359" w:leftChars="171" w:firstLine="1100" w:firstLineChars="250"/>
        <w:rPr>
          <w:rFonts w:eastAsia="方正小标宋_GBK"/>
          <w:sz w:val="44"/>
          <w:szCs w:val="32"/>
        </w:rPr>
      </w:pPr>
      <w:r>
        <w:rPr>
          <w:rFonts w:hint="eastAsia" w:eastAsia="方正小标宋_GBK"/>
          <w:sz w:val="44"/>
          <w:szCs w:val="32"/>
        </w:rPr>
        <w:t>2021</w:t>
      </w:r>
      <w:r>
        <w:rPr>
          <w:rFonts w:eastAsia="方正小标宋_GBK"/>
          <w:sz w:val="44"/>
          <w:szCs w:val="32"/>
        </w:rPr>
        <w:t>年</w:t>
      </w:r>
      <w:r>
        <w:rPr>
          <w:rFonts w:hint="eastAsia" w:eastAsia="方正小标宋_GBK"/>
          <w:sz w:val="44"/>
          <w:szCs w:val="32"/>
        </w:rPr>
        <w:t>度</w:t>
      </w:r>
      <w:r>
        <w:rPr>
          <w:rFonts w:eastAsia="方正小标宋_GBK"/>
          <w:sz w:val="44"/>
          <w:szCs w:val="32"/>
        </w:rPr>
        <w:t>整体支出绩效</w:t>
      </w:r>
      <w:r>
        <w:rPr>
          <w:rFonts w:hint="eastAsia" w:eastAsia="方正小标宋_GBK"/>
          <w:sz w:val="44"/>
          <w:szCs w:val="32"/>
        </w:rPr>
        <w:t>自评</w:t>
      </w:r>
      <w:r>
        <w:rPr>
          <w:rFonts w:eastAsia="方正小标宋_GBK"/>
          <w:sz w:val="44"/>
          <w:szCs w:val="32"/>
        </w:rPr>
        <w:t>报告</w:t>
      </w:r>
    </w:p>
    <w:p>
      <w:pPr>
        <w:pStyle w:val="12"/>
        <w:spacing w:line="596" w:lineRule="exact"/>
        <w:ind w:left="357" w:firstLine="640"/>
        <w:rPr>
          <w:rFonts w:eastAsia="方正仿宋_GBK"/>
          <w:sz w:val="32"/>
          <w:szCs w:val="32"/>
        </w:rPr>
      </w:pPr>
    </w:p>
    <w:p>
      <w:pPr>
        <w:numPr>
          <w:ilvl w:val="0"/>
          <w:numId w:val="1"/>
        </w:numPr>
        <w:spacing w:line="596" w:lineRule="exact"/>
        <w:ind w:firstLine="640" w:firstLineChars="200"/>
        <w:rPr>
          <w:rFonts w:hint="eastAsia" w:eastAsia="方正黑体_GBK"/>
          <w:sz w:val="32"/>
          <w:szCs w:val="32"/>
        </w:rPr>
      </w:pPr>
      <w:r>
        <w:rPr>
          <w:rFonts w:eastAsia="方正黑体_GBK"/>
          <w:sz w:val="32"/>
          <w:szCs w:val="32"/>
        </w:rPr>
        <w:t>基本</w:t>
      </w:r>
      <w:r>
        <w:rPr>
          <w:rFonts w:hint="eastAsia" w:eastAsia="方正黑体_GBK"/>
          <w:sz w:val="32"/>
          <w:szCs w:val="32"/>
        </w:rPr>
        <w:t>情况</w:t>
      </w:r>
    </w:p>
    <w:p>
      <w:pPr>
        <w:spacing w:line="596" w:lineRule="exact"/>
        <w:ind w:firstLine="640" w:firstLineChars="200"/>
        <w:outlineLvl w:val="1"/>
        <w:rPr>
          <w:rFonts w:eastAsia="方正仿宋_GBK"/>
          <w:sz w:val="32"/>
          <w:szCs w:val="32"/>
          <w:highlight w:val="none"/>
        </w:rPr>
      </w:pPr>
      <w:r>
        <w:rPr>
          <w:rFonts w:eastAsia="方正仿宋_GBK"/>
          <w:sz w:val="32"/>
          <w:szCs w:val="32"/>
          <w:highlight w:val="none"/>
        </w:rPr>
        <w:t>（一）</w:t>
      </w:r>
      <w:r>
        <w:rPr>
          <w:rFonts w:hint="eastAsia" w:eastAsia="方正仿宋_GBK"/>
          <w:sz w:val="32"/>
          <w:szCs w:val="32"/>
          <w:highlight w:val="none"/>
        </w:rPr>
        <w:t>单位基本情况</w:t>
      </w:r>
    </w:p>
    <w:p>
      <w:pPr>
        <w:spacing w:line="600" w:lineRule="exact"/>
        <w:ind w:firstLine="960" w:firstLineChars="300"/>
        <w:rPr>
          <w:rFonts w:hint="eastAsia" w:ascii="方正仿宋_GBK" w:hAnsi="仿宋_GB2312" w:eastAsia="方正仿宋_GBK" w:cs="仿宋_GB2312"/>
          <w:sz w:val="32"/>
        </w:rPr>
      </w:pPr>
      <w:r>
        <w:rPr>
          <w:rFonts w:hint="eastAsia" w:eastAsia="方正仿宋_GBK"/>
          <w:b w:val="0"/>
          <w:bCs w:val="0"/>
          <w:sz w:val="32"/>
          <w:szCs w:val="32"/>
          <w:lang w:val="en-US" w:eastAsia="zh-CN"/>
        </w:rPr>
        <w:t xml:space="preserve">1. </w:t>
      </w:r>
      <w:r>
        <w:rPr>
          <w:rFonts w:hint="eastAsia" w:ascii="方正仿宋_GBK" w:hAnsi="仿宋_GB2312" w:eastAsia="方正仿宋_GBK" w:cs="仿宋_GB2312"/>
          <w:sz w:val="32"/>
        </w:rPr>
        <w:t>职能职责</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1</w:t>
      </w:r>
      <w:r>
        <w:rPr>
          <w:rFonts w:hint="eastAsia" w:eastAsia="方正仿宋_GBK"/>
          <w:sz w:val="32"/>
          <w:szCs w:val="32"/>
          <w:lang w:eastAsia="zh-CN"/>
        </w:rPr>
        <w:t>）</w:t>
      </w:r>
      <w:r>
        <w:rPr>
          <w:rFonts w:ascii="Times New Roman" w:hAnsi="Times New Roman" w:eastAsia="方正仿宋_GBK"/>
          <w:sz w:val="32"/>
          <w:szCs w:val="32"/>
        </w:rPr>
        <w:t>贯彻执行国家和重庆市关于工业、信息产业、中小企业的法律、法规、规章和方针政策。</w:t>
      </w:r>
    </w:p>
    <w:p>
      <w:pPr>
        <w:adjustRightInd w:val="0"/>
        <w:snapToGrid w:val="0"/>
        <w:spacing w:line="594" w:lineRule="exact"/>
        <w:ind w:firstLine="640" w:firstLineChars="200"/>
        <w:rPr>
          <w:rFonts w:ascii="Times New Roman" w:hAnsi="Times New Roman" w:eastAsia="方正仿宋_GBK"/>
          <w:sz w:val="32"/>
          <w:szCs w:val="32"/>
          <w:u w:val="single"/>
        </w:rPr>
      </w:pPr>
      <w:r>
        <w:rPr>
          <w:rFonts w:hint="eastAsia" w:eastAsia="方正仿宋_GBK"/>
          <w:sz w:val="32"/>
          <w:szCs w:val="32"/>
          <w:lang w:eastAsia="zh-CN"/>
        </w:rPr>
        <w:t>（</w:t>
      </w:r>
      <w:r>
        <w:rPr>
          <w:rFonts w:hint="eastAsia" w:eastAsia="方正仿宋_GBK"/>
          <w:sz w:val="32"/>
          <w:szCs w:val="32"/>
          <w:lang w:val="en-US" w:eastAsia="zh-CN"/>
        </w:rPr>
        <w:t>2</w:t>
      </w:r>
      <w:r>
        <w:rPr>
          <w:rFonts w:hint="eastAsia" w:eastAsia="方正仿宋_GBK"/>
          <w:sz w:val="32"/>
          <w:szCs w:val="32"/>
          <w:lang w:eastAsia="zh-CN"/>
        </w:rPr>
        <w:t>）</w:t>
      </w:r>
      <w:r>
        <w:rPr>
          <w:rFonts w:ascii="Times New Roman" w:hAnsi="Times New Roman" w:eastAsia="方正仿宋_GBK"/>
          <w:sz w:val="32"/>
          <w:szCs w:val="32"/>
        </w:rPr>
        <w:t>负责提出本区工业、信息产业、中小企业固定资产投资规模和方向的建议。</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3</w:t>
      </w:r>
      <w:r>
        <w:rPr>
          <w:rFonts w:hint="eastAsia" w:eastAsia="方正仿宋_GBK"/>
          <w:sz w:val="32"/>
          <w:szCs w:val="32"/>
          <w:lang w:eastAsia="zh-CN"/>
        </w:rPr>
        <w:t>）</w:t>
      </w:r>
      <w:r>
        <w:rPr>
          <w:rFonts w:ascii="Times New Roman" w:hAnsi="Times New Roman" w:eastAsia="方正仿宋_GBK"/>
          <w:sz w:val="32"/>
          <w:szCs w:val="32"/>
        </w:rPr>
        <w:t>监测分析工业、信息产业、中小企业等经济运行态势，统计并发布相关信息。</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4</w:t>
      </w:r>
      <w:r>
        <w:rPr>
          <w:rFonts w:hint="eastAsia" w:eastAsia="方正仿宋_GBK"/>
          <w:sz w:val="32"/>
          <w:szCs w:val="32"/>
          <w:lang w:eastAsia="zh-CN"/>
        </w:rPr>
        <w:t>）</w:t>
      </w:r>
      <w:r>
        <w:rPr>
          <w:rFonts w:ascii="Times New Roman" w:hAnsi="Times New Roman" w:eastAsia="方正仿宋_GBK"/>
          <w:sz w:val="32"/>
          <w:szCs w:val="32"/>
        </w:rPr>
        <w:t>指导、协调和促进工业经济发展、工业经济结构调整和产业布局调整。</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5</w:t>
      </w:r>
      <w:r>
        <w:rPr>
          <w:rFonts w:hint="eastAsia" w:eastAsia="方正仿宋_GBK"/>
          <w:sz w:val="32"/>
          <w:szCs w:val="32"/>
          <w:lang w:eastAsia="zh-CN"/>
        </w:rPr>
        <w:t>）</w:t>
      </w:r>
      <w:r>
        <w:rPr>
          <w:rFonts w:ascii="Times New Roman" w:hAnsi="Times New Roman" w:eastAsia="方正仿宋_GBK"/>
          <w:sz w:val="32"/>
          <w:szCs w:val="32"/>
        </w:rPr>
        <w:t>负责全区信息产业宏观管理，统筹推进全区工业化和信息化融合的相关工作。</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6</w:t>
      </w:r>
      <w:r>
        <w:rPr>
          <w:rFonts w:hint="eastAsia" w:eastAsia="方正仿宋_GBK"/>
          <w:sz w:val="32"/>
          <w:szCs w:val="32"/>
          <w:lang w:eastAsia="zh-CN"/>
        </w:rPr>
        <w:t>）</w:t>
      </w:r>
      <w:r>
        <w:rPr>
          <w:rFonts w:ascii="Times New Roman" w:hAnsi="Times New Roman" w:eastAsia="方正仿宋_GBK"/>
          <w:sz w:val="32"/>
          <w:szCs w:val="32"/>
        </w:rPr>
        <w:t>牵头负责全区大数据应用发展管理工作，负责统一对接市大数据应用发展管理局。</w:t>
      </w:r>
    </w:p>
    <w:p>
      <w:pPr>
        <w:adjustRightInd w:val="0"/>
        <w:snapToGrid w:val="0"/>
        <w:spacing w:line="594" w:lineRule="exact"/>
        <w:ind w:firstLine="640" w:firstLineChars="200"/>
        <w:rPr>
          <w:rFonts w:ascii="Times New Roman" w:hAnsi="Times New Roman" w:eastAsia="方正仿宋_GBK"/>
          <w:color w:val="FF0000"/>
          <w:sz w:val="32"/>
          <w:szCs w:val="32"/>
        </w:rPr>
      </w:pPr>
      <w:r>
        <w:rPr>
          <w:rFonts w:hint="eastAsia" w:eastAsia="方正仿宋_GBK"/>
          <w:sz w:val="32"/>
          <w:szCs w:val="32"/>
          <w:lang w:eastAsia="zh-CN"/>
        </w:rPr>
        <w:t>（</w:t>
      </w:r>
      <w:r>
        <w:rPr>
          <w:rFonts w:hint="eastAsia" w:eastAsia="方正仿宋_GBK"/>
          <w:sz w:val="32"/>
          <w:szCs w:val="32"/>
          <w:lang w:val="en-US" w:eastAsia="zh-CN"/>
        </w:rPr>
        <w:t>7</w:t>
      </w:r>
      <w:r>
        <w:rPr>
          <w:rFonts w:hint="eastAsia" w:eastAsia="方正仿宋_GBK"/>
          <w:sz w:val="32"/>
          <w:szCs w:val="32"/>
          <w:lang w:eastAsia="zh-CN"/>
        </w:rPr>
        <w:t>）</w:t>
      </w:r>
      <w:r>
        <w:rPr>
          <w:rFonts w:ascii="Times New Roman" w:hAnsi="Times New Roman" w:eastAsia="方正仿宋_GBK"/>
          <w:sz w:val="32"/>
          <w:szCs w:val="32"/>
        </w:rPr>
        <w:t>组织协调信息安全保障体系的建设和电讯线缆保护工作，指导监督信息安全保障工作，协调处理网络与信息安全重大事件。</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8</w:t>
      </w:r>
      <w:r>
        <w:rPr>
          <w:rFonts w:hint="eastAsia" w:eastAsia="方正仿宋_GBK"/>
          <w:sz w:val="32"/>
          <w:szCs w:val="32"/>
          <w:lang w:eastAsia="zh-CN"/>
        </w:rPr>
        <w:t>）</w:t>
      </w:r>
      <w:r>
        <w:rPr>
          <w:rFonts w:ascii="Times New Roman" w:hAnsi="Times New Roman" w:eastAsia="方正仿宋_GBK"/>
          <w:sz w:val="32"/>
          <w:szCs w:val="32"/>
        </w:rPr>
        <w:t>负责全区电力、天然气、液化天然气、液化石油气、醇基燃料、CNG站等行业的行政管理、行政执法。</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9</w:t>
      </w:r>
      <w:r>
        <w:rPr>
          <w:rFonts w:hint="eastAsia" w:eastAsia="方正仿宋_GBK"/>
          <w:sz w:val="32"/>
          <w:szCs w:val="32"/>
          <w:lang w:eastAsia="zh-CN"/>
        </w:rPr>
        <w:t>）</w:t>
      </w:r>
      <w:r>
        <w:rPr>
          <w:rFonts w:ascii="Times New Roman" w:hAnsi="Times New Roman" w:eastAsia="方正仿宋_GBK"/>
          <w:sz w:val="32"/>
          <w:szCs w:val="32"/>
        </w:rPr>
        <w:t>组织协调工业环境保护工作，配合有关部门开展生态文明建设，拟订全区资源节约与综合利用的措施，负责资源综合利用、节约能源、清洁生产促进工作，负责全区工业节能监督管理工作。按规定权限核准、审批相关能源和节能技术改造项目。</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10</w:t>
      </w:r>
      <w:r>
        <w:rPr>
          <w:rFonts w:hint="eastAsia" w:eastAsia="方正仿宋_GBK"/>
          <w:sz w:val="32"/>
          <w:szCs w:val="32"/>
          <w:lang w:eastAsia="zh-CN"/>
        </w:rPr>
        <w:t>）</w:t>
      </w:r>
      <w:r>
        <w:rPr>
          <w:rFonts w:ascii="Times New Roman" w:hAnsi="Times New Roman" w:eastAsia="方正仿宋_GBK"/>
          <w:sz w:val="32"/>
          <w:szCs w:val="32"/>
        </w:rPr>
        <w:t>拟订本区工业技术进步和高新技术产业发展的专项规划并组织实施，指导工业企业技术创新、技术引进和技术改造，组织工业领域关键共性技术及重点新产品开发，用高新技术及先进适用技术改造提升传统产业。</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11</w:t>
      </w:r>
      <w:r>
        <w:rPr>
          <w:rFonts w:hint="eastAsia" w:eastAsia="方正仿宋_GBK"/>
          <w:sz w:val="32"/>
          <w:szCs w:val="32"/>
          <w:lang w:eastAsia="zh-CN"/>
        </w:rPr>
        <w:t>）</w:t>
      </w:r>
      <w:r>
        <w:rPr>
          <w:rFonts w:ascii="Times New Roman" w:hAnsi="Times New Roman" w:eastAsia="方正仿宋_GBK"/>
          <w:sz w:val="32"/>
          <w:szCs w:val="32"/>
        </w:rPr>
        <w:t>指导工业企业体制改革和管理创新，提高行业综合素质和核心竞争力，指导相关行业加强安全生产管理。</w:t>
      </w:r>
    </w:p>
    <w:p>
      <w:pPr>
        <w:adjustRightInd w:val="0"/>
        <w:snapToGrid w:val="0"/>
        <w:spacing w:line="594" w:lineRule="exact"/>
        <w:ind w:firstLine="640" w:firstLineChars="200"/>
        <w:rPr>
          <w:rFonts w:ascii="Times New Roman" w:hAnsi="Times New Roman" w:eastAsia="方正仿宋_GBK"/>
          <w:color w:val="FF0000"/>
          <w:sz w:val="32"/>
          <w:szCs w:val="32"/>
        </w:rPr>
      </w:pPr>
      <w:r>
        <w:rPr>
          <w:rFonts w:hint="eastAsia" w:eastAsia="方正仿宋_GBK"/>
          <w:sz w:val="32"/>
          <w:szCs w:val="32"/>
          <w:lang w:eastAsia="zh-CN"/>
        </w:rPr>
        <w:t>（</w:t>
      </w:r>
      <w:r>
        <w:rPr>
          <w:rFonts w:hint="eastAsia" w:eastAsia="方正仿宋_GBK"/>
          <w:sz w:val="32"/>
          <w:szCs w:val="32"/>
          <w:lang w:val="en-US" w:eastAsia="zh-CN"/>
        </w:rPr>
        <w:t>12</w:t>
      </w:r>
      <w:r>
        <w:rPr>
          <w:rFonts w:hint="eastAsia" w:eastAsia="方正仿宋_GBK"/>
          <w:sz w:val="32"/>
          <w:szCs w:val="32"/>
          <w:lang w:eastAsia="zh-CN"/>
        </w:rPr>
        <w:t>）</w:t>
      </w:r>
      <w:r>
        <w:rPr>
          <w:rFonts w:ascii="Times New Roman" w:hAnsi="Times New Roman" w:eastAsia="方正仿宋_GBK"/>
          <w:sz w:val="32"/>
          <w:szCs w:val="32"/>
        </w:rPr>
        <w:t>负责制定工业和信息化领域的人才建设规划并组织实施。负责工业企业人才培训体系的建设和管理，会同有关部门做好人才引进和人才培训工作。</w:t>
      </w:r>
    </w:p>
    <w:p>
      <w:pPr>
        <w:adjustRightInd w:val="0"/>
        <w:snapToGrid w:val="0"/>
        <w:spacing w:line="594" w:lineRule="exact"/>
        <w:ind w:firstLine="640" w:firstLineChars="200"/>
        <w:rPr>
          <w:rFonts w:ascii="Times New Roman" w:hAnsi="Times New Roman" w:eastAsia="方正仿宋_GBK"/>
          <w:sz w:val="32"/>
          <w:szCs w:val="32"/>
        </w:rPr>
      </w:pPr>
      <w:r>
        <w:rPr>
          <w:rFonts w:hint="eastAsia" w:eastAsia="方正仿宋_GBK"/>
          <w:sz w:val="32"/>
          <w:szCs w:val="32"/>
          <w:lang w:eastAsia="zh-CN"/>
        </w:rPr>
        <w:t>（</w:t>
      </w:r>
      <w:r>
        <w:rPr>
          <w:rFonts w:hint="eastAsia" w:eastAsia="方正仿宋_GBK"/>
          <w:sz w:val="32"/>
          <w:szCs w:val="32"/>
          <w:lang w:val="en-US" w:eastAsia="zh-CN"/>
        </w:rPr>
        <w:t>13</w:t>
      </w:r>
      <w:r>
        <w:rPr>
          <w:rFonts w:hint="eastAsia" w:eastAsia="方正仿宋_GBK"/>
          <w:sz w:val="32"/>
          <w:szCs w:val="32"/>
          <w:lang w:eastAsia="zh-CN"/>
        </w:rPr>
        <w:t>）</w:t>
      </w:r>
      <w:r>
        <w:rPr>
          <w:rFonts w:ascii="Times New Roman" w:hAnsi="Times New Roman" w:eastAsia="方正仿宋_GBK"/>
          <w:sz w:val="32"/>
          <w:szCs w:val="32"/>
        </w:rPr>
        <w:t>完成区委和区政府交办的其他任务。</w:t>
      </w:r>
    </w:p>
    <w:p>
      <w:pPr>
        <w:pStyle w:val="13"/>
        <w:tabs>
          <w:tab w:val="center" w:pos="4153"/>
          <w:tab w:val="left" w:pos="7275"/>
        </w:tabs>
        <w:spacing w:line="600" w:lineRule="exact"/>
        <w:ind w:left="640" w:firstLine="0" w:firstLineChars="0"/>
        <w:jc w:val="left"/>
        <w:rPr>
          <w:rFonts w:hint="eastAsia" w:ascii="方正仿宋_GBK" w:hAnsi="仿宋_GB2312" w:eastAsia="方正仿宋_GBK" w:cs="仿宋_GB2312"/>
          <w:sz w:val="32"/>
        </w:rPr>
      </w:pPr>
      <w:r>
        <w:rPr>
          <w:rFonts w:hint="eastAsia" w:eastAsia="方正仿宋_GBK"/>
          <w:b w:val="0"/>
          <w:bCs w:val="0"/>
          <w:sz w:val="32"/>
          <w:szCs w:val="32"/>
          <w:lang w:val="en-US" w:eastAsia="zh-CN"/>
        </w:rPr>
        <w:t xml:space="preserve">2. </w:t>
      </w:r>
      <w:r>
        <w:rPr>
          <w:rFonts w:hint="eastAsia" w:ascii="方正仿宋_GBK" w:hAnsi="仿宋_GB2312" w:eastAsia="方正仿宋_GBK" w:cs="仿宋_GB2312"/>
          <w:sz w:val="32"/>
        </w:rPr>
        <w:t>单位构成</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内设7个科室分别为办公室、经济运行科、规划投资科、信息化科、安全监察和能源科、科技教育科、政策法规科（行政审批科）。</w:t>
      </w:r>
    </w:p>
    <w:p>
      <w:pPr>
        <w:numPr>
          <w:ilvl w:val="0"/>
          <w:numId w:val="2"/>
        </w:numPr>
        <w:spacing w:line="600" w:lineRule="exact"/>
        <w:ind w:firstLine="640" w:firstLineChars="200"/>
        <w:rPr>
          <w:rFonts w:hint="eastAsia" w:eastAsia="方正仿宋_GBK"/>
          <w:sz w:val="32"/>
          <w:szCs w:val="32"/>
          <w:highlight w:val="none"/>
        </w:rPr>
      </w:pPr>
      <w:r>
        <w:rPr>
          <w:rFonts w:hint="eastAsia" w:eastAsia="方正仿宋_GBK"/>
          <w:sz w:val="32"/>
          <w:szCs w:val="32"/>
          <w:highlight w:val="none"/>
        </w:rPr>
        <w:t>预算及支出情况</w:t>
      </w:r>
    </w:p>
    <w:p>
      <w:pPr>
        <w:pStyle w:val="2"/>
        <w:numPr>
          <w:numId w:val="0"/>
        </w:numPr>
        <w:ind w:firstLine="640" w:firstLineChars="200"/>
        <w:jc w:val="both"/>
        <w:rPr>
          <w:rFonts w:hint="default" w:eastAsia="方正黑体_GBK"/>
          <w:sz w:val="32"/>
          <w:szCs w:val="32"/>
          <w:lang w:val="en-US" w:eastAsia="zh-CN"/>
        </w:rPr>
      </w:pPr>
      <w:r>
        <w:rPr>
          <w:rFonts w:hint="eastAsia" w:ascii="方正仿宋_GBK" w:hAnsi="Times New Roman" w:eastAsia="方正仿宋_GBK" w:cs="Times New Roman"/>
          <w:b w:val="0"/>
          <w:bCs w:val="0"/>
          <w:kern w:val="2"/>
          <w:sz w:val="32"/>
          <w:szCs w:val="32"/>
          <w:lang w:val="en-US" w:eastAsia="zh-CN" w:bidi="ar-SA"/>
        </w:rPr>
        <w:t>我单位2021年财政拨款收入共计12829.26万元，其中，一般公共预算财政拨款收入11168.74万元，政府性基金预算财政拨款收入1259.25万元，上年结转收入401.27万元；截止2021年12月31日，我单位共计支出12829.26万元，其中：基本支出984.12万元，项目支出11821.33万元，结余资金23.81万元。</w:t>
      </w:r>
    </w:p>
    <w:p>
      <w:pPr>
        <w:spacing w:line="596" w:lineRule="exact"/>
        <w:ind w:firstLine="640" w:firstLineChars="200"/>
        <w:rPr>
          <w:rFonts w:eastAsia="方正仿宋_GBK"/>
          <w:sz w:val="32"/>
          <w:szCs w:val="32"/>
        </w:rPr>
      </w:pPr>
      <w:r>
        <w:rPr>
          <w:rFonts w:eastAsia="方正黑体_GBK"/>
          <w:sz w:val="32"/>
          <w:szCs w:val="32"/>
        </w:rPr>
        <w:t>二、绩效评价</w:t>
      </w:r>
      <w:r>
        <w:rPr>
          <w:rFonts w:hint="eastAsia" w:eastAsia="方正黑体_GBK"/>
          <w:sz w:val="32"/>
          <w:szCs w:val="32"/>
        </w:rPr>
        <w:t>基本</w:t>
      </w:r>
      <w:r>
        <w:rPr>
          <w:rFonts w:eastAsia="方正黑体_GBK"/>
          <w:sz w:val="32"/>
          <w:szCs w:val="32"/>
        </w:rPr>
        <w:t>情况</w:t>
      </w:r>
    </w:p>
    <w:p>
      <w:pPr>
        <w:spacing w:line="596" w:lineRule="exact"/>
        <w:ind w:firstLine="640" w:firstLineChars="200"/>
        <w:rPr>
          <w:rFonts w:eastAsia="方正仿宋_GBK"/>
          <w:sz w:val="32"/>
          <w:szCs w:val="32"/>
        </w:rPr>
      </w:pPr>
      <w:r>
        <w:rPr>
          <w:rFonts w:eastAsia="方正仿宋_GBK"/>
          <w:sz w:val="32"/>
          <w:szCs w:val="32"/>
        </w:rPr>
        <w:t>（一）绩效评价目的</w:t>
      </w:r>
    </w:p>
    <w:p>
      <w:pPr>
        <w:spacing w:line="596" w:lineRule="exact"/>
        <w:ind w:firstLine="640" w:firstLineChars="200"/>
        <w:rPr>
          <w:rFonts w:hint="default" w:eastAsia="方正仿宋_GBK"/>
          <w:sz w:val="32"/>
          <w:szCs w:val="32"/>
          <w:lang w:val="en-US" w:eastAsia="zh-CN"/>
        </w:rPr>
      </w:pPr>
      <w:r>
        <w:rPr>
          <w:rFonts w:hint="eastAsia" w:eastAsia="方正仿宋_GBK"/>
          <w:sz w:val="32"/>
          <w:szCs w:val="32"/>
          <w:lang w:val="en-US" w:eastAsia="zh-CN"/>
        </w:rPr>
        <w:t>严格落实重庆市璧山区财政局（以下简称“区财政局”）绩效管理工作的有关规定，进一步规范财政资金的管理，强化财政支出绩效理念，提升部门责任意识，提高资金使用效益，保障单位更好的履行职能。</w:t>
      </w:r>
    </w:p>
    <w:p>
      <w:pPr>
        <w:spacing w:line="596" w:lineRule="exact"/>
        <w:ind w:firstLine="640" w:firstLineChars="200"/>
        <w:rPr>
          <w:rFonts w:eastAsia="方正仿宋_GBK"/>
          <w:sz w:val="32"/>
          <w:szCs w:val="32"/>
        </w:rPr>
      </w:pPr>
      <w:r>
        <w:rPr>
          <w:rFonts w:eastAsia="方正仿宋_GBK"/>
          <w:sz w:val="32"/>
          <w:szCs w:val="32"/>
        </w:rPr>
        <w:t>（二）绩效评价原则</w:t>
      </w:r>
    </w:p>
    <w:p>
      <w:pPr>
        <w:spacing w:line="596" w:lineRule="exact"/>
        <w:ind w:firstLine="640" w:firstLineChars="200"/>
        <w:rPr>
          <w:rFonts w:hint="eastAsia" w:ascii="仿宋_GB2312" w:eastAsia="仿宋_GB2312"/>
          <w:bCs/>
          <w:sz w:val="32"/>
          <w:szCs w:val="32"/>
        </w:rPr>
      </w:pPr>
      <w:r>
        <w:rPr>
          <w:rFonts w:hint="eastAsia" w:ascii="仿宋_GB2312" w:eastAsia="仿宋_GB2312"/>
          <w:bCs/>
          <w:sz w:val="32"/>
          <w:szCs w:val="32"/>
          <w:highlight w:val="none"/>
          <w:lang w:val="en-US" w:eastAsia="zh-CN"/>
        </w:rPr>
        <w:t xml:space="preserve">1. </w:t>
      </w:r>
      <w:r>
        <w:rPr>
          <w:rFonts w:hint="eastAsia" w:ascii="仿宋_GB2312" w:eastAsia="仿宋_GB2312"/>
          <w:bCs/>
          <w:sz w:val="32"/>
          <w:szCs w:val="32"/>
          <w:highlight w:val="none"/>
        </w:rPr>
        <w:t>科</w:t>
      </w:r>
      <w:r>
        <w:rPr>
          <w:rFonts w:hint="eastAsia" w:ascii="仿宋_GB2312" w:eastAsia="仿宋_GB2312"/>
          <w:bCs/>
          <w:sz w:val="32"/>
          <w:szCs w:val="32"/>
        </w:rPr>
        <w:t>学规范原则。绩效评价应当严格执行规定的程序，按照科学可行的要求，采用定量与定性分析相结合的方法。</w:t>
      </w:r>
    </w:p>
    <w:p>
      <w:pPr>
        <w:spacing w:line="596" w:lineRule="exact"/>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 xml:space="preserve">2. </w:t>
      </w:r>
      <w:r>
        <w:rPr>
          <w:rFonts w:hint="eastAsia" w:ascii="仿宋_GB2312" w:eastAsia="仿宋_GB2312"/>
          <w:bCs/>
          <w:sz w:val="32"/>
          <w:szCs w:val="32"/>
        </w:rPr>
        <w:t>公正公开原则。绩效评价应当符合真实、客观、公正的要求，依法公开并接受监督。</w:t>
      </w:r>
    </w:p>
    <w:p>
      <w:pPr>
        <w:spacing w:line="596" w:lineRule="exact"/>
        <w:ind w:firstLine="640" w:firstLineChars="200"/>
        <w:rPr>
          <w:rFonts w:ascii="仿宋_GB2312" w:eastAsia="仿宋_GB2312"/>
          <w:bCs/>
          <w:sz w:val="32"/>
          <w:szCs w:val="32"/>
        </w:rPr>
      </w:pPr>
      <w:r>
        <w:rPr>
          <w:rFonts w:hint="eastAsia" w:ascii="仿宋_GB2312" w:eastAsia="仿宋_GB2312"/>
          <w:bCs/>
          <w:sz w:val="32"/>
          <w:szCs w:val="32"/>
          <w:lang w:val="en-US" w:eastAsia="zh-CN"/>
        </w:rPr>
        <w:t xml:space="preserve">3. </w:t>
      </w:r>
      <w:r>
        <w:rPr>
          <w:rFonts w:hint="eastAsia" w:ascii="仿宋_GB2312" w:eastAsia="仿宋_GB2312"/>
          <w:bCs/>
          <w:sz w:val="32"/>
          <w:szCs w:val="32"/>
        </w:rPr>
        <w:t>绩效相关原则。绩效评价应当针对具体支出及其产出绩效进行，评价结果应当清晰反映支出和产出绩效之间的紧密对应关系。</w:t>
      </w:r>
    </w:p>
    <w:p>
      <w:pPr>
        <w:spacing w:line="596" w:lineRule="exact"/>
        <w:ind w:firstLine="640" w:firstLineChars="200"/>
        <w:rPr>
          <w:rFonts w:eastAsia="方正仿宋_GBK"/>
          <w:sz w:val="32"/>
          <w:szCs w:val="32"/>
        </w:rPr>
      </w:pPr>
      <w:r>
        <w:rPr>
          <w:rFonts w:eastAsia="方正仿宋_GBK"/>
          <w:sz w:val="32"/>
          <w:szCs w:val="32"/>
        </w:rPr>
        <w:t>（三）绩效评价工作过程</w:t>
      </w:r>
    </w:p>
    <w:p>
      <w:pPr>
        <w:spacing w:line="596" w:lineRule="exact"/>
        <w:ind w:firstLine="640" w:firstLineChars="200"/>
        <w:rPr>
          <w:rFonts w:eastAsia="方正仿宋_GBK"/>
          <w:sz w:val="32"/>
          <w:szCs w:val="32"/>
        </w:rPr>
      </w:pPr>
      <w:r>
        <w:rPr>
          <w:rFonts w:hint="eastAsia" w:eastAsia="方正仿宋_GBK"/>
          <w:sz w:val="32"/>
          <w:szCs w:val="32"/>
        </w:rPr>
        <w:t>工作小组情况：2021年3月</w:t>
      </w:r>
      <w:r>
        <w:rPr>
          <w:rFonts w:hint="eastAsia" w:eastAsia="方正仿宋_GBK"/>
          <w:sz w:val="32"/>
          <w:szCs w:val="32"/>
          <w:lang w:val="en-US" w:eastAsia="zh-CN"/>
        </w:rPr>
        <w:t>13</w:t>
      </w:r>
      <w:r>
        <w:rPr>
          <w:rFonts w:hint="eastAsia" w:eastAsia="方正仿宋_GBK"/>
          <w:sz w:val="32"/>
          <w:szCs w:val="32"/>
        </w:rPr>
        <w:t>日，成立部门绩效评价工作组，负责绩效自评工作，工作组的主要成员及职责如下：</w:t>
      </w:r>
    </w:p>
    <w:p>
      <w:pPr>
        <w:spacing w:line="596" w:lineRule="exact"/>
        <w:ind w:firstLine="640" w:firstLineChars="200"/>
        <w:rPr>
          <w:rFonts w:eastAsia="方正仿宋_GBK"/>
          <w:sz w:val="32"/>
          <w:szCs w:val="32"/>
        </w:rPr>
      </w:pPr>
      <w:r>
        <w:rPr>
          <w:rFonts w:hint="eastAsia" w:eastAsia="方正仿宋_GBK"/>
          <w:sz w:val="32"/>
          <w:szCs w:val="32"/>
        </w:rPr>
        <w:t>（1）工作组成员</w:t>
      </w:r>
    </w:p>
    <w:p>
      <w:pPr>
        <w:spacing w:line="596" w:lineRule="exact"/>
        <w:ind w:firstLine="640" w:firstLineChars="200"/>
        <w:rPr>
          <w:rFonts w:hint="eastAsia" w:eastAsia="方正仿宋_GBK"/>
          <w:sz w:val="32"/>
          <w:szCs w:val="32"/>
          <w:lang w:eastAsia="zh-CN"/>
        </w:rPr>
      </w:pPr>
      <w:r>
        <w:rPr>
          <w:rFonts w:hint="eastAsia" w:eastAsia="方正仿宋_GBK"/>
          <w:sz w:val="32"/>
          <w:szCs w:val="32"/>
        </w:rPr>
        <w:t>组  长：</w:t>
      </w:r>
      <w:r>
        <w:rPr>
          <w:rFonts w:hint="eastAsia" w:eastAsia="方正仿宋_GBK"/>
          <w:sz w:val="32"/>
          <w:szCs w:val="32"/>
          <w:lang w:eastAsia="zh-CN"/>
        </w:rPr>
        <w:t>杨俊</w:t>
      </w:r>
    </w:p>
    <w:p>
      <w:pPr>
        <w:spacing w:line="596" w:lineRule="exact"/>
        <w:ind w:firstLine="640" w:firstLineChars="200"/>
        <w:rPr>
          <w:rFonts w:eastAsia="方正仿宋_GBK"/>
          <w:sz w:val="32"/>
          <w:szCs w:val="32"/>
        </w:rPr>
      </w:pPr>
      <w:r>
        <w:rPr>
          <w:rFonts w:hint="eastAsia" w:eastAsia="方正仿宋_GBK"/>
          <w:sz w:val="32"/>
          <w:szCs w:val="32"/>
        </w:rPr>
        <w:t>副组长：</w:t>
      </w:r>
      <w:r>
        <w:rPr>
          <w:rFonts w:hint="eastAsia" w:eastAsia="方正仿宋_GBK"/>
          <w:sz w:val="32"/>
          <w:szCs w:val="32"/>
          <w:lang w:eastAsia="zh-CN"/>
        </w:rPr>
        <w:t>蒋学远</w:t>
      </w:r>
      <w:r>
        <w:rPr>
          <w:rFonts w:hint="eastAsia" w:eastAsia="方正仿宋_GBK"/>
          <w:sz w:val="32"/>
          <w:szCs w:val="32"/>
        </w:rPr>
        <w:t>、</w:t>
      </w:r>
      <w:r>
        <w:rPr>
          <w:rFonts w:hint="eastAsia" w:eastAsia="方正仿宋_GBK"/>
          <w:sz w:val="32"/>
          <w:szCs w:val="32"/>
          <w:lang w:eastAsia="zh-CN"/>
        </w:rPr>
        <w:t>汪德全</w:t>
      </w:r>
      <w:r>
        <w:rPr>
          <w:rFonts w:hint="eastAsia" w:eastAsia="方正仿宋_GBK"/>
          <w:sz w:val="32"/>
          <w:szCs w:val="32"/>
        </w:rPr>
        <w:t>、</w:t>
      </w:r>
    </w:p>
    <w:p>
      <w:pPr>
        <w:spacing w:line="596" w:lineRule="exact"/>
        <w:ind w:firstLine="640" w:firstLineChars="200"/>
        <w:rPr>
          <w:rFonts w:eastAsia="方正仿宋_GBK"/>
          <w:sz w:val="32"/>
          <w:szCs w:val="32"/>
        </w:rPr>
      </w:pPr>
      <w:r>
        <w:rPr>
          <w:rFonts w:hint="eastAsia" w:eastAsia="方正仿宋_GBK"/>
          <w:sz w:val="32"/>
          <w:szCs w:val="32"/>
        </w:rPr>
        <w:t>成  员：</w:t>
      </w:r>
      <w:r>
        <w:rPr>
          <w:rFonts w:hint="eastAsia" w:eastAsia="方正仿宋_GBK"/>
          <w:sz w:val="32"/>
          <w:szCs w:val="32"/>
          <w:lang w:eastAsia="zh-CN"/>
        </w:rPr>
        <w:t>宋小兵</w:t>
      </w:r>
      <w:r>
        <w:rPr>
          <w:rFonts w:hint="eastAsia" w:eastAsia="方正仿宋_GBK"/>
          <w:sz w:val="32"/>
          <w:szCs w:val="32"/>
        </w:rPr>
        <w:t>、</w:t>
      </w:r>
      <w:r>
        <w:rPr>
          <w:rFonts w:hint="eastAsia" w:eastAsia="方正仿宋_GBK"/>
          <w:sz w:val="32"/>
          <w:szCs w:val="32"/>
          <w:lang w:eastAsia="zh-CN"/>
        </w:rPr>
        <w:t>黄家韬</w:t>
      </w:r>
      <w:r>
        <w:rPr>
          <w:rFonts w:hint="eastAsia" w:eastAsia="方正仿宋_GBK"/>
          <w:sz w:val="32"/>
          <w:szCs w:val="32"/>
        </w:rPr>
        <w:t>、</w:t>
      </w:r>
      <w:r>
        <w:rPr>
          <w:rFonts w:hint="eastAsia" w:eastAsia="方正仿宋_GBK"/>
          <w:sz w:val="32"/>
          <w:szCs w:val="32"/>
          <w:lang w:eastAsia="zh-CN"/>
        </w:rPr>
        <w:t>虞跃</w:t>
      </w:r>
      <w:r>
        <w:rPr>
          <w:rFonts w:hint="eastAsia" w:eastAsia="方正仿宋_GBK"/>
          <w:sz w:val="32"/>
          <w:szCs w:val="32"/>
        </w:rPr>
        <w:t>、</w:t>
      </w:r>
      <w:r>
        <w:rPr>
          <w:rFonts w:hint="eastAsia" w:eastAsia="方正仿宋_GBK"/>
          <w:sz w:val="32"/>
          <w:szCs w:val="32"/>
          <w:lang w:eastAsia="zh-CN"/>
        </w:rPr>
        <w:t>邹伟</w:t>
      </w:r>
      <w:r>
        <w:rPr>
          <w:rFonts w:hint="eastAsia" w:eastAsia="方正仿宋_GBK"/>
          <w:sz w:val="32"/>
          <w:szCs w:val="32"/>
        </w:rPr>
        <w:t>、</w:t>
      </w:r>
      <w:r>
        <w:rPr>
          <w:rFonts w:hint="eastAsia" w:eastAsia="方正仿宋_GBK"/>
          <w:sz w:val="32"/>
          <w:szCs w:val="32"/>
          <w:lang w:eastAsia="zh-CN"/>
        </w:rPr>
        <w:t>胡兴群</w:t>
      </w:r>
      <w:r>
        <w:rPr>
          <w:rFonts w:hint="eastAsia" w:eastAsia="方正仿宋_GBK"/>
          <w:sz w:val="32"/>
          <w:szCs w:val="32"/>
        </w:rPr>
        <w:t>、</w:t>
      </w:r>
      <w:r>
        <w:rPr>
          <w:rFonts w:hint="eastAsia" w:eastAsia="方正仿宋_GBK"/>
          <w:sz w:val="32"/>
          <w:szCs w:val="32"/>
          <w:lang w:eastAsia="zh-CN"/>
        </w:rPr>
        <w:t>刘容、王梅芳</w:t>
      </w:r>
    </w:p>
    <w:p>
      <w:pPr>
        <w:spacing w:line="596" w:lineRule="exact"/>
        <w:ind w:firstLine="640" w:firstLineChars="200"/>
        <w:rPr>
          <w:rFonts w:eastAsia="方正仿宋_GBK"/>
          <w:sz w:val="32"/>
          <w:szCs w:val="32"/>
        </w:rPr>
      </w:pPr>
      <w:r>
        <w:rPr>
          <w:rFonts w:hint="eastAsia" w:eastAsia="方正仿宋_GBK"/>
          <w:sz w:val="32"/>
          <w:szCs w:val="32"/>
        </w:rPr>
        <w:t>工作组办公室设在办公室，由</w:t>
      </w:r>
      <w:r>
        <w:rPr>
          <w:rFonts w:hint="eastAsia" w:eastAsia="方正仿宋_GBK"/>
          <w:sz w:val="32"/>
          <w:szCs w:val="32"/>
          <w:lang w:eastAsia="zh-CN"/>
        </w:rPr>
        <w:t>宋小兵</w:t>
      </w:r>
      <w:r>
        <w:rPr>
          <w:rFonts w:hint="eastAsia" w:eastAsia="方正仿宋_GBK"/>
          <w:sz w:val="32"/>
          <w:szCs w:val="32"/>
        </w:rPr>
        <w:t>兼任工作组办公室主任。</w:t>
      </w:r>
    </w:p>
    <w:p>
      <w:pPr>
        <w:spacing w:line="596" w:lineRule="exact"/>
        <w:ind w:firstLine="640" w:firstLineChars="200"/>
        <w:rPr>
          <w:rFonts w:eastAsia="方正仿宋_GBK"/>
          <w:sz w:val="32"/>
          <w:szCs w:val="32"/>
        </w:rPr>
      </w:pPr>
      <w:r>
        <w:rPr>
          <w:rFonts w:hint="eastAsia" w:eastAsia="方正仿宋_GBK"/>
          <w:sz w:val="32"/>
          <w:szCs w:val="32"/>
        </w:rPr>
        <w:t>（2）工作职责</w:t>
      </w:r>
    </w:p>
    <w:p>
      <w:pPr>
        <w:spacing w:line="596" w:lineRule="exact"/>
        <w:ind w:firstLine="640" w:firstLineChars="200"/>
        <w:rPr>
          <w:rFonts w:eastAsia="方正仿宋_GBK"/>
          <w:sz w:val="32"/>
          <w:szCs w:val="32"/>
        </w:rPr>
      </w:pPr>
      <w:r>
        <w:rPr>
          <w:rFonts w:hint="eastAsia" w:eastAsia="方正仿宋_GBK"/>
          <w:sz w:val="32"/>
          <w:szCs w:val="32"/>
        </w:rPr>
        <w:t>组长职责：审批部门整体绩效自评方案，监督、检查、核实绩效自评结果。</w:t>
      </w:r>
    </w:p>
    <w:p>
      <w:pPr>
        <w:spacing w:line="596" w:lineRule="exact"/>
        <w:ind w:firstLine="640" w:firstLineChars="200"/>
        <w:rPr>
          <w:rFonts w:eastAsia="方正仿宋_GBK"/>
          <w:sz w:val="32"/>
          <w:szCs w:val="32"/>
        </w:rPr>
      </w:pPr>
      <w:r>
        <w:rPr>
          <w:rFonts w:hint="eastAsia" w:eastAsia="方正仿宋_GBK"/>
          <w:sz w:val="32"/>
          <w:szCs w:val="32"/>
        </w:rPr>
        <w:t>副组长职责：审核修改拟定的部门整体绩效自评方案，并提交考评工作组会议讨论通过；监督、部署、确认绩效自评过程及反馈意见的处理。</w:t>
      </w:r>
    </w:p>
    <w:p>
      <w:pPr>
        <w:spacing w:line="596" w:lineRule="exact"/>
        <w:ind w:firstLine="640" w:firstLineChars="200"/>
        <w:rPr>
          <w:rFonts w:eastAsia="方正仿宋_GBK"/>
          <w:sz w:val="32"/>
          <w:szCs w:val="32"/>
        </w:rPr>
      </w:pPr>
      <w:r>
        <w:rPr>
          <w:rFonts w:hint="eastAsia" w:eastAsia="方正仿宋_GBK"/>
          <w:sz w:val="32"/>
          <w:szCs w:val="32"/>
        </w:rPr>
        <w:t>小组成员职责：起草和修改部门整体绩效自评方案报自评领导工作组会议讨论通过，实施执行绩效自评方案；牵头组织并实施年度绩效自评，根据组长、副组长指示，对考评结果进行复核，完成绩效自评工作组安排的其他工作。</w:t>
      </w:r>
    </w:p>
    <w:p>
      <w:pPr>
        <w:spacing w:line="596" w:lineRule="exact"/>
        <w:ind w:firstLine="640" w:firstLineChars="200"/>
        <w:rPr>
          <w:rFonts w:eastAsia="方正仿宋_GBK"/>
          <w:sz w:val="32"/>
          <w:szCs w:val="32"/>
        </w:rPr>
      </w:pPr>
      <w:r>
        <w:rPr>
          <w:rFonts w:hint="eastAsia" w:eastAsia="方正仿宋_GBK"/>
          <w:sz w:val="32"/>
          <w:szCs w:val="32"/>
        </w:rPr>
        <w:t>2021年3月1</w:t>
      </w:r>
      <w:r>
        <w:rPr>
          <w:rFonts w:hint="eastAsia" w:eastAsia="方正仿宋_GBK"/>
          <w:sz w:val="32"/>
          <w:szCs w:val="32"/>
          <w:lang w:val="en-US" w:eastAsia="zh-CN"/>
        </w:rPr>
        <w:t>5</w:t>
      </w:r>
      <w:r>
        <w:rPr>
          <w:rFonts w:hint="eastAsia" w:eastAsia="方正仿宋_GBK"/>
          <w:sz w:val="32"/>
          <w:szCs w:val="32"/>
        </w:rPr>
        <w:t>日，考评工作组按照项目立项资料、批复文件等，开展自评检查工作，对部门整体绩效评价报告实施情况和质量进行评定，核实项目情况等。</w:t>
      </w:r>
    </w:p>
    <w:p>
      <w:pPr>
        <w:spacing w:line="596" w:lineRule="exact"/>
        <w:ind w:firstLine="640" w:firstLineChars="200"/>
        <w:rPr>
          <w:rFonts w:eastAsia="方正仿宋_GBK"/>
          <w:sz w:val="32"/>
          <w:szCs w:val="32"/>
        </w:rPr>
      </w:pPr>
      <w:r>
        <w:rPr>
          <w:rFonts w:hint="eastAsia" w:eastAsia="方正仿宋_GBK"/>
          <w:sz w:val="32"/>
          <w:szCs w:val="32"/>
        </w:rPr>
        <w:t>本次绩效工作分为三个阶段：</w:t>
      </w:r>
    </w:p>
    <w:p>
      <w:pPr>
        <w:spacing w:line="596" w:lineRule="exact"/>
        <w:ind w:firstLine="640" w:firstLineChars="200"/>
        <w:rPr>
          <w:rFonts w:eastAsia="方正仿宋_GBK"/>
          <w:sz w:val="32"/>
          <w:szCs w:val="32"/>
        </w:rPr>
      </w:pPr>
      <w:r>
        <w:rPr>
          <w:rFonts w:hint="eastAsia" w:eastAsia="方正仿宋_GBK"/>
          <w:sz w:val="32"/>
          <w:szCs w:val="32"/>
        </w:rPr>
        <w:t>第一个阶段为准备阶段，考评工作组梳理和研读了国家层面、市级层面、区级层面与本次评价项目有关的政策文件，获得项目资料。</w:t>
      </w:r>
    </w:p>
    <w:p>
      <w:pPr>
        <w:spacing w:line="596" w:lineRule="exact"/>
        <w:ind w:firstLine="640" w:firstLineChars="200"/>
        <w:rPr>
          <w:rFonts w:eastAsia="方正仿宋_GBK"/>
          <w:sz w:val="32"/>
          <w:szCs w:val="32"/>
        </w:rPr>
      </w:pPr>
      <w:r>
        <w:rPr>
          <w:rFonts w:hint="eastAsia" w:eastAsia="方正仿宋_GBK"/>
          <w:sz w:val="32"/>
          <w:szCs w:val="32"/>
        </w:rPr>
        <w:t>第二个阶段为实施阶段，考评工作组在2021年3月1</w:t>
      </w:r>
      <w:r>
        <w:rPr>
          <w:rFonts w:hint="eastAsia" w:eastAsia="方正仿宋_GBK"/>
          <w:sz w:val="32"/>
          <w:szCs w:val="32"/>
          <w:lang w:val="en-US" w:eastAsia="zh-CN"/>
        </w:rPr>
        <w:t>6</w:t>
      </w:r>
      <w:r>
        <w:rPr>
          <w:rFonts w:hint="eastAsia" w:eastAsia="方正仿宋_GBK"/>
          <w:sz w:val="32"/>
          <w:szCs w:val="32"/>
        </w:rPr>
        <w:t>日至3月1</w:t>
      </w:r>
      <w:r>
        <w:rPr>
          <w:rFonts w:hint="eastAsia" w:eastAsia="方正仿宋_GBK"/>
          <w:sz w:val="32"/>
          <w:szCs w:val="32"/>
          <w:lang w:val="en-US" w:eastAsia="zh-CN"/>
        </w:rPr>
        <w:t>9</w:t>
      </w:r>
      <w:r>
        <w:rPr>
          <w:rFonts w:hint="eastAsia" w:eastAsia="方正仿宋_GBK"/>
          <w:sz w:val="32"/>
          <w:szCs w:val="32"/>
        </w:rPr>
        <w:t>日开展评价实施。取得评价项目的进度和资金筹集支出情况等资料，通过研读与搭建指标体系进行评价，并进行报告撰写。</w:t>
      </w:r>
    </w:p>
    <w:p>
      <w:pPr>
        <w:spacing w:line="596" w:lineRule="exact"/>
        <w:ind w:firstLine="640" w:firstLineChars="200"/>
      </w:pPr>
      <w:r>
        <w:rPr>
          <w:rFonts w:hint="eastAsia" w:eastAsia="方正仿宋_GBK"/>
          <w:sz w:val="32"/>
          <w:szCs w:val="32"/>
        </w:rPr>
        <w:t>第三个阶段为完成阶段，2021年3月</w:t>
      </w:r>
      <w:r>
        <w:rPr>
          <w:rFonts w:hint="eastAsia" w:eastAsia="方正仿宋_GBK"/>
          <w:sz w:val="32"/>
          <w:szCs w:val="32"/>
          <w:lang w:val="en-US" w:eastAsia="zh-CN"/>
        </w:rPr>
        <w:t>20</w:t>
      </w:r>
      <w:r>
        <w:rPr>
          <w:rFonts w:hint="eastAsia" w:eastAsia="方正仿宋_GBK"/>
          <w:sz w:val="32"/>
          <w:szCs w:val="32"/>
        </w:rPr>
        <w:t>日至3月26日，考评工作组对自评表与部门整体绩效评价报告初稿进行审核，按照项目文件、资金拨付资料，开展自评检查工作，对项目整体实施情况和质量进行评定。提出修改意见，形成部门整体绩效评价报告。</w:t>
      </w:r>
    </w:p>
    <w:p>
      <w:pPr>
        <w:numPr>
          <w:numId w:val="0"/>
        </w:numPr>
        <w:spacing w:line="596" w:lineRule="exact"/>
        <w:ind w:firstLine="640" w:firstLineChars="200"/>
        <w:rPr>
          <w:rFonts w:eastAsia="方正黑体_GBK"/>
          <w:sz w:val="32"/>
          <w:szCs w:val="32"/>
        </w:rPr>
      </w:pPr>
      <w:r>
        <w:rPr>
          <w:rFonts w:hint="eastAsia" w:eastAsia="方正黑体_GBK"/>
          <w:sz w:val="32"/>
          <w:szCs w:val="32"/>
          <w:lang w:eastAsia="zh-CN"/>
        </w:rPr>
        <w:t>三、</w:t>
      </w:r>
      <w:r>
        <w:rPr>
          <w:rFonts w:hint="eastAsia" w:eastAsia="方正黑体_GBK"/>
          <w:sz w:val="32"/>
          <w:szCs w:val="32"/>
        </w:rPr>
        <w:t>绩效</w:t>
      </w:r>
      <w:r>
        <w:rPr>
          <w:rFonts w:eastAsia="方正黑体_GBK"/>
          <w:sz w:val="32"/>
          <w:szCs w:val="32"/>
        </w:rPr>
        <w:t>评价情况及结论</w:t>
      </w:r>
    </w:p>
    <w:p>
      <w:pPr>
        <w:spacing w:line="596" w:lineRule="exact"/>
        <w:ind w:firstLine="640" w:firstLineChars="200"/>
        <w:outlineLvl w:val="1"/>
        <w:rPr>
          <w:rFonts w:hint="eastAsia" w:eastAsia="方正仿宋_GBK"/>
          <w:sz w:val="32"/>
          <w:szCs w:val="32"/>
          <w:highlight w:val="none"/>
          <w:lang w:val="en-US" w:eastAsia="zh-CN"/>
        </w:rPr>
      </w:pPr>
      <w:r>
        <w:rPr>
          <w:rFonts w:hint="eastAsia" w:eastAsia="方正仿宋_GBK"/>
          <w:sz w:val="32"/>
          <w:szCs w:val="32"/>
          <w:lang w:eastAsia="zh-CN"/>
        </w:rPr>
        <w:t>（</w:t>
      </w:r>
      <w:r>
        <w:rPr>
          <w:rFonts w:hint="eastAsia" w:eastAsia="方正仿宋_GBK"/>
          <w:sz w:val="32"/>
          <w:szCs w:val="32"/>
          <w:lang w:val="en-US" w:eastAsia="zh-CN"/>
        </w:rPr>
        <w:t>一</w:t>
      </w:r>
      <w:r>
        <w:rPr>
          <w:rFonts w:hint="eastAsia" w:eastAsia="方正仿宋_GBK"/>
          <w:sz w:val="32"/>
          <w:szCs w:val="32"/>
          <w:lang w:eastAsia="zh-CN"/>
        </w:rPr>
        <w:t>）</w:t>
      </w:r>
      <w:r>
        <w:rPr>
          <w:rFonts w:hint="eastAsia" w:eastAsia="方正仿宋_GBK"/>
          <w:sz w:val="32"/>
          <w:szCs w:val="32"/>
          <w:lang w:val="en-US" w:eastAsia="zh-CN"/>
        </w:rPr>
        <w:t>绩效评价情况</w:t>
      </w:r>
    </w:p>
    <w:p>
      <w:pPr>
        <w:numPr>
          <w:ilvl w:val="0"/>
          <w:numId w:val="0"/>
        </w:numPr>
        <w:spacing w:line="596" w:lineRule="exact"/>
        <w:ind w:left="630" w:leftChars="0"/>
        <w:rPr>
          <w:rFonts w:hint="eastAsia" w:eastAsia="方正仿宋_GBK"/>
          <w:sz w:val="32"/>
          <w:szCs w:val="32"/>
          <w:highlight w:val="none"/>
          <w:lang w:val="en-US" w:eastAsia="zh-CN"/>
        </w:rPr>
      </w:pPr>
      <w:r>
        <w:rPr>
          <w:rFonts w:hint="eastAsia" w:eastAsia="方正仿宋_GBK"/>
          <w:sz w:val="32"/>
          <w:szCs w:val="32"/>
          <w:highlight w:val="none"/>
          <w:lang w:val="en-US" w:eastAsia="zh-CN"/>
        </w:rPr>
        <w:t>1.本单位职工满意度（4.75分）</w:t>
      </w:r>
    </w:p>
    <w:p>
      <w:pPr>
        <w:numPr>
          <w:ilvl w:val="0"/>
          <w:numId w:val="0"/>
        </w:numPr>
        <w:spacing w:line="596" w:lineRule="exact"/>
        <w:ind w:firstLine="640" w:firstLineChars="200"/>
        <w:rPr>
          <w:rFonts w:hint="default"/>
          <w:lang w:val="en-US" w:eastAsia="zh-CN"/>
        </w:rPr>
      </w:pPr>
      <w:r>
        <w:rPr>
          <w:rFonts w:hint="eastAsia" w:eastAsia="方正仿宋_GBK"/>
          <w:sz w:val="32"/>
          <w:szCs w:val="32"/>
          <w:lang w:val="en-US" w:eastAsia="zh-CN"/>
        </w:rPr>
        <w:t>绩效管理工作小组成员对本单位职工进行了满意度调查，经调研，本</w:t>
      </w:r>
      <w:r>
        <w:rPr>
          <w:rFonts w:hint="eastAsia" w:eastAsia="方正仿宋_GBK"/>
          <w:sz w:val="32"/>
          <w:szCs w:val="32"/>
          <w:highlight w:val="none"/>
          <w:lang w:val="en-US" w:eastAsia="zh-CN"/>
        </w:rPr>
        <w:t>单位职工满意</w:t>
      </w:r>
      <w:r>
        <w:rPr>
          <w:rFonts w:hint="eastAsia" w:eastAsia="方正仿宋_GBK"/>
          <w:sz w:val="32"/>
          <w:szCs w:val="32"/>
          <w:lang w:val="en-US" w:eastAsia="zh-CN"/>
        </w:rPr>
        <w:t>度达95%，</w:t>
      </w:r>
      <w:r>
        <w:rPr>
          <w:rFonts w:hint="default" w:ascii="Times New Roman" w:hAnsi="Times New Roman" w:eastAsia="方正仿宋_GBK" w:cs="Times New Roman"/>
          <w:color w:val="auto"/>
          <w:sz w:val="32"/>
          <w:szCs w:val="32"/>
          <w:highlight w:val="none"/>
        </w:rPr>
        <w:t>该指标绩效评价得分为</w:t>
      </w:r>
      <w:r>
        <w:rPr>
          <w:rFonts w:hint="eastAsia" w:eastAsia="方正仿宋_GBK" w:cs="Times New Roman"/>
          <w:color w:val="auto"/>
          <w:sz w:val="32"/>
          <w:szCs w:val="32"/>
          <w:highlight w:val="none"/>
          <w:lang w:val="en-US" w:eastAsia="zh-CN"/>
        </w:rPr>
        <w:t>4.75</w:t>
      </w:r>
      <w:r>
        <w:rPr>
          <w:rFonts w:hint="default" w:ascii="Times New Roman" w:hAnsi="Times New Roman" w:eastAsia="方正仿宋_GBK" w:cs="Times New Roman"/>
          <w:color w:val="auto"/>
          <w:sz w:val="32"/>
          <w:szCs w:val="32"/>
          <w:highlight w:val="none"/>
        </w:rPr>
        <w:t>分。</w:t>
      </w:r>
    </w:p>
    <w:p>
      <w:pPr>
        <w:pStyle w:val="2"/>
        <w:numPr>
          <w:numId w:val="0"/>
        </w:numPr>
        <w:ind w:firstLine="640" w:firstLineChars="200"/>
        <w:jc w:val="left"/>
        <w:outlineLvl w:val="9"/>
        <w:rPr>
          <w:rFonts w:hint="default"/>
          <w:lang w:val="en-US" w:eastAsia="zh-CN"/>
        </w:rPr>
      </w:pPr>
      <w:r>
        <w:rPr>
          <w:rFonts w:hint="eastAsia" w:ascii="Times New Roman" w:hAnsi="Times New Roman" w:eastAsia="方正仿宋_GBK" w:cs="Times New Roman"/>
          <w:b w:val="0"/>
          <w:bCs w:val="0"/>
          <w:lang w:val="en-US" w:eastAsia="zh-CN"/>
        </w:rPr>
        <w:t>2.补助资金发放及时率（8.95分）</w:t>
      </w:r>
    </w:p>
    <w:p>
      <w:pPr>
        <w:spacing w:line="594"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2021年度，我单位组织实施了相关补助发放的工作，包括</w:t>
      </w:r>
      <w:r>
        <w:rPr>
          <w:rFonts w:hint="eastAsia" w:ascii="Times New Roman" w:hAnsi="Times New Roman" w:eastAsia="方正仿宋_GBK" w:cs="Times New Roman"/>
          <w:color w:val="auto"/>
          <w:sz w:val="32"/>
          <w:szCs w:val="32"/>
          <w:highlight w:val="none"/>
          <w:lang w:eastAsia="zh-CN"/>
        </w:rPr>
        <w:t>市级工业和信息化专项资金、市级重大新产品研发成本补贴资金、市级新认定研发机构资金、重点企业“小巨人”中央资金、市级中小微发展专项资金、军民融合发展专项转移支付资金等</w:t>
      </w:r>
      <w:r>
        <w:rPr>
          <w:rFonts w:hint="default" w:ascii="Times New Roman" w:hAnsi="Times New Roman" w:eastAsia="方正仿宋_GBK" w:cs="Times New Roman"/>
          <w:color w:val="auto"/>
          <w:sz w:val="32"/>
          <w:szCs w:val="32"/>
          <w:highlight w:val="none"/>
        </w:rPr>
        <w:t>，经调研，</w:t>
      </w:r>
      <w:r>
        <w:rPr>
          <w:rFonts w:hint="eastAsia" w:ascii="Times New Roman" w:hAnsi="Times New Roman" w:eastAsia="方正仿宋_GBK" w:cs="Times New Roman"/>
          <w:color w:val="auto"/>
          <w:sz w:val="32"/>
          <w:szCs w:val="32"/>
          <w:highlight w:val="none"/>
          <w:lang w:eastAsia="zh-CN"/>
        </w:rPr>
        <w:t>除</w:t>
      </w:r>
      <w:r>
        <w:rPr>
          <w:rFonts w:hint="eastAsia" w:ascii="Times New Roman" w:hAnsi="Times New Roman" w:eastAsia="方正仿宋_GBK" w:cs="Times New Roman"/>
          <w:color w:val="auto"/>
          <w:sz w:val="32"/>
          <w:szCs w:val="32"/>
          <w:highlight w:val="none"/>
          <w:lang w:val="en-US" w:eastAsia="zh-CN"/>
        </w:rPr>
        <w:t>2021年12月因一家获得中小微专项资金20万元的企业账户名与账号不一致发放不成功外，其他</w:t>
      </w:r>
      <w:r>
        <w:rPr>
          <w:rFonts w:hint="default" w:ascii="Times New Roman" w:hAnsi="Times New Roman" w:eastAsia="方正仿宋_GBK" w:cs="Times New Roman"/>
          <w:color w:val="auto"/>
          <w:sz w:val="32"/>
          <w:szCs w:val="32"/>
          <w:highlight w:val="none"/>
        </w:rPr>
        <w:t>各项补助、补贴费用</w:t>
      </w:r>
      <w:r>
        <w:rPr>
          <w:rFonts w:hint="eastAsia" w:eastAsia="方正仿宋_GBK" w:cs="Times New Roman"/>
          <w:color w:val="auto"/>
          <w:sz w:val="32"/>
          <w:szCs w:val="32"/>
          <w:highlight w:val="none"/>
          <w:lang w:val="en-US" w:eastAsia="zh-CN"/>
        </w:rPr>
        <w:t>在规定的时间内及时进行了发放</w:t>
      </w:r>
      <w:r>
        <w:rPr>
          <w:rFonts w:hint="default" w:ascii="Times New Roman" w:hAnsi="Times New Roman" w:eastAsia="方正仿宋_GBK" w:cs="Times New Roman"/>
          <w:color w:val="auto"/>
          <w:sz w:val="32"/>
          <w:szCs w:val="32"/>
          <w:highlight w:val="none"/>
        </w:rPr>
        <w:t>，补助发放</w:t>
      </w:r>
      <w:r>
        <w:rPr>
          <w:rFonts w:hint="eastAsia" w:eastAsia="方正仿宋_GBK" w:cs="Times New Roman"/>
          <w:color w:val="auto"/>
          <w:sz w:val="32"/>
          <w:szCs w:val="32"/>
          <w:highlight w:val="none"/>
          <w:lang w:val="en-US" w:eastAsia="zh-CN"/>
        </w:rPr>
        <w:t>及时</w:t>
      </w:r>
      <w:r>
        <w:rPr>
          <w:rFonts w:hint="default" w:ascii="Times New Roman" w:hAnsi="Times New Roman" w:eastAsia="方正仿宋_GBK" w:cs="Times New Roman"/>
          <w:color w:val="auto"/>
          <w:sz w:val="32"/>
          <w:szCs w:val="32"/>
          <w:highlight w:val="none"/>
        </w:rPr>
        <w:t>率达</w:t>
      </w:r>
      <w:r>
        <w:rPr>
          <w:rFonts w:hint="eastAsia" w:ascii="Times New Roman" w:hAnsi="Times New Roman" w:eastAsia="方正仿宋_GBK" w:cs="Times New Roman"/>
          <w:color w:val="auto"/>
          <w:sz w:val="32"/>
          <w:szCs w:val="32"/>
          <w:highlight w:val="none"/>
          <w:lang w:val="en-US" w:eastAsia="zh-CN"/>
        </w:rPr>
        <w:t>95</w:t>
      </w:r>
      <w:r>
        <w:rPr>
          <w:rFonts w:hint="default" w:ascii="Times New Roman" w:hAnsi="Times New Roman" w:eastAsia="方正仿宋_GBK" w:cs="Times New Roman"/>
          <w:color w:val="auto"/>
          <w:sz w:val="32"/>
          <w:szCs w:val="32"/>
          <w:highlight w:val="none"/>
        </w:rPr>
        <w:t>%，该指标绩效评价得分为</w:t>
      </w:r>
      <w:r>
        <w:rPr>
          <w:rFonts w:hint="eastAsia" w:ascii="Times New Roman" w:hAnsi="Times New Roman" w:eastAsia="方正仿宋_GBK" w:cs="Times New Roman"/>
          <w:color w:val="auto"/>
          <w:sz w:val="32"/>
          <w:szCs w:val="32"/>
          <w:highlight w:val="none"/>
          <w:lang w:val="en-US" w:eastAsia="zh-CN"/>
        </w:rPr>
        <w:t>8.95</w:t>
      </w:r>
      <w:r>
        <w:rPr>
          <w:rFonts w:hint="default" w:ascii="Times New Roman" w:hAnsi="Times New Roman" w:eastAsia="方正仿宋_GBK" w:cs="Times New Roman"/>
          <w:color w:val="auto"/>
          <w:sz w:val="32"/>
          <w:szCs w:val="32"/>
          <w:highlight w:val="none"/>
        </w:rPr>
        <w:t>分。</w:t>
      </w:r>
    </w:p>
    <w:p>
      <w:pPr>
        <w:pStyle w:val="2"/>
        <w:jc w:val="left"/>
        <w:rPr>
          <w:rFonts w:hint="default" w:ascii="Times New Roman" w:hAnsi="Times New Roman" w:eastAsia="方正仿宋_GBK" w:cs="Times New Roman"/>
          <w:b w:val="0"/>
          <w:bCs w:val="0"/>
          <w:lang w:val="en-US" w:eastAsia="zh-CN"/>
        </w:rPr>
      </w:pP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b w:val="0"/>
          <w:bCs w:val="0"/>
          <w:lang w:val="en-US" w:eastAsia="zh-CN"/>
        </w:rPr>
        <w:t xml:space="preserve"> 3.代管人员满意度（9.69分）</w:t>
      </w:r>
    </w:p>
    <w:p>
      <w:pPr>
        <w:pStyle w:val="2"/>
        <w:numPr>
          <w:numId w:val="0"/>
        </w:numPr>
        <w:ind w:firstLine="640" w:firstLineChars="200"/>
        <w:jc w:val="left"/>
        <w:outlineLvl w:val="9"/>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lang w:val="en-US" w:eastAsia="zh-CN"/>
        </w:rPr>
        <w:t>2021年度，我委代管原破产清算组和原建管培训班退休人员2人，除每年年初因区财政局项目资金下达有点延迟导致发放滞后外，其他月份均按时发放代管人员养老资金，代管人员满意度达</w:t>
      </w:r>
      <w:r>
        <w:rPr>
          <w:rFonts w:hint="eastAsia" w:ascii="Times New Roman" w:hAnsi="Times New Roman" w:eastAsia="方正仿宋_GBK" w:cs="Times New Roman"/>
          <w:b w:val="0"/>
          <w:bCs w:val="0"/>
          <w:lang w:val="en-US" w:eastAsia="zh-CN"/>
        </w:rPr>
        <w:t>95%，该指标绩效评价得分为9.69分</w:t>
      </w:r>
      <w:r>
        <w:rPr>
          <w:rFonts w:hint="default" w:ascii="Times New Roman" w:hAnsi="Times New Roman" w:eastAsia="方正仿宋_GBK" w:cs="Times New Roman"/>
          <w:b w:val="0"/>
          <w:bCs w:val="0"/>
          <w:kern w:val="2"/>
          <w:sz w:val="32"/>
          <w:szCs w:val="32"/>
          <w:lang w:val="en-US" w:eastAsia="zh-CN" w:bidi="ar-SA"/>
        </w:rPr>
        <w:t>。</w:t>
      </w:r>
    </w:p>
    <w:p>
      <w:pPr>
        <w:pStyle w:val="2"/>
        <w:numPr>
          <w:ilvl w:val="0"/>
          <w:numId w:val="3"/>
        </w:numPr>
        <w:ind w:firstLine="640" w:firstLineChars="200"/>
        <w:jc w:val="left"/>
        <w:rPr>
          <w:rFonts w:hint="eastAsia"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lang w:val="en-US" w:eastAsia="zh-CN"/>
        </w:rPr>
        <w:t>服务企业家数（10分）</w:t>
      </w:r>
    </w:p>
    <w:p>
      <w:pPr>
        <w:pStyle w:val="2"/>
        <w:numPr>
          <w:numId w:val="0"/>
        </w:numPr>
        <w:jc w:val="left"/>
        <w:rPr>
          <w:rFonts w:hint="default"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lang w:val="en-US" w:eastAsia="zh-CN"/>
        </w:rPr>
        <w:t xml:space="preserve">    </w:t>
      </w:r>
      <w:r>
        <w:rPr>
          <w:rFonts w:hint="default" w:ascii="Times New Roman" w:hAnsi="Times New Roman" w:eastAsia="方正仿宋_GBK" w:cs="Times New Roman"/>
          <w:b w:val="0"/>
          <w:bCs w:val="0"/>
          <w:lang w:val="en-US" w:eastAsia="zh-CN"/>
        </w:rPr>
        <w:t>2021年度，我单位</w:t>
      </w:r>
      <w:r>
        <w:rPr>
          <w:rFonts w:hint="eastAsia" w:ascii="Times New Roman" w:hAnsi="Times New Roman" w:eastAsia="方正仿宋_GBK" w:cs="Times New Roman"/>
          <w:b w:val="0"/>
          <w:bCs w:val="0"/>
          <w:lang w:val="en-US" w:eastAsia="zh-CN"/>
        </w:rPr>
        <w:t>通过QQ群、微信群发布各种惠企政策，解答企业关心和有疑问的各种问题，处理企业备案等各种相关事项等，全年服务企业约600家，服务企业家率达100%，该指标绩效评价得分为10分</w:t>
      </w:r>
      <w:r>
        <w:rPr>
          <w:rFonts w:hint="default" w:ascii="Times New Roman" w:hAnsi="Times New Roman" w:eastAsia="方正仿宋_GBK" w:cs="Times New Roman"/>
          <w:b w:val="0"/>
          <w:bCs w:val="0"/>
          <w:kern w:val="2"/>
          <w:sz w:val="32"/>
          <w:szCs w:val="32"/>
          <w:lang w:val="en-US" w:eastAsia="zh-CN" w:bidi="ar-SA"/>
        </w:rPr>
        <w:t>。</w:t>
      </w:r>
    </w:p>
    <w:p>
      <w:pPr>
        <w:pStyle w:val="2"/>
        <w:ind w:firstLine="640" w:firstLineChars="200"/>
        <w:jc w:val="left"/>
        <w:rPr>
          <w:rFonts w:hint="eastAsia"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lang w:val="en-US" w:eastAsia="zh-CN"/>
        </w:rPr>
        <w:t>5.</w:t>
      </w:r>
      <w:r>
        <w:rPr>
          <w:rFonts w:hint="default" w:ascii="Times New Roman" w:hAnsi="Times New Roman" w:eastAsia="方正仿宋_GBK" w:cs="Times New Roman"/>
          <w:b w:val="0"/>
          <w:bCs w:val="0"/>
          <w:lang w:val="en-US" w:eastAsia="zh-CN"/>
        </w:rPr>
        <w:t>项目绩效管理率</w:t>
      </w:r>
      <w:r>
        <w:rPr>
          <w:rFonts w:hint="eastAsia" w:ascii="Times New Roman" w:hAnsi="Times New Roman" w:eastAsia="方正仿宋_GBK" w:cs="Times New Roman"/>
          <w:b w:val="0"/>
          <w:bCs w:val="0"/>
          <w:lang w:val="en-US" w:eastAsia="zh-CN"/>
        </w:rPr>
        <w:t>（10分）</w:t>
      </w:r>
    </w:p>
    <w:p>
      <w:pPr>
        <w:pStyle w:val="2"/>
        <w:ind w:firstLine="640" w:firstLineChars="200"/>
        <w:jc w:val="left"/>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lang w:val="en-US" w:eastAsia="zh-CN"/>
        </w:rPr>
        <w:t>2021年度，我单位已根据区财政的要求完成了绩效管理的相关工作，包括年初绩效目标、运行监控、绩效自评，绩效全过程管理工作按期完成，项目绩效绩效管理率</w:t>
      </w:r>
      <w:r>
        <w:rPr>
          <w:rFonts w:hint="eastAsia" w:ascii="Times New Roman" w:hAnsi="Times New Roman" w:eastAsia="方正仿宋_GBK" w:cs="Times New Roman"/>
          <w:b w:val="0"/>
          <w:bCs w:val="0"/>
          <w:lang w:val="en-US" w:eastAsia="zh-CN"/>
        </w:rPr>
        <w:t>达100%，</w:t>
      </w:r>
      <w:r>
        <w:rPr>
          <w:rFonts w:hint="default" w:ascii="Times New Roman" w:hAnsi="Times New Roman" w:eastAsia="方正仿宋_GBK" w:cs="Times New Roman"/>
          <w:b w:val="0"/>
          <w:bCs w:val="0"/>
          <w:lang w:val="en-US" w:eastAsia="zh-CN"/>
        </w:rPr>
        <w:t>该指标绩效评价得分为</w:t>
      </w:r>
      <w:r>
        <w:rPr>
          <w:rFonts w:hint="eastAsia" w:ascii="Times New Roman" w:hAnsi="Times New Roman" w:eastAsia="方正仿宋_GBK" w:cs="Times New Roman"/>
          <w:b w:val="0"/>
          <w:bCs w:val="0"/>
          <w:lang w:val="en-US" w:eastAsia="zh-CN"/>
        </w:rPr>
        <w:t>10</w:t>
      </w:r>
      <w:r>
        <w:rPr>
          <w:rFonts w:hint="default" w:ascii="Times New Roman" w:hAnsi="Times New Roman" w:eastAsia="方正仿宋_GBK" w:cs="Times New Roman"/>
          <w:b w:val="0"/>
          <w:bCs w:val="0"/>
          <w:lang w:val="en-US" w:eastAsia="zh-CN"/>
        </w:rPr>
        <w:t>分</w:t>
      </w:r>
      <w:r>
        <w:rPr>
          <w:rFonts w:hint="eastAsia" w:ascii="Times New Roman" w:hAnsi="Times New Roman" w:eastAsia="方正仿宋_GBK" w:cs="Times New Roman"/>
          <w:b w:val="0"/>
          <w:bCs w:val="0"/>
          <w:lang w:val="en-US" w:eastAsia="zh-CN"/>
        </w:rPr>
        <w:t>。</w:t>
      </w:r>
    </w:p>
    <w:p>
      <w:pPr>
        <w:pStyle w:val="2"/>
        <w:numPr>
          <w:numId w:val="0"/>
        </w:numPr>
        <w:ind w:leftChars="200" w:firstLine="320" w:firstLineChars="100"/>
        <w:jc w:val="left"/>
        <w:rPr>
          <w:rFonts w:hint="eastAsia"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lang w:val="en-US" w:eastAsia="zh-CN"/>
        </w:rPr>
        <w:t>6.</w:t>
      </w:r>
      <w:r>
        <w:rPr>
          <w:rFonts w:hint="default" w:ascii="Times New Roman" w:hAnsi="Times New Roman" w:eastAsia="方正仿宋_GBK" w:cs="Times New Roman"/>
          <w:b w:val="0"/>
          <w:bCs w:val="0"/>
          <w:lang w:val="en-US" w:eastAsia="zh-CN"/>
        </w:rPr>
        <w:t>向上申报补助资金项目</w:t>
      </w:r>
      <w:r>
        <w:rPr>
          <w:rFonts w:hint="eastAsia" w:ascii="Times New Roman" w:hAnsi="Times New Roman" w:eastAsia="方正仿宋_GBK" w:cs="Times New Roman"/>
          <w:b w:val="0"/>
          <w:bCs w:val="0"/>
          <w:lang w:val="en-US" w:eastAsia="zh-CN"/>
        </w:rPr>
        <w:t>（10分）</w:t>
      </w:r>
    </w:p>
    <w:p>
      <w:pPr>
        <w:spacing w:line="594" w:lineRule="exact"/>
        <w:ind w:firstLine="420" w:firstLineChars="200"/>
        <w:rPr>
          <w:rFonts w:hint="default"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lang w:val="en-US" w:eastAsia="zh-CN"/>
        </w:rPr>
        <w:t xml:space="preserve">   </w:t>
      </w:r>
      <w:r>
        <w:rPr>
          <w:rFonts w:hint="eastAsia" w:ascii="Times New Roman" w:hAnsi="Times New Roman" w:eastAsia="方正仿宋_GBK" w:cs="Times New Roman"/>
          <w:b w:val="0"/>
          <w:bCs w:val="0"/>
          <w:kern w:val="2"/>
          <w:sz w:val="32"/>
          <w:szCs w:val="32"/>
          <w:lang w:val="en-US" w:eastAsia="zh-CN" w:bidi="ar-SA"/>
        </w:rPr>
        <w:t xml:space="preserve"> 2021年度，落实市委、市政府推动制造业高质量发展加快建设国家重要先进制造业中心的若干政策措施，拟定工作方案报区委区府决策；根据重庆市《推动制造业高质量发展大会重点任务分解方案》和5个市级重点专项实施方案，拟定任务分解清单和实施方案。</w:t>
      </w:r>
      <w:r>
        <w:rPr>
          <w:rFonts w:hint="default" w:ascii="Times New Roman" w:hAnsi="Times New Roman" w:eastAsia="方正仿宋_GBK" w:cs="Times New Roman"/>
          <w:b w:val="0"/>
          <w:bCs w:val="0"/>
          <w:kern w:val="2"/>
          <w:sz w:val="32"/>
          <w:szCs w:val="32"/>
          <w:lang w:val="en-US" w:eastAsia="zh-CN" w:bidi="ar-SA"/>
        </w:rPr>
        <w:t>以推进工业企业“专精特新”发展为抓手，分层培育“专精特新”中小企业。完成2021年推荐第一批重点支持国家级专精特新“小巨人” 企业5家，其中2家“小巨人”企业获批，共计获得364万元的资金支持。</w:t>
      </w:r>
      <w:r>
        <w:rPr>
          <w:rFonts w:hint="eastAsia" w:ascii="Times New Roman" w:hAnsi="Times New Roman" w:eastAsia="方正仿宋_GBK" w:cs="Times New Roman"/>
          <w:b w:val="0"/>
          <w:bCs w:val="0"/>
          <w:kern w:val="2"/>
          <w:sz w:val="32"/>
          <w:szCs w:val="32"/>
          <w:lang w:val="en-US" w:eastAsia="zh-CN" w:bidi="ar-SA"/>
        </w:rPr>
        <w:t>培育重庆市“专精特新”企业13家、工信部“小巨人”企业1家，累计分别达到50家、8家。推进技改扩能，全面实施《重庆市璧山区引导、支持工业企业开展技改扩能实施方案（2020-2024）》，对申报的61个2020年区级技改扩能项目开展核查。</w:t>
      </w:r>
      <w:r>
        <w:rPr>
          <w:rFonts w:hint="default" w:ascii="Times New Roman" w:hAnsi="Times New Roman" w:eastAsia="方正仿宋_GBK" w:cs="Times New Roman"/>
          <w:b w:val="0"/>
          <w:bCs w:val="0"/>
          <w:kern w:val="2"/>
          <w:sz w:val="32"/>
          <w:szCs w:val="32"/>
          <w:lang w:val="en-US" w:eastAsia="zh-CN" w:bidi="ar-SA"/>
        </w:rPr>
        <w:t>加强对市级工业重点项目的监测和服务。2021年</w:t>
      </w:r>
      <w:r>
        <w:rPr>
          <w:rFonts w:hint="eastAsia" w:ascii="Times New Roman" w:hAnsi="Times New Roman" w:eastAsia="方正仿宋_GBK" w:cs="Times New Roman"/>
          <w:b w:val="0"/>
          <w:bCs w:val="0"/>
          <w:kern w:val="2"/>
          <w:sz w:val="32"/>
          <w:szCs w:val="32"/>
          <w:lang w:val="en-US" w:eastAsia="zh-CN" w:bidi="ar-SA"/>
        </w:rPr>
        <w:t>全</w:t>
      </w:r>
      <w:r>
        <w:rPr>
          <w:rFonts w:hint="default" w:ascii="Times New Roman" w:hAnsi="Times New Roman" w:eastAsia="方正仿宋_GBK" w:cs="Times New Roman"/>
          <w:b w:val="0"/>
          <w:bCs w:val="0"/>
          <w:kern w:val="2"/>
          <w:sz w:val="32"/>
          <w:szCs w:val="32"/>
          <w:lang w:val="en-US" w:eastAsia="zh-CN" w:bidi="ar-SA"/>
        </w:rPr>
        <w:t>区6个市级重点项目</w:t>
      </w:r>
      <w:r>
        <w:rPr>
          <w:rFonts w:hint="eastAsia" w:ascii="Times New Roman" w:hAnsi="Times New Roman" w:eastAsia="方正仿宋_GBK" w:cs="Times New Roman"/>
          <w:b w:val="0"/>
          <w:bCs w:val="0"/>
          <w:kern w:val="2"/>
          <w:sz w:val="32"/>
          <w:szCs w:val="32"/>
          <w:lang w:val="en-US" w:eastAsia="zh-CN" w:bidi="ar-SA"/>
        </w:rPr>
        <w:t>累计投资27.14亿元，占全年计划投资的113.1%。</w:t>
      </w:r>
      <w:r>
        <w:rPr>
          <w:rFonts w:hint="default" w:ascii="Times New Roman" w:hAnsi="Times New Roman" w:eastAsia="方正仿宋_GBK" w:cs="Times New Roman"/>
          <w:b w:val="0"/>
          <w:bCs w:val="0"/>
          <w:kern w:val="2"/>
          <w:sz w:val="32"/>
          <w:szCs w:val="32"/>
          <w:lang w:val="en-US" w:eastAsia="zh-CN" w:bidi="ar-SA"/>
        </w:rPr>
        <w:t>加强工业企业环保</w:t>
      </w:r>
      <w:r>
        <w:rPr>
          <w:rFonts w:hint="eastAsia" w:ascii="Times New Roman" w:hAnsi="Times New Roman" w:eastAsia="方正仿宋_GBK" w:cs="Times New Roman"/>
          <w:b w:val="0"/>
          <w:bCs w:val="0"/>
          <w:kern w:val="2"/>
          <w:sz w:val="32"/>
          <w:szCs w:val="32"/>
          <w:lang w:val="en-US" w:eastAsia="zh-CN" w:bidi="ar-SA"/>
        </w:rPr>
        <w:t>整治</w:t>
      </w:r>
      <w:r>
        <w:rPr>
          <w:rFonts w:hint="default" w:ascii="Times New Roman" w:hAnsi="Times New Roman" w:eastAsia="方正仿宋_GBK" w:cs="Times New Roman"/>
          <w:b w:val="0"/>
          <w:bCs w:val="0"/>
          <w:kern w:val="2"/>
          <w:sz w:val="32"/>
          <w:szCs w:val="32"/>
          <w:lang w:val="en-US" w:eastAsia="zh-CN" w:bidi="ar-SA"/>
        </w:rPr>
        <w:t>。一是全区31家烧结砖、水泥企业共计错峰生产2141天，其中20家烧结砖企业已完成今年错峰生产任务。二是指导督促区内11家重点企业和园区污水处理设施运营单位严格落实“13”项环境保护主体责任。三是做好污水乱排、岸线乱占、河道乱建“三乱”整治专项行动和污水偷排直排乱排专项行动各项工作。</w:t>
      </w:r>
      <w:r>
        <w:rPr>
          <w:rFonts w:hint="eastAsia" w:ascii="Times New Roman" w:hAnsi="Times New Roman" w:eastAsia="方正仿宋_GBK" w:cs="Times New Roman"/>
          <w:b w:val="0"/>
          <w:bCs w:val="0"/>
          <w:kern w:val="2"/>
          <w:sz w:val="32"/>
          <w:szCs w:val="32"/>
          <w:lang w:val="en-US" w:eastAsia="zh-CN" w:bidi="ar-SA"/>
        </w:rPr>
        <w:t>推动工业绿色发展。一是大道泡沫、顾地塑胶等5家企业开展清洁化诊断，全区累计10家企业开展清洁化诊断。二是结合“有序用电”、“绿色金融”等政策，加快培育“绿色工厂”，大江动力、冀东水泥、凯成科技3家企业成功创建国家级“绿色工厂”，宇海精密、品正食品等9家企业成功创建市级“绿色工厂”。三是品正食品、冀东水泥、大江动力3家企业成功创建市级“节水型企业”。向上申报补助资金项目352个，</w:t>
      </w:r>
      <w:r>
        <w:rPr>
          <w:rFonts w:hint="default" w:eastAsia="方正仿宋_GBK"/>
          <w:sz w:val="32"/>
          <w:szCs w:val="32"/>
          <w:highlight w:val="none"/>
          <w:lang w:val="en-US" w:eastAsia="zh-CN"/>
        </w:rPr>
        <w:t>项目绩效绩效管理率</w:t>
      </w:r>
      <w:r>
        <w:rPr>
          <w:rFonts w:hint="eastAsia" w:eastAsia="方正仿宋_GBK"/>
          <w:sz w:val="32"/>
          <w:szCs w:val="32"/>
          <w:highlight w:val="none"/>
          <w:lang w:val="en-US" w:eastAsia="zh-CN"/>
        </w:rPr>
        <w:t>达100%，</w:t>
      </w:r>
      <w:r>
        <w:rPr>
          <w:rFonts w:hint="default" w:ascii="Times New Roman" w:hAnsi="Times New Roman" w:eastAsia="方正仿宋_GBK" w:cs="Times New Roman"/>
          <w:color w:val="auto"/>
          <w:sz w:val="32"/>
          <w:szCs w:val="32"/>
          <w:highlight w:val="none"/>
        </w:rPr>
        <w:t>该指标绩效评价得分为1</w:t>
      </w:r>
      <w:r>
        <w:rPr>
          <w:rFonts w:hint="eastAsia"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分。</w:t>
      </w:r>
    </w:p>
    <w:p>
      <w:pPr>
        <w:spacing w:line="594" w:lineRule="exact"/>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7.</w:t>
      </w:r>
      <w:r>
        <w:rPr>
          <w:rFonts w:hint="default" w:ascii="Times New Roman" w:hAnsi="Times New Roman" w:eastAsia="方正仿宋_GBK" w:cs="Times New Roman"/>
          <w:b w:val="0"/>
          <w:bCs w:val="0"/>
          <w:kern w:val="2"/>
          <w:sz w:val="32"/>
          <w:szCs w:val="32"/>
          <w:lang w:val="en-US" w:eastAsia="zh-CN" w:bidi="ar-SA"/>
        </w:rPr>
        <w:t>预决算公开率</w:t>
      </w:r>
      <w:r>
        <w:rPr>
          <w:rFonts w:hint="eastAsia" w:ascii="Times New Roman" w:hAnsi="Times New Roman" w:eastAsia="方正仿宋_GBK" w:cs="Times New Roman"/>
          <w:b w:val="0"/>
          <w:bCs w:val="0"/>
          <w:kern w:val="2"/>
          <w:sz w:val="32"/>
          <w:szCs w:val="32"/>
          <w:lang w:val="en-US" w:eastAsia="zh-CN" w:bidi="ar-SA"/>
        </w:rPr>
        <w:t>（10分）</w:t>
      </w:r>
    </w:p>
    <w:p>
      <w:pPr>
        <w:spacing w:line="594" w:lineRule="exact"/>
        <w:ind w:firstLine="640" w:firstLineChars="200"/>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kern w:val="2"/>
          <w:sz w:val="32"/>
          <w:szCs w:val="32"/>
          <w:lang w:val="en-US" w:eastAsia="zh-CN" w:bidi="ar-SA"/>
        </w:rPr>
        <w:t>2</w:t>
      </w:r>
      <w:r>
        <w:rPr>
          <w:rFonts w:hint="default" w:ascii="Times New Roman" w:hAnsi="Times New Roman" w:eastAsia="方正仿宋_GBK" w:cs="Times New Roman"/>
          <w:color w:val="auto"/>
          <w:sz w:val="32"/>
          <w:szCs w:val="32"/>
          <w:highlight w:val="none"/>
        </w:rPr>
        <w:t>021年度，我单位已根据区财政的要求完成了绩效管理的相关工作，包括年初绩效目标、运行监控、绩效自评，绩效全过程管理工作按期完成，</w:t>
      </w:r>
      <w:r>
        <w:rPr>
          <w:rFonts w:hint="default" w:eastAsia="方正仿宋_GBK"/>
          <w:sz w:val="32"/>
          <w:szCs w:val="32"/>
          <w:highlight w:val="none"/>
          <w:lang w:val="en-US" w:eastAsia="zh-CN"/>
        </w:rPr>
        <w:t>项目绩效绩效管理率</w:t>
      </w:r>
      <w:r>
        <w:rPr>
          <w:rFonts w:hint="eastAsia" w:eastAsia="方正仿宋_GBK"/>
          <w:sz w:val="32"/>
          <w:szCs w:val="32"/>
          <w:highlight w:val="none"/>
          <w:lang w:val="en-US" w:eastAsia="zh-CN"/>
        </w:rPr>
        <w:t>达100%，</w:t>
      </w:r>
      <w:r>
        <w:rPr>
          <w:rFonts w:hint="default" w:ascii="Times New Roman" w:hAnsi="Times New Roman" w:eastAsia="方正仿宋_GBK" w:cs="Times New Roman"/>
          <w:color w:val="auto"/>
          <w:sz w:val="32"/>
          <w:szCs w:val="32"/>
          <w:highlight w:val="none"/>
        </w:rPr>
        <w:t>该指标绩效评价得分为</w:t>
      </w:r>
      <w:r>
        <w:rPr>
          <w:rFonts w:hint="eastAsia"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分。</w:t>
      </w:r>
    </w:p>
    <w:p>
      <w:pPr>
        <w:pStyle w:val="2"/>
        <w:numPr>
          <w:numId w:val="0"/>
        </w:numPr>
        <w:ind w:firstLine="640" w:firstLineChars="200"/>
        <w:jc w:val="left"/>
        <w:rPr>
          <w:rFonts w:hint="eastAsia"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lang w:val="en-US" w:eastAsia="zh-CN"/>
        </w:rPr>
        <w:t>8.</w:t>
      </w:r>
      <w:r>
        <w:rPr>
          <w:rFonts w:hint="default" w:ascii="Times New Roman" w:hAnsi="Times New Roman" w:eastAsia="方正仿宋_GBK" w:cs="Times New Roman"/>
          <w:b w:val="0"/>
          <w:bCs w:val="0"/>
          <w:lang w:val="en-US" w:eastAsia="zh-CN"/>
        </w:rPr>
        <w:t>预</w:t>
      </w:r>
      <w:r>
        <w:rPr>
          <w:rFonts w:hint="eastAsia" w:ascii="Times New Roman" w:hAnsi="Times New Roman" w:eastAsia="方正仿宋_GBK" w:cs="Times New Roman"/>
          <w:b w:val="0"/>
          <w:bCs w:val="0"/>
          <w:lang w:val="en-US" w:eastAsia="zh-CN"/>
        </w:rPr>
        <w:t>决</w:t>
      </w:r>
      <w:r>
        <w:rPr>
          <w:rFonts w:hint="default" w:ascii="Times New Roman" w:hAnsi="Times New Roman" w:eastAsia="方正仿宋_GBK" w:cs="Times New Roman"/>
          <w:b w:val="0"/>
          <w:bCs w:val="0"/>
          <w:lang w:val="en-US" w:eastAsia="zh-CN"/>
        </w:rPr>
        <w:t>算执行率</w:t>
      </w:r>
      <w:r>
        <w:rPr>
          <w:rFonts w:hint="eastAsia" w:ascii="Times New Roman" w:hAnsi="Times New Roman" w:eastAsia="方正仿宋_GBK" w:cs="Times New Roman"/>
          <w:b w:val="0"/>
          <w:bCs w:val="0"/>
          <w:lang w:val="en-US" w:eastAsia="zh-CN"/>
        </w:rPr>
        <w:t>（10分）</w:t>
      </w:r>
    </w:p>
    <w:p>
      <w:pPr>
        <w:pStyle w:val="2"/>
        <w:numPr>
          <w:numId w:val="0"/>
        </w:numPr>
        <w:ind w:firstLine="640" w:firstLineChars="200"/>
        <w:jc w:val="left"/>
        <w:rPr>
          <w:rFonts w:hint="default"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lang w:val="en-US" w:eastAsia="zh-CN"/>
        </w:rPr>
        <w:t>2021年度，我单位严格按照区财政局的要求，在规定时间内完成了2021年度的</w:t>
      </w:r>
      <w:r>
        <w:rPr>
          <w:rFonts w:hint="default" w:ascii="Times New Roman" w:hAnsi="Times New Roman" w:eastAsia="方正仿宋_GBK" w:cs="Times New Roman"/>
          <w:b w:val="0"/>
          <w:bCs w:val="0"/>
          <w:lang w:val="en-US" w:eastAsia="zh-CN"/>
        </w:rPr>
        <w:t>预</w:t>
      </w:r>
      <w:r>
        <w:rPr>
          <w:rFonts w:hint="eastAsia" w:ascii="Times New Roman" w:hAnsi="Times New Roman" w:eastAsia="方正仿宋_GBK" w:cs="Times New Roman"/>
          <w:b w:val="0"/>
          <w:bCs w:val="0"/>
          <w:lang w:val="en-US" w:eastAsia="zh-CN"/>
        </w:rPr>
        <w:t>决</w:t>
      </w:r>
      <w:r>
        <w:rPr>
          <w:rFonts w:hint="default" w:ascii="Times New Roman" w:hAnsi="Times New Roman" w:eastAsia="方正仿宋_GBK" w:cs="Times New Roman"/>
          <w:b w:val="0"/>
          <w:bCs w:val="0"/>
          <w:lang w:val="en-US" w:eastAsia="zh-CN"/>
        </w:rPr>
        <w:t>算</w:t>
      </w:r>
      <w:r>
        <w:rPr>
          <w:rFonts w:hint="eastAsia" w:ascii="Times New Roman" w:hAnsi="Times New Roman" w:eastAsia="方正仿宋_GBK" w:cs="Times New Roman"/>
          <w:b w:val="0"/>
          <w:bCs w:val="0"/>
          <w:lang w:val="en-US" w:eastAsia="zh-CN"/>
        </w:rPr>
        <w:t>公开工作，</w:t>
      </w:r>
      <w:r>
        <w:rPr>
          <w:rFonts w:hint="default" w:ascii="Times New Roman" w:hAnsi="Times New Roman" w:eastAsia="方正仿宋_GBK" w:cs="Times New Roman"/>
          <w:b w:val="0"/>
          <w:bCs w:val="0"/>
          <w:lang w:val="en-US" w:eastAsia="zh-CN"/>
        </w:rPr>
        <w:t>预</w:t>
      </w:r>
      <w:r>
        <w:rPr>
          <w:rFonts w:hint="eastAsia" w:ascii="Times New Roman" w:hAnsi="Times New Roman" w:eastAsia="方正仿宋_GBK" w:cs="Times New Roman"/>
          <w:b w:val="0"/>
          <w:bCs w:val="0"/>
          <w:lang w:val="en-US" w:eastAsia="zh-CN"/>
        </w:rPr>
        <w:t>决</w:t>
      </w:r>
      <w:r>
        <w:rPr>
          <w:rFonts w:hint="default" w:ascii="Times New Roman" w:hAnsi="Times New Roman" w:eastAsia="方正仿宋_GBK" w:cs="Times New Roman"/>
          <w:b w:val="0"/>
          <w:bCs w:val="0"/>
          <w:lang w:val="en-US" w:eastAsia="zh-CN"/>
        </w:rPr>
        <w:t>算</w:t>
      </w:r>
      <w:r>
        <w:rPr>
          <w:rFonts w:hint="eastAsia" w:ascii="Times New Roman" w:hAnsi="Times New Roman" w:eastAsia="方正仿宋_GBK" w:cs="Times New Roman"/>
          <w:b w:val="0"/>
          <w:bCs w:val="0"/>
          <w:lang w:val="en-US" w:eastAsia="zh-CN"/>
        </w:rPr>
        <w:t>公开率达100%，该指标绩效评价得分为10分。</w:t>
      </w:r>
    </w:p>
    <w:p>
      <w:pPr>
        <w:pStyle w:val="2"/>
        <w:numPr>
          <w:ilvl w:val="0"/>
          <w:numId w:val="4"/>
        </w:numPr>
        <w:ind w:firstLine="640" w:firstLineChars="200"/>
        <w:jc w:val="left"/>
        <w:rPr>
          <w:rFonts w:hint="eastAsia"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lang w:val="en-US" w:eastAsia="zh-CN"/>
        </w:rPr>
        <w:t>走访企业安全检查次数</w:t>
      </w:r>
      <w:r>
        <w:rPr>
          <w:rFonts w:hint="eastAsia" w:ascii="Times New Roman" w:hAnsi="Times New Roman" w:eastAsia="方正仿宋_GBK" w:cs="Times New Roman"/>
          <w:b w:val="0"/>
          <w:bCs w:val="0"/>
          <w:lang w:val="en-US" w:eastAsia="zh-CN"/>
        </w:rPr>
        <w:t>（10分）</w:t>
      </w:r>
    </w:p>
    <w:p>
      <w:pPr>
        <w:pStyle w:val="2"/>
        <w:numPr>
          <w:numId w:val="0"/>
        </w:numPr>
        <w:jc w:val="left"/>
        <w:rPr>
          <w:rFonts w:hint="eastAsia"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lang w:val="en-US" w:eastAsia="zh-CN"/>
        </w:rPr>
        <w:t xml:space="preserve">    2021年度，加强安全检查，确保我区工业企业的安全生产和电力、天然气、通讯保障安全运行，累计检查企业160家，排查隐患344处，已督促企业完成整改，走访企业安全检查率达100%，该指标绩效评价得分为10分。</w:t>
      </w:r>
    </w:p>
    <w:p>
      <w:pPr>
        <w:spacing w:line="594" w:lineRule="exact"/>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10.</w:t>
      </w:r>
      <w:r>
        <w:rPr>
          <w:rFonts w:hint="default" w:ascii="Times New Roman" w:hAnsi="Times New Roman" w:eastAsia="方正仿宋_GBK" w:cs="Times New Roman"/>
          <w:b w:val="0"/>
          <w:bCs w:val="0"/>
          <w:kern w:val="2"/>
          <w:sz w:val="32"/>
          <w:szCs w:val="32"/>
          <w:lang w:val="en-US" w:eastAsia="zh-CN" w:bidi="ar-SA"/>
        </w:rPr>
        <w:t>组织清华研修班培训人数</w:t>
      </w:r>
      <w:r>
        <w:rPr>
          <w:rFonts w:hint="eastAsia" w:ascii="Times New Roman" w:hAnsi="Times New Roman" w:eastAsia="方正仿宋_GBK" w:cs="Times New Roman"/>
          <w:b w:val="0"/>
          <w:bCs w:val="0"/>
          <w:kern w:val="2"/>
          <w:sz w:val="32"/>
          <w:szCs w:val="32"/>
          <w:lang w:val="en-US" w:eastAsia="zh-CN" w:bidi="ar-SA"/>
        </w:rPr>
        <w:t>（10分）</w:t>
      </w:r>
    </w:p>
    <w:p>
      <w:pPr>
        <w:spacing w:line="594" w:lineRule="exact"/>
        <w:ind w:firstLine="640" w:firstLineChars="200"/>
        <w:rPr>
          <w:rFonts w:hint="default" w:ascii="Times New Roman" w:hAnsi="Times New Roman" w:eastAsia="方正仿宋_GBK" w:cs="Times New Roman"/>
          <w:b w:val="0"/>
          <w:bCs w:val="0"/>
          <w:lang w:val="en-US" w:eastAsia="zh-CN"/>
        </w:rPr>
      </w:pPr>
      <w:r>
        <w:rPr>
          <w:rFonts w:hint="eastAsia" w:ascii="Times New Roman" w:hAnsi="Times New Roman" w:eastAsia="方正仿宋_GBK" w:cs="Times New Roman"/>
          <w:b w:val="0"/>
          <w:bCs w:val="0"/>
          <w:kern w:val="2"/>
          <w:sz w:val="32"/>
          <w:szCs w:val="32"/>
          <w:lang w:val="en-US" w:eastAsia="zh-CN" w:bidi="ar-SA"/>
        </w:rPr>
        <w:t>2021年度，</w:t>
      </w:r>
      <w:r>
        <w:rPr>
          <w:rFonts w:hint="default" w:ascii="Times New Roman" w:hAnsi="Times New Roman" w:eastAsia="方正仿宋_GBK" w:cs="Times New Roman"/>
          <w:b w:val="0"/>
          <w:bCs w:val="0"/>
          <w:kern w:val="2"/>
          <w:sz w:val="32"/>
          <w:szCs w:val="32"/>
          <w:lang w:val="en-US" w:eastAsia="zh-CN" w:bidi="ar-SA"/>
        </w:rPr>
        <w:t>组织清华班</w:t>
      </w:r>
      <w:r>
        <w:rPr>
          <w:rFonts w:hint="eastAsia" w:ascii="Times New Roman" w:hAnsi="Times New Roman" w:eastAsia="方正仿宋_GBK" w:cs="Times New Roman"/>
          <w:b w:val="0"/>
          <w:bCs w:val="0"/>
          <w:kern w:val="2"/>
          <w:sz w:val="32"/>
          <w:szCs w:val="32"/>
          <w:lang w:val="en-US" w:eastAsia="zh-CN" w:bidi="ar-SA"/>
        </w:rPr>
        <w:t>十四期</w:t>
      </w:r>
      <w:r>
        <w:rPr>
          <w:rFonts w:hint="default" w:ascii="Times New Roman" w:hAnsi="Times New Roman" w:eastAsia="方正仿宋_GBK" w:cs="Times New Roman"/>
          <w:b w:val="0"/>
          <w:bCs w:val="0"/>
          <w:kern w:val="2"/>
          <w:sz w:val="32"/>
          <w:szCs w:val="32"/>
          <w:lang w:val="en-US" w:eastAsia="zh-CN" w:bidi="ar-SA"/>
        </w:rPr>
        <w:t>培训工作</w:t>
      </w:r>
      <w:r>
        <w:rPr>
          <w:rFonts w:hint="eastAsia" w:ascii="Times New Roman" w:hAnsi="Times New Roman" w:eastAsia="方正仿宋_GBK" w:cs="Times New Roman"/>
          <w:b w:val="0"/>
          <w:bCs w:val="0"/>
          <w:kern w:val="2"/>
          <w:sz w:val="32"/>
          <w:szCs w:val="32"/>
          <w:lang w:val="en-US" w:eastAsia="zh-CN" w:bidi="ar-SA"/>
        </w:rPr>
        <w:t>，本期共招收学员52人，</w:t>
      </w:r>
      <w:r>
        <w:rPr>
          <w:rFonts w:hint="eastAsia" w:eastAsia="方正仿宋_GBK"/>
          <w:sz w:val="32"/>
          <w:szCs w:val="32"/>
          <w:highlight w:val="none"/>
          <w:lang w:val="en-US" w:eastAsia="zh-CN"/>
        </w:rPr>
        <w:t>参加培训人数达100%，</w:t>
      </w:r>
      <w:r>
        <w:rPr>
          <w:rFonts w:hint="default" w:ascii="Times New Roman" w:hAnsi="Times New Roman" w:eastAsia="方正仿宋_GBK" w:cs="Times New Roman"/>
          <w:color w:val="auto"/>
          <w:sz w:val="32"/>
          <w:szCs w:val="32"/>
          <w:highlight w:val="none"/>
        </w:rPr>
        <w:t>该指标绩效评价得分为1</w:t>
      </w:r>
      <w:r>
        <w:rPr>
          <w:rFonts w:hint="eastAsia"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分。</w:t>
      </w:r>
    </w:p>
    <w:p>
      <w:pPr>
        <w:spacing w:line="596" w:lineRule="exact"/>
        <w:ind w:firstLine="640" w:firstLineChars="200"/>
        <w:outlineLvl w:val="1"/>
        <w:rPr>
          <w:rFonts w:hint="default" w:eastAsia="方正仿宋_GBK"/>
          <w:sz w:val="32"/>
          <w:szCs w:val="32"/>
          <w:highlight w:val="none"/>
          <w:lang w:val="en-US" w:eastAsia="zh-CN"/>
        </w:rPr>
      </w:pPr>
      <w:r>
        <w:rPr>
          <w:rFonts w:hint="eastAsia" w:eastAsia="方正仿宋_GBK"/>
          <w:sz w:val="32"/>
          <w:szCs w:val="32"/>
          <w:highlight w:val="none"/>
          <w:lang w:eastAsia="zh-CN"/>
        </w:rPr>
        <w:t>（</w:t>
      </w:r>
      <w:r>
        <w:rPr>
          <w:rFonts w:hint="eastAsia" w:eastAsia="方正仿宋_GBK"/>
          <w:sz w:val="32"/>
          <w:szCs w:val="32"/>
          <w:highlight w:val="none"/>
          <w:lang w:val="en-US" w:eastAsia="zh-CN"/>
        </w:rPr>
        <w:t>二</w:t>
      </w:r>
      <w:r>
        <w:rPr>
          <w:rFonts w:hint="eastAsia" w:eastAsia="方正仿宋_GBK"/>
          <w:sz w:val="32"/>
          <w:szCs w:val="32"/>
          <w:highlight w:val="none"/>
          <w:lang w:eastAsia="zh-CN"/>
        </w:rPr>
        <w:t>）</w:t>
      </w:r>
      <w:r>
        <w:rPr>
          <w:rFonts w:hint="eastAsia" w:eastAsia="方正仿宋_GBK"/>
          <w:sz w:val="32"/>
          <w:szCs w:val="32"/>
          <w:highlight w:val="none"/>
          <w:lang w:val="en-US" w:eastAsia="zh-CN"/>
        </w:rPr>
        <w:t>绩效评价结论</w:t>
      </w:r>
    </w:p>
    <w:p>
      <w:pPr>
        <w:spacing w:line="596" w:lineRule="exact"/>
        <w:ind w:firstLine="640" w:firstLineChars="200"/>
      </w:pPr>
      <w:r>
        <w:rPr>
          <w:rFonts w:hint="eastAsia" w:eastAsia="方正仿宋_GBK"/>
          <w:sz w:val="32"/>
          <w:szCs w:val="32"/>
        </w:rPr>
        <w:t>本次绩效评价综合得分</w:t>
      </w:r>
      <w:r>
        <w:rPr>
          <w:rFonts w:hint="eastAsia" w:eastAsia="方正仿宋_GBK"/>
          <w:sz w:val="32"/>
          <w:szCs w:val="32"/>
          <w:highlight w:val="none"/>
          <w:lang w:val="en-US" w:eastAsia="zh-CN"/>
        </w:rPr>
        <w:t>93.39</w:t>
      </w:r>
      <w:r>
        <w:rPr>
          <w:rFonts w:hint="eastAsia" w:eastAsia="方正仿宋_GBK"/>
          <w:sz w:val="32"/>
          <w:szCs w:val="32"/>
        </w:rPr>
        <w:t>分，绩效评价等级为“</w:t>
      </w:r>
      <w:r>
        <w:rPr>
          <w:rFonts w:hint="eastAsia" w:eastAsia="方正仿宋_GBK"/>
          <w:sz w:val="32"/>
          <w:szCs w:val="32"/>
          <w:lang w:val="en-US" w:eastAsia="zh-CN"/>
        </w:rPr>
        <w:t>优</w:t>
      </w:r>
      <w:r>
        <w:rPr>
          <w:rFonts w:hint="eastAsia" w:eastAsia="方正仿宋_GBK"/>
          <w:sz w:val="32"/>
          <w:szCs w:val="32"/>
        </w:rPr>
        <w:t>”。</w:t>
      </w:r>
    </w:p>
    <w:p>
      <w:pPr>
        <w:spacing w:line="596" w:lineRule="exact"/>
        <w:ind w:firstLine="640" w:firstLineChars="200"/>
        <w:rPr>
          <w:rFonts w:eastAsia="方正黑体_GBK"/>
          <w:sz w:val="32"/>
          <w:szCs w:val="32"/>
        </w:rPr>
      </w:pPr>
      <w:r>
        <w:rPr>
          <w:rFonts w:hint="eastAsia" w:eastAsia="方正黑体_GBK"/>
          <w:sz w:val="32"/>
          <w:szCs w:val="32"/>
        </w:rPr>
        <w:t>四</w:t>
      </w:r>
      <w:r>
        <w:rPr>
          <w:rFonts w:eastAsia="方正黑体_GBK"/>
          <w:sz w:val="32"/>
          <w:szCs w:val="32"/>
        </w:rPr>
        <w:t>、主要经验及做法</w:t>
      </w:r>
    </w:p>
    <w:p>
      <w:pPr>
        <w:spacing w:line="560" w:lineRule="exact"/>
        <w:ind w:firstLine="640" w:firstLineChars="200"/>
        <w:outlineLvl w:val="1"/>
        <w:rPr>
          <w:rFonts w:hint="eastAsia" w:ascii="Times New Roman" w:hAnsi="Times New Roman" w:eastAsia="方正仿宋_GBK" w:cs="Times New Roman"/>
          <w:sz w:val="32"/>
          <w:szCs w:val="32"/>
          <w:lang w:eastAsia="zh-CN"/>
        </w:rPr>
      </w:pPr>
      <w:bookmarkStart w:id="0" w:name="_Toc21585"/>
      <w:r>
        <w:rPr>
          <w:rFonts w:hint="eastAsia" w:ascii="Times New Roman" w:hAnsi="Times New Roman" w:eastAsia="方正仿宋_GBK" w:cs="Times New Roman"/>
          <w:sz w:val="32"/>
          <w:szCs w:val="32"/>
          <w:lang w:eastAsia="zh-CN"/>
        </w:rPr>
        <w:t>（一）加强经济运行监测分析调度</w:t>
      </w:r>
      <w:bookmarkEnd w:id="0"/>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客观分析经济运行形势，优化产业布局，高水平谋划产业发展规划，大力发展新能源电池、新型显示、大健康等新兴产业，提档升级汽车、消费品工业等传统产业。</w:t>
      </w:r>
    </w:p>
    <w:p>
      <w:pPr>
        <w:spacing w:line="560" w:lineRule="exact"/>
        <w:ind w:firstLine="640" w:firstLineChars="200"/>
        <w:outlineLvl w:val="1"/>
        <w:rPr>
          <w:rFonts w:hint="eastAsia" w:ascii="Times New Roman" w:hAnsi="Times New Roman" w:eastAsia="方正仿宋_GBK" w:cs="Times New Roman"/>
          <w:sz w:val="32"/>
          <w:szCs w:val="32"/>
          <w:lang w:eastAsia="zh-CN"/>
        </w:rPr>
      </w:pPr>
      <w:bookmarkStart w:id="1" w:name="_Toc8791"/>
      <w:r>
        <w:rPr>
          <w:rFonts w:hint="eastAsia" w:ascii="Times New Roman" w:hAnsi="Times New Roman" w:eastAsia="方正仿宋_GBK" w:cs="Times New Roman"/>
          <w:sz w:val="32"/>
          <w:szCs w:val="32"/>
          <w:lang w:eastAsia="zh-CN"/>
        </w:rPr>
        <w:t>（二）持续优化企业服务</w:t>
      </w:r>
      <w:bookmarkEnd w:id="1"/>
    </w:p>
    <w:p>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优化“企业吹哨、部门报到”互动机制，针对企业运行中存在的突出问题开展精准服务，重点保生产、保运行，确保工业经济稳步回升。建立中小微企业增信机制，通过搭建信用数字金服平台，吸纳银行等金融机构和社会资本共同出资建立“资金池”，构建以产业链为切入点的产业供应链金融服务模式。</w:t>
      </w:r>
    </w:p>
    <w:p>
      <w:pPr>
        <w:numPr>
          <w:ilvl w:val="0"/>
          <w:numId w:val="0"/>
        </w:numPr>
        <w:spacing w:line="560" w:lineRule="exact"/>
        <w:ind w:leftChars="200"/>
        <w:outlineLvl w:val="1"/>
        <w:rPr>
          <w:rFonts w:hint="eastAsia" w:ascii="Times New Roman" w:hAnsi="Times New Roman" w:eastAsia="方正仿宋_GBK" w:cs="Times New Roman"/>
          <w:sz w:val="32"/>
          <w:szCs w:val="32"/>
        </w:rPr>
      </w:pPr>
      <w:bookmarkStart w:id="2" w:name="_Toc9799"/>
      <w:r>
        <w:rPr>
          <w:rFonts w:hint="eastAsia" w:ascii="Times New Roman" w:hAnsi="Times New Roman" w:eastAsia="方正仿宋_GBK" w:cs="Times New Roman"/>
          <w:sz w:val="32"/>
          <w:szCs w:val="32"/>
          <w:lang w:eastAsia="zh-CN"/>
        </w:rPr>
        <w:t>（三）加快培育新动能</w:t>
      </w:r>
      <w:bookmarkEnd w:id="2"/>
    </w:p>
    <w:p>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加快推进产业结构调整，推动智能制造、电子信息等产业向价值链高端迈进，促进汽摩、机电、鞋业等产品迭代更新。以提高技术含量、增加附加值为重点，持续实施“企业成长计划”，推动一批本地企业提质增效、发展壮大。针对部分产业本地配套不完善、高附加值零部件对外依赖度高等问题，加大稳链补链强链工作力度。</w:t>
      </w:r>
    </w:p>
    <w:p>
      <w:pPr>
        <w:numPr>
          <w:ilvl w:val="0"/>
          <w:numId w:val="0"/>
        </w:numPr>
        <w:spacing w:line="560" w:lineRule="exact"/>
        <w:ind w:firstLine="640" w:firstLineChars="200"/>
        <w:outlineLvl w:val="1"/>
        <w:rPr>
          <w:rFonts w:hint="eastAsia" w:ascii="Times New Roman" w:hAnsi="Times New Roman" w:eastAsia="方正仿宋_GBK" w:cs="Times New Roman"/>
          <w:sz w:val="32"/>
          <w:szCs w:val="32"/>
        </w:rPr>
      </w:pPr>
      <w:bookmarkStart w:id="3" w:name="_Toc2592"/>
      <w:r>
        <w:rPr>
          <w:rFonts w:hint="eastAsia" w:ascii="Times New Roman" w:hAnsi="Times New Roman" w:eastAsia="方正仿宋_GBK" w:cs="Times New Roman"/>
          <w:sz w:val="32"/>
          <w:szCs w:val="32"/>
          <w:lang w:eastAsia="zh-CN"/>
        </w:rPr>
        <w:t>（四）抓好重点企业和项目统计入库</w:t>
      </w:r>
      <w:bookmarkEnd w:id="3"/>
    </w:p>
    <w:p>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按产业分类建立重点培育清单，促进各类市场主体按照“个转企、企升规、规上市”的成长路径壮大规模，及时入库；强化部门联动，紧盯新开工重点项目，确保项目“开工一个、入库一个”。</w:t>
      </w:r>
    </w:p>
    <w:p>
      <w:pPr>
        <w:numPr>
          <w:ilvl w:val="0"/>
          <w:numId w:val="0"/>
        </w:numPr>
        <w:spacing w:line="560" w:lineRule="exact"/>
        <w:ind w:leftChars="200"/>
        <w:outlineLvl w:val="1"/>
        <w:rPr>
          <w:rFonts w:hint="eastAsia" w:ascii="Times New Roman" w:hAnsi="Times New Roman" w:eastAsia="方正仿宋_GBK" w:cs="Times New Roman"/>
          <w:sz w:val="32"/>
          <w:szCs w:val="32"/>
        </w:rPr>
      </w:pPr>
      <w:bookmarkStart w:id="4" w:name="_Toc8843"/>
      <w:r>
        <w:rPr>
          <w:rFonts w:hint="eastAsia" w:ascii="Times New Roman" w:hAnsi="Times New Roman" w:eastAsia="方正仿宋_GBK" w:cs="Times New Roman"/>
          <w:sz w:val="32"/>
          <w:szCs w:val="32"/>
          <w:lang w:eastAsia="zh-CN"/>
        </w:rPr>
        <w:t>（五）</w:t>
      </w:r>
      <w:r>
        <w:rPr>
          <w:rFonts w:hint="eastAsia" w:ascii="Times New Roman" w:hAnsi="Times New Roman" w:eastAsia="方正仿宋_GBK" w:cs="Times New Roman"/>
          <w:sz w:val="32"/>
          <w:szCs w:val="32"/>
        </w:rPr>
        <w:t>培育研发机构</w:t>
      </w:r>
      <w:bookmarkEnd w:id="4"/>
    </w:p>
    <w:p>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力争创建区级研发机构及入库企业50家、打造市级研发机构5—10家、打造市级制造业创新中心1—2家。积极组织企业申报重庆市重大新产品及创新指导性推荐目录。大力宣传研发准备金备案。</w:t>
      </w:r>
    </w:p>
    <w:p>
      <w:pPr>
        <w:numPr>
          <w:ilvl w:val="0"/>
          <w:numId w:val="0"/>
        </w:numPr>
        <w:spacing w:line="560" w:lineRule="exact"/>
        <w:ind w:leftChars="200"/>
        <w:outlineLvl w:val="1"/>
        <w:rPr>
          <w:rFonts w:hint="eastAsia" w:ascii="Times New Roman" w:hAnsi="Times New Roman" w:eastAsia="方正仿宋_GBK" w:cs="Times New Roman"/>
          <w:sz w:val="32"/>
          <w:szCs w:val="32"/>
        </w:rPr>
      </w:pPr>
      <w:bookmarkStart w:id="5" w:name="_Toc5266"/>
      <w:r>
        <w:rPr>
          <w:rFonts w:hint="eastAsia" w:ascii="Times New Roman" w:hAnsi="Times New Roman" w:eastAsia="方正仿宋_GBK" w:cs="Times New Roman"/>
          <w:sz w:val="32"/>
          <w:szCs w:val="32"/>
          <w:lang w:eastAsia="zh-CN"/>
        </w:rPr>
        <w:t>（六）</w:t>
      </w:r>
      <w:r>
        <w:rPr>
          <w:rFonts w:hint="eastAsia" w:ascii="Times New Roman" w:hAnsi="Times New Roman" w:eastAsia="方正仿宋_GBK" w:cs="Times New Roman"/>
          <w:sz w:val="32"/>
          <w:szCs w:val="32"/>
        </w:rPr>
        <w:t>继续推进5G基站新型基础设施建设</w:t>
      </w:r>
      <w:bookmarkEnd w:id="5"/>
    </w:p>
    <w:p>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统筹协调铁塔公司、电信运营商争取5G基站新型基础设施达到全区重点区域和重点工业全覆盖。</w:t>
      </w:r>
    </w:p>
    <w:p>
      <w:pPr>
        <w:numPr>
          <w:ilvl w:val="0"/>
          <w:numId w:val="0"/>
        </w:numPr>
        <w:spacing w:line="560" w:lineRule="exact"/>
        <w:ind w:leftChars="200"/>
        <w:outlineLvl w:val="1"/>
        <w:rPr>
          <w:rFonts w:hint="eastAsia" w:ascii="Times New Roman" w:hAnsi="Times New Roman" w:eastAsia="方正仿宋_GBK" w:cs="Times New Roman"/>
          <w:sz w:val="32"/>
          <w:szCs w:val="32"/>
        </w:rPr>
      </w:pPr>
      <w:bookmarkStart w:id="6" w:name="_Toc14103"/>
      <w:r>
        <w:rPr>
          <w:rFonts w:hint="eastAsia" w:ascii="Times New Roman" w:hAnsi="Times New Roman" w:eastAsia="方正仿宋_GBK" w:cs="Times New Roman"/>
          <w:sz w:val="32"/>
          <w:szCs w:val="32"/>
          <w:lang w:eastAsia="zh-CN"/>
        </w:rPr>
        <w:t>（七）</w:t>
      </w:r>
      <w:r>
        <w:rPr>
          <w:rFonts w:hint="eastAsia" w:ascii="Times New Roman" w:hAnsi="Times New Roman" w:eastAsia="方正仿宋_GBK" w:cs="Times New Roman"/>
          <w:sz w:val="32"/>
          <w:szCs w:val="32"/>
        </w:rPr>
        <w:t>加快推进“城市治理网”建设</w:t>
      </w:r>
      <w:bookmarkEnd w:id="6"/>
    </w:p>
    <w:p>
      <w:pPr>
        <w:numPr>
          <w:ilvl w:val="0"/>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是完成“城市治理网”社会化运营公司挂牌成立。二是继续优化“城市治理网”顶层设计，加快人口地理信息系统、“城市治理网”可视化展示系统、重大项目视频调度系统等项目建设。三是做好项目储备，继续在全区范围内梳理摸排可接入“城市治理网”的子项目，强化融合应用。</w:t>
      </w:r>
    </w:p>
    <w:p>
      <w:pPr>
        <w:numPr>
          <w:ilvl w:val="0"/>
          <w:numId w:val="0"/>
        </w:numPr>
        <w:spacing w:line="560" w:lineRule="exact"/>
        <w:ind w:leftChars="200"/>
        <w:outlineLvl w:val="1"/>
        <w:rPr>
          <w:rFonts w:hint="eastAsia" w:ascii="Times New Roman" w:hAnsi="Times New Roman" w:eastAsia="方正仿宋_GBK" w:cs="Times New Roman"/>
          <w:sz w:val="32"/>
          <w:szCs w:val="32"/>
        </w:rPr>
      </w:pPr>
      <w:bookmarkStart w:id="7" w:name="_Toc9839"/>
      <w:r>
        <w:rPr>
          <w:rFonts w:hint="eastAsia" w:ascii="Times New Roman" w:hAnsi="Times New Roman" w:eastAsia="方正仿宋_GBK" w:cs="Times New Roman"/>
          <w:sz w:val="32"/>
          <w:szCs w:val="32"/>
          <w:lang w:eastAsia="zh-CN"/>
        </w:rPr>
        <w:t>（八）</w:t>
      </w:r>
      <w:r>
        <w:rPr>
          <w:rFonts w:hint="eastAsia" w:ascii="Times New Roman" w:hAnsi="Times New Roman" w:eastAsia="方正仿宋_GBK" w:cs="Times New Roman"/>
          <w:sz w:val="32"/>
          <w:szCs w:val="32"/>
        </w:rPr>
        <w:t>做好电力、天然气等能源保障</w:t>
      </w:r>
      <w:bookmarkEnd w:id="7"/>
    </w:p>
    <w:p>
      <w:pPr>
        <w:numPr>
          <w:ilvl w:val="0"/>
          <w:numId w:val="0"/>
        </w:numPr>
        <w:spacing w:line="560" w:lineRule="exact"/>
        <w:ind w:firstLine="640" w:firstLineChars="200"/>
      </w:pPr>
      <w:r>
        <w:rPr>
          <w:rFonts w:hint="eastAsia" w:ascii="Times New Roman" w:hAnsi="Times New Roman" w:eastAsia="方正仿宋_GBK" w:cs="Times New Roman"/>
          <w:sz w:val="32"/>
          <w:szCs w:val="32"/>
        </w:rPr>
        <w:t>全面推进涉电涉气项目建设尽快建成投运；做好物资公司民爆仓库搬迁工作；加快推进城镇燃气老旧管网改造工作；继续开展农村户用漏电保护器安装工作；推进能源信息化智能化改造工，实现企业能耗监控全覆盖。</w:t>
      </w:r>
    </w:p>
    <w:p>
      <w:pPr>
        <w:numPr>
          <w:ilvl w:val="0"/>
          <w:numId w:val="5"/>
        </w:numPr>
        <w:spacing w:line="596" w:lineRule="exact"/>
        <w:ind w:firstLine="640" w:firstLineChars="200"/>
        <w:rPr>
          <w:rFonts w:eastAsia="方正黑体_GBK"/>
          <w:sz w:val="32"/>
          <w:szCs w:val="32"/>
        </w:rPr>
      </w:pPr>
      <w:r>
        <w:rPr>
          <w:rFonts w:eastAsia="方正黑体_GBK"/>
          <w:sz w:val="32"/>
          <w:szCs w:val="32"/>
        </w:rPr>
        <w:t>存在的问题和建议</w:t>
      </w:r>
    </w:p>
    <w:p>
      <w:pPr>
        <w:numPr>
          <w:ilvl w:val="0"/>
          <w:numId w:val="0"/>
        </w:numPr>
        <w:spacing w:line="560" w:lineRule="exact"/>
        <w:ind w:leftChars="200"/>
        <w:outlineLvl w:val="1"/>
        <w:rPr>
          <w:rFonts w:hint="eastAsia" w:ascii="Times New Roman" w:hAnsi="Times New Roman" w:eastAsia="方正仿宋_GBK" w:cs="Times New Roman"/>
          <w:sz w:val="32"/>
          <w:szCs w:val="32"/>
          <w:lang w:val="en-US" w:eastAsia="zh-CN"/>
        </w:rPr>
      </w:pPr>
      <w:r>
        <w:rPr>
          <w:rFonts w:hint="eastAsia"/>
          <w:lang w:val="en-US" w:eastAsia="zh-CN"/>
        </w:rPr>
        <w:t xml:space="preserve"> </w:t>
      </w:r>
      <w:bookmarkStart w:id="8" w:name="_Toc19174"/>
      <w:bookmarkStart w:id="9" w:name="_Toc19130"/>
      <w:bookmarkStart w:id="10" w:name="_Toc10888"/>
      <w:r>
        <w:rPr>
          <w:rFonts w:hint="eastAsia" w:ascii="Times New Roman" w:hAnsi="Times New Roman" w:eastAsia="方正仿宋_GBK" w:cs="Times New Roman"/>
          <w:sz w:val="32"/>
          <w:szCs w:val="32"/>
          <w:lang w:val="en-US" w:eastAsia="zh-CN"/>
        </w:rPr>
        <w:t>（一）</w:t>
      </w:r>
      <w:bookmarkEnd w:id="8"/>
      <w:bookmarkEnd w:id="9"/>
      <w:bookmarkStart w:id="11" w:name="_Toc8068"/>
      <w:r>
        <w:rPr>
          <w:rFonts w:hint="eastAsia" w:ascii="Times New Roman" w:hAnsi="Times New Roman" w:eastAsia="方正仿宋_GBK" w:cs="Times New Roman"/>
          <w:sz w:val="32"/>
          <w:szCs w:val="32"/>
          <w:lang w:val="en-US" w:eastAsia="zh-CN"/>
        </w:rPr>
        <w:t>预算执行工作水平有待提高</w:t>
      </w:r>
      <w:bookmarkEnd w:id="10"/>
      <w:bookmarkEnd w:id="11"/>
    </w:p>
    <w:p>
      <w:pPr>
        <w:spacing w:line="560" w:lineRule="exact"/>
        <w:ind w:firstLine="640" w:firstLineChars="200"/>
        <w:rPr>
          <w:rFonts w:hint="eastAsia" w:ascii="Times New Roman" w:hAnsi="Times New Roman" w:eastAsia="方正仿宋_GBK" w:cs="Times New Roman"/>
          <w:color w:val="000000"/>
          <w:kern w:val="0"/>
          <w:sz w:val="32"/>
          <w:szCs w:val="32"/>
          <w:shd w:val="clear" w:color="auto" w:fill="FFFFFF"/>
          <w:lang w:val="en-US" w:eastAsia="zh-CN"/>
        </w:rPr>
      </w:pPr>
      <w:r>
        <w:rPr>
          <w:rFonts w:hint="eastAsia" w:ascii="Times New Roman" w:hAnsi="Times New Roman" w:eastAsia="方正仿宋_GBK" w:cs="Times New Roman"/>
          <w:color w:val="000000"/>
          <w:kern w:val="0"/>
          <w:sz w:val="32"/>
          <w:szCs w:val="32"/>
          <w:shd w:val="clear" w:color="auto" w:fill="FFFFFF"/>
          <w:lang w:val="en-US" w:eastAsia="zh-CN"/>
        </w:rPr>
        <w:t>预算执行工作水平有待提高，下一步工作中，将加强预算管理，提高年初预算精准度，降低预算调整金额，合理配置预算，提高预算使用效率，降低预算结转结余，提高预算完成率，提升部门整体预算执行工作水平。</w:t>
      </w:r>
    </w:p>
    <w:p>
      <w:pPr>
        <w:numPr>
          <w:ilvl w:val="0"/>
          <w:numId w:val="0"/>
        </w:numPr>
        <w:spacing w:line="560" w:lineRule="exact"/>
        <w:ind w:leftChars="200"/>
        <w:outlineLvl w:val="1"/>
        <w:rPr>
          <w:rFonts w:hint="eastAsia" w:ascii="Times New Roman" w:hAnsi="Times New Roman" w:eastAsia="方正仿宋_GBK" w:cs="Times New Roman"/>
          <w:sz w:val="32"/>
          <w:szCs w:val="32"/>
          <w:lang w:val="en-US" w:eastAsia="zh-CN"/>
        </w:rPr>
      </w:pPr>
      <w:bookmarkStart w:id="12" w:name="_Toc32205"/>
      <w:r>
        <w:rPr>
          <w:rFonts w:hint="eastAsia" w:ascii="Times New Roman" w:hAnsi="Times New Roman" w:eastAsia="方正仿宋_GBK" w:cs="Times New Roman"/>
          <w:sz w:val="32"/>
          <w:szCs w:val="32"/>
          <w:lang w:val="en-US" w:eastAsia="zh-CN"/>
        </w:rPr>
        <w:t>（二）预算管理体系有待完善</w:t>
      </w:r>
      <w:bookmarkEnd w:id="12"/>
    </w:p>
    <w:p>
      <w:pPr>
        <w:spacing w:line="560" w:lineRule="exact"/>
        <w:ind w:firstLine="640" w:firstLineChars="200"/>
        <w:rPr>
          <w:rFonts w:hint="eastAsia" w:ascii="Times New Roman" w:hAnsi="Times New Roman" w:eastAsia="方正仿宋_GBK" w:cs="Times New Roman"/>
          <w:color w:val="000000"/>
          <w:kern w:val="0"/>
          <w:sz w:val="32"/>
          <w:szCs w:val="32"/>
          <w:shd w:val="clear" w:color="auto" w:fill="FFFFFF"/>
          <w:lang w:val="en-US" w:eastAsia="zh-CN"/>
        </w:rPr>
      </w:pPr>
      <w:r>
        <w:rPr>
          <w:rFonts w:hint="eastAsia" w:ascii="Times New Roman" w:hAnsi="Times New Roman" w:eastAsia="方正仿宋_GBK" w:cs="Times New Roman"/>
          <w:color w:val="000000"/>
          <w:kern w:val="0"/>
          <w:sz w:val="32"/>
          <w:szCs w:val="32"/>
          <w:shd w:val="clear" w:color="auto" w:fill="FFFFFF"/>
          <w:lang w:val="en-US" w:eastAsia="zh-CN"/>
        </w:rPr>
        <w:t>我部门在日常工作中严格贯彻落实厉行节约、反对浪费精神，但未单独形成本部门的厉行节约制度，下一步工作中将建立健全厉行节约制度，不断完善本部门的预算管理体系。</w:t>
      </w:r>
    </w:p>
    <w:p>
      <w:pPr>
        <w:numPr>
          <w:ilvl w:val="0"/>
          <w:numId w:val="0"/>
        </w:numPr>
        <w:spacing w:line="560" w:lineRule="exact"/>
        <w:ind w:leftChars="200"/>
        <w:outlineLvl w:val="1"/>
        <w:rPr>
          <w:rFonts w:hint="eastAsia" w:ascii="Times New Roman" w:hAnsi="Times New Roman" w:eastAsia="方正仿宋_GBK" w:cs="Times New Roman"/>
          <w:sz w:val="32"/>
          <w:szCs w:val="32"/>
          <w:lang w:val="en-US" w:eastAsia="zh-CN"/>
        </w:rPr>
      </w:pPr>
      <w:bookmarkStart w:id="13" w:name="_Toc25023"/>
      <w:r>
        <w:rPr>
          <w:rFonts w:hint="eastAsia" w:ascii="Times New Roman" w:hAnsi="Times New Roman" w:eastAsia="方正仿宋_GBK" w:cs="Times New Roman"/>
          <w:sz w:val="32"/>
          <w:szCs w:val="32"/>
          <w:lang w:val="en-US" w:eastAsia="zh-CN"/>
        </w:rPr>
        <w:t>（三）部门工作的效益类绩效目标设立不够充分清晰</w:t>
      </w:r>
      <w:bookmarkEnd w:id="13"/>
    </w:p>
    <w:p>
      <w:pPr>
        <w:spacing w:line="560" w:lineRule="exact"/>
        <w:ind w:firstLine="640" w:firstLineChars="200"/>
        <w:rPr>
          <w:rFonts w:hint="eastAsia"/>
          <w:lang w:val="en-US" w:eastAsia="zh-CN"/>
        </w:rPr>
      </w:pPr>
      <w:r>
        <w:rPr>
          <w:rFonts w:hint="eastAsia" w:eastAsia="方正仿宋_GBK"/>
          <w:color w:val="000000"/>
          <w:kern w:val="0"/>
          <w:sz w:val="32"/>
          <w:szCs w:val="32"/>
          <w:shd w:val="clear" w:color="auto" w:fill="FFFFFF"/>
        </w:rPr>
        <w:t>效益</w:t>
      </w:r>
      <w:r>
        <w:rPr>
          <w:rFonts w:eastAsia="方正仿宋_GBK"/>
          <w:color w:val="000000"/>
          <w:kern w:val="0"/>
          <w:sz w:val="32"/>
          <w:szCs w:val="32"/>
          <w:shd w:val="clear" w:color="auto" w:fill="FFFFFF"/>
        </w:rPr>
        <w:t>目标范围略宽泛、不够具体</w:t>
      </w:r>
      <w:r>
        <w:rPr>
          <w:rFonts w:hint="eastAsia" w:eastAsia="方正仿宋_GBK"/>
          <w:color w:val="000000"/>
          <w:kern w:val="0"/>
          <w:sz w:val="32"/>
          <w:szCs w:val="32"/>
          <w:shd w:val="clear" w:color="auto" w:fill="FFFFFF"/>
        </w:rPr>
        <w:t>充分</w:t>
      </w:r>
      <w:r>
        <w:rPr>
          <w:rFonts w:eastAsia="方正仿宋_GBK"/>
          <w:color w:val="000000"/>
          <w:kern w:val="0"/>
          <w:sz w:val="32"/>
          <w:szCs w:val="32"/>
          <w:shd w:val="clear" w:color="auto" w:fill="FFFFFF"/>
        </w:rPr>
        <w:t>，</w:t>
      </w:r>
      <w:r>
        <w:rPr>
          <w:rFonts w:ascii="仿宋_GB2312" w:hAnsi="仿宋" w:eastAsia="仿宋_GB2312"/>
          <w:sz w:val="32"/>
          <w:szCs w:val="32"/>
        </w:rPr>
        <w:t>效益</w:t>
      </w:r>
      <w:r>
        <w:rPr>
          <w:rFonts w:hint="eastAsia" w:ascii="仿宋_GB2312" w:hAnsi="仿宋" w:eastAsia="仿宋_GB2312"/>
          <w:sz w:val="32"/>
          <w:szCs w:val="32"/>
        </w:rPr>
        <w:t>指标</w:t>
      </w:r>
      <w:r>
        <w:rPr>
          <w:rFonts w:ascii="仿宋_GB2312" w:hAnsi="仿宋" w:eastAsia="仿宋_GB2312"/>
          <w:sz w:val="32"/>
          <w:szCs w:val="32"/>
        </w:rPr>
        <w:t>不显著，不利于评判</w:t>
      </w:r>
      <w:r>
        <w:rPr>
          <w:rFonts w:hint="eastAsia" w:ascii="仿宋_GB2312" w:hAnsi="仿宋" w:eastAsia="仿宋_GB2312"/>
          <w:sz w:val="32"/>
          <w:szCs w:val="32"/>
        </w:rPr>
        <w:t>部门工作</w:t>
      </w:r>
      <w:r>
        <w:rPr>
          <w:rFonts w:ascii="仿宋_GB2312" w:hAnsi="仿宋" w:eastAsia="仿宋_GB2312"/>
          <w:sz w:val="32"/>
          <w:szCs w:val="32"/>
        </w:rPr>
        <w:t>带来的</w:t>
      </w:r>
      <w:r>
        <w:rPr>
          <w:rFonts w:hint="eastAsia" w:ascii="仿宋_GB2312" w:hAnsi="仿宋" w:eastAsia="仿宋_GB2312"/>
          <w:sz w:val="32"/>
          <w:szCs w:val="32"/>
        </w:rPr>
        <w:t>具体</w:t>
      </w:r>
      <w:r>
        <w:rPr>
          <w:rFonts w:ascii="仿宋_GB2312" w:hAnsi="仿宋" w:eastAsia="仿宋_GB2312"/>
          <w:sz w:val="32"/>
          <w:szCs w:val="32"/>
        </w:rPr>
        <w:t>效果</w:t>
      </w:r>
      <w:r>
        <w:rPr>
          <w:rFonts w:hint="eastAsia" w:ascii="仿宋_GB2312" w:hAnsi="仿宋" w:eastAsia="仿宋_GB2312"/>
          <w:sz w:val="32"/>
          <w:szCs w:val="32"/>
        </w:rPr>
        <w:t>及</w:t>
      </w:r>
      <w:r>
        <w:rPr>
          <w:rFonts w:hint="eastAsia" w:eastAsia="方正仿宋_GBK"/>
          <w:kern w:val="0"/>
          <w:sz w:val="32"/>
          <w:szCs w:val="32"/>
          <w:shd w:val="clear" w:color="auto" w:fill="FFFFFF"/>
        </w:rPr>
        <w:t>部门工作的完整性、相关性和可行性等方面的考核。</w:t>
      </w:r>
    </w:p>
    <w:p>
      <w:pPr>
        <w:pStyle w:val="3"/>
        <w:numPr>
          <w:numId w:val="0"/>
        </w:numPr>
        <w:rPr>
          <w:rFonts w:hint="default" w:eastAsia="宋体"/>
          <w:lang w:val="en-US" w:eastAsia="zh-CN"/>
        </w:rPr>
      </w:pPr>
    </w:p>
    <w:p>
      <w:pPr>
        <w:spacing w:line="596" w:lineRule="exact"/>
        <w:ind w:firstLine="640" w:firstLineChars="200"/>
        <w:jc w:val="right"/>
        <w:rPr>
          <w:rFonts w:hint="default" w:eastAsia="方正仿宋_GBK"/>
          <w:sz w:val="32"/>
          <w:szCs w:val="32"/>
          <w:lang w:val="en-US" w:eastAsia="zh-CN"/>
        </w:rPr>
      </w:pPr>
      <w:r>
        <w:rPr>
          <w:rFonts w:hint="default" w:eastAsia="方正仿宋_GBK"/>
          <w:sz w:val="32"/>
          <w:szCs w:val="32"/>
          <w:lang w:val="en-US" w:eastAsia="zh-CN"/>
        </w:rPr>
        <w:t>重庆市璧山区</w:t>
      </w:r>
      <w:r>
        <w:rPr>
          <w:rFonts w:hint="eastAsia" w:eastAsia="方正仿宋_GBK"/>
          <w:sz w:val="32"/>
          <w:szCs w:val="32"/>
          <w:lang w:val="en-US" w:eastAsia="zh-CN"/>
        </w:rPr>
        <w:t>经济和信息化</w:t>
      </w:r>
      <w:r>
        <w:rPr>
          <w:rFonts w:hint="default" w:eastAsia="方正仿宋_GBK"/>
          <w:sz w:val="32"/>
          <w:szCs w:val="32"/>
          <w:lang w:val="en-US" w:eastAsia="zh-CN"/>
        </w:rPr>
        <w:t>委员会</w:t>
      </w:r>
    </w:p>
    <w:p>
      <w:pPr>
        <w:spacing w:line="596" w:lineRule="exact"/>
        <w:ind w:firstLine="640" w:firstLineChars="200"/>
        <w:jc w:val="center"/>
        <w:rPr>
          <w:rFonts w:eastAsia="方正仿宋_GBK"/>
          <w:sz w:val="32"/>
          <w:szCs w:val="32"/>
        </w:rPr>
      </w:pPr>
      <w:r>
        <w:rPr>
          <w:rFonts w:hint="eastAsia" w:ascii="Times New Roman" w:hAnsi="Times New Roman" w:eastAsia="方正仿宋_GBK" w:cs="Times New Roman"/>
          <w:b w:val="0"/>
          <w:bCs w:val="0"/>
          <w:kern w:val="2"/>
          <w:sz w:val="32"/>
          <w:szCs w:val="32"/>
          <w:lang w:val="en-US" w:eastAsia="zh-CN" w:bidi="ar-SA"/>
        </w:rPr>
        <w:t xml:space="preserve">                  </w:t>
      </w:r>
      <w:bookmarkStart w:id="14" w:name="_GoBack"/>
      <w:bookmarkEnd w:id="14"/>
      <w:r>
        <w:rPr>
          <w:rFonts w:hint="eastAsia" w:ascii="Times New Roman" w:hAnsi="Times New Roman" w:eastAsia="方正仿宋_GBK" w:cs="Times New Roman"/>
          <w:b w:val="0"/>
          <w:bCs w:val="0"/>
          <w:kern w:val="2"/>
          <w:sz w:val="32"/>
          <w:szCs w:val="32"/>
          <w:lang w:val="en-US" w:eastAsia="zh-CN" w:bidi="ar-SA"/>
        </w:rPr>
        <w:t xml:space="preserve">       2022年3月</w:t>
      </w:r>
      <w:r>
        <w:rPr>
          <w:rFonts w:hint="eastAsia" w:eastAsia="方正仿宋_GBK" w:cs="Times New Roman"/>
          <w:b w:val="0"/>
          <w:bCs w:val="0"/>
          <w:kern w:val="2"/>
          <w:sz w:val="32"/>
          <w:szCs w:val="32"/>
          <w:lang w:val="en-US" w:eastAsia="zh-CN" w:bidi="ar-SA"/>
        </w:rPr>
        <w:t>28</w:t>
      </w:r>
      <w:r>
        <w:rPr>
          <w:rFonts w:hint="eastAsia" w:ascii="Times New Roman" w:hAnsi="Times New Roman" w:eastAsia="方正仿宋_GBK" w:cs="Times New Roman"/>
          <w:b w:val="0"/>
          <w:bCs w:val="0"/>
          <w:kern w:val="2"/>
          <w:sz w:val="32"/>
          <w:szCs w:val="32"/>
          <w:lang w:val="en-US" w:eastAsia="zh-CN" w:bidi="ar-SA"/>
        </w:rPr>
        <w:t>日</w:t>
      </w:r>
    </w:p>
    <w:sectPr>
      <w:pgSz w:w="11906" w:h="16838"/>
      <w:pgMar w:top="1588"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8A195"/>
    <w:multiLevelType w:val="singleLevel"/>
    <w:tmpl w:val="83B8A195"/>
    <w:lvl w:ilvl="0" w:tentative="0">
      <w:start w:val="1"/>
      <w:numFmt w:val="chineseCounting"/>
      <w:suff w:val="nothing"/>
      <w:lvlText w:val="%1、"/>
      <w:lvlJc w:val="left"/>
      <w:rPr>
        <w:rFonts w:hint="eastAsia"/>
      </w:rPr>
    </w:lvl>
  </w:abstractNum>
  <w:abstractNum w:abstractNumId="1">
    <w:nsid w:val="ED0A8C9D"/>
    <w:multiLevelType w:val="singleLevel"/>
    <w:tmpl w:val="ED0A8C9D"/>
    <w:lvl w:ilvl="0" w:tentative="0">
      <w:start w:val="9"/>
      <w:numFmt w:val="decimal"/>
      <w:lvlText w:val="%1."/>
      <w:lvlJc w:val="left"/>
      <w:pPr>
        <w:tabs>
          <w:tab w:val="left" w:pos="312"/>
        </w:tabs>
      </w:pPr>
    </w:lvl>
  </w:abstractNum>
  <w:abstractNum w:abstractNumId="2">
    <w:nsid w:val="F409A60E"/>
    <w:multiLevelType w:val="singleLevel"/>
    <w:tmpl w:val="F409A60E"/>
    <w:lvl w:ilvl="0" w:tentative="0">
      <w:start w:val="5"/>
      <w:numFmt w:val="chineseCounting"/>
      <w:suff w:val="nothing"/>
      <w:lvlText w:val="%1、"/>
      <w:lvlJc w:val="left"/>
      <w:rPr>
        <w:rFonts w:hint="eastAsia"/>
      </w:rPr>
    </w:lvl>
  </w:abstractNum>
  <w:abstractNum w:abstractNumId="3">
    <w:nsid w:val="4A0F230B"/>
    <w:multiLevelType w:val="singleLevel"/>
    <w:tmpl w:val="4A0F230B"/>
    <w:lvl w:ilvl="0" w:tentative="0">
      <w:start w:val="2"/>
      <w:numFmt w:val="chineseCounting"/>
      <w:suff w:val="nothing"/>
      <w:lvlText w:val="（%1）"/>
      <w:lvlJc w:val="left"/>
      <w:rPr>
        <w:rFonts w:hint="eastAsia"/>
      </w:rPr>
    </w:lvl>
  </w:abstractNum>
  <w:abstractNum w:abstractNumId="4">
    <w:nsid w:val="54D8AFE0"/>
    <w:multiLevelType w:val="singleLevel"/>
    <w:tmpl w:val="54D8AFE0"/>
    <w:lvl w:ilvl="0" w:tentative="0">
      <w:start w:val="4"/>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6865"/>
    <w:rsid w:val="00043A15"/>
    <w:rsid w:val="000575E2"/>
    <w:rsid w:val="00063B15"/>
    <w:rsid w:val="0009607E"/>
    <w:rsid w:val="000B5DB9"/>
    <w:rsid w:val="000C0972"/>
    <w:rsid w:val="00171AB3"/>
    <w:rsid w:val="001C3D64"/>
    <w:rsid w:val="001C641A"/>
    <w:rsid w:val="001C6822"/>
    <w:rsid w:val="001E256D"/>
    <w:rsid w:val="001E2D5B"/>
    <w:rsid w:val="00247BB1"/>
    <w:rsid w:val="002571F7"/>
    <w:rsid w:val="002641A6"/>
    <w:rsid w:val="002834C5"/>
    <w:rsid w:val="00293914"/>
    <w:rsid w:val="002C141E"/>
    <w:rsid w:val="002F6627"/>
    <w:rsid w:val="00304656"/>
    <w:rsid w:val="00333D24"/>
    <w:rsid w:val="003532F1"/>
    <w:rsid w:val="00357647"/>
    <w:rsid w:val="00365C0E"/>
    <w:rsid w:val="00381982"/>
    <w:rsid w:val="00381F5B"/>
    <w:rsid w:val="00384864"/>
    <w:rsid w:val="003B01B9"/>
    <w:rsid w:val="003E4915"/>
    <w:rsid w:val="003E75C4"/>
    <w:rsid w:val="00401B11"/>
    <w:rsid w:val="00422429"/>
    <w:rsid w:val="0043034C"/>
    <w:rsid w:val="00443E03"/>
    <w:rsid w:val="00487348"/>
    <w:rsid w:val="00497B55"/>
    <w:rsid w:val="004C051C"/>
    <w:rsid w:val="00516F77"/>
    <w:rsid w:val="00547BAD"/>
    <w:rsid w:val="00550210"/>
    <w:rsid w:val="005516E1"/>
    <w:rsid w:val="00563118"/>
    <w:rsid w:val="005A221A"/>
    <w:rsid w:val="005B5ED1"/>
    <w:rsid w:val="00606BA5"/>
    <w:rsid w:val="006417E5"/>
    <w:rsid w:val="0064309B"/>
    <w:rsid w:val="00671BB5"/>
    <w:rsid w:val="006772C6"/>
    <w:rsid w:val="006C7720"/>
    <w:rsid w:val="006C793C"/>
    <w:rsid w:val="006D100A"/>
    <w:rsid w:val="006E6E29"/>
    <w:rsid w:val="00704B56"/>
    <w:rsid w:val="00725E01"/>
    <w:rsid w:val="00732DA5"/>
    <w:rsid w:val="00770339"/>
    <w:rsid w:val="0077453E"/>
    <w:rsid w:val="007B27A0"/>
    <w:rsid w:val="007C2693"/>
    <w:rsid w:val="007D04AB"/>
    <w:rsid w:val="007D7B0E"/>
    <w:rsid w:val="007E54DF"/>
    <w:rsid w:val="00806211"/>
    <w:rsid w:val="00806865"/>
    <w:rsid w:val="0081273A"/>
    <w:rsid w:val="0082343D"/>
    <w:rsid w:val="00831BF0"/>
    <w:rsid w:val="00837D1D"/>
    <w:rsid w:val="00844EE6"/>
    <w:rsid w:val="00871B89"/>
    <w:rsid w:val="00880010"/>
    <w:rsid w:val="008A7625"/>
    <w:rsid w:val="008D02AF"/>
    <w:rsid w:val="008D25A0"/>
    <w:rsid w:val="009108DF"/>
    <w:rsid w:val="00974291"/>
    <w:rsid w:val="009A23DE"/>
    <w:rsid w:val="00A1196F"/>
    <w:rsid w:val="00A27343"/>
    <w:rsid w:val="00A3725D"/>
    <w:rsid w:val="00A45BE4"/>
    <w:rsid w:val="00AD0DAD"/>
    <w:rsid w:val="00AF31E0"/>
    <w:rsid w:val="00B07031"/>
    <w:rsid w:val="00B17BC3"/>
    <w:rsid w:val="00B34D05"/>
    <w:rsid w:val="00B85927"/>
    <w:rsid w:val="00BC3295"/>
    <w:rsid w:val="00BD1848"/>
    <w:rsid w:val="00BF6FF2"/>
    <w:rsid w:val="00C31CE4"/>
    <w:rsid w:val="00C77086"/>
    <w:rsid w:val="00C858DD"/>
    <w:rsid w:val="00CD33CE"/>
    <w:rsid w:val="00CF26C3"/>
    <w:rsid w:val="00D610B4"/>
    <w:rsid w:val="00D86135"/>
    <w:rsid w:val="00E05A32"/>
    <w:rsid w:val="00E225F8"/>
    <w:rsid w:val="00E25A0F"/>
    <w:rsid w:val="00E42BE7"/>
    <w:rsid w:val="00E55405"/>
    <w:rsid w:val="00E72086"/>
    <w:rsid w:val="00E91393"/>
    <w:rsid w:val="00EB0A75"/>
    <w:rsid w:val="00EF2A45"/>
    <w:rsid w:val="00F70C2E"/>
    <w:rsid w:val="00F9262E"/>
    <w:rsid w:val="00F93438"/>
    <w:rsid w:val="00FA41F0"/>
    <w:rsid w:val="00FD0041"/>
    <w:rsid w:val="00FE38F2"/>
    <w:rsid w:val="06011AD1"/>
    <w:rsid w:val="0EDF01FD"/>
    <w:rsid w:val="57EF198D"/>
    <w:rsid w:val="66EF082E"/>
    <w:rsid w:val="6EDE3926"/>
    <w:rsid w:val="72785CF9"/>
    <w:rsid w:val="79AC4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9"/>
    <w:pPr>
      <w:keepNext/>
      <w:keepLines/>
      <w:spacing w:before="240" w:after="64" w:line="320" w:lineRule="auto"/>
      <w:outlineLvl w:val="5"/>
    </w:pPr>
    <w:rPr>
      <w:rFonts w:ascii="Cambria" w:hAnsi="Cambria"/>
      <w:b/>
      <w:bCs/>
      <w:sz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cs="Arial"/>
      <w:b/>
      <w:bCs/>
      <w:sz w:val="32"/>
      <w:szCs w:val="32"/>
    </w:rPr>
  </w:style>
  <w:style w:type="paragraph" w:styleId="4">
    <w:name w:val="Body Text"/>
    <w:basedOn w:val="1"/>
    <w:uiPriority w:val="0"/>
    <w:pPr>
      <w:spacing w:after="120"/>
    </w:p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 Spacing"/>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4765</Words>
  <Characters>5016</Characters>
  <Lines>1</Lines>
  <Paragraphs>1</Paragraphs>
  <TotalTime>7</TotalTime>
  <ScaleCrop>false</ScaleCrop>
  <LinksUpToDate>false</LinksUpToDate>
  <CharactersWithSpaces>5070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2020-04-20T08:58:00Z</dcterms:created>
  <dc:creator>Administrator</dc:creator>
  <cp:lastModifiedBy>《＝倩＝》</cp:lastModifiedBy>
  <cp:lastPrinted>2020-04-20T08:58:00Z</cp:lastPrinted>
  <dcterms:modified xsi:type="dcterms:W3CDTF">2022-03-30T01:02:21Z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50A7EA65EC6A409DBEF7484BCCC4DE90</vt:lpwstr>
  </property>
</Properties>
</file>