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6" w:lineRule="exact"/>
        <w:jc w:val="left"/>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rPr>
        <w:t>附件</w:t>
      </w:r>
      <w:r>
        <w:rPr>
          <w:rFonts w:hint="eastAsia" w:ascii="方正黑体_GBK" w:hAnsi="方正黑体_GBK" w:eastAsia="方正黑体_GBK" w:cs="方正黑体_GBK"/>
          <w:sz w:val="32"/>
          <w:szCs w:val="32"/>
          <w:lang w:val="en-US" w:eastAsia="zh-CN"/>
        </w:rPr>
        <w:t>3</w:t>
      </w:r>
    </w:p>
    <w:p>
      <w:pPr>
        <w:spacing w:line="596" w:lineRule="exact"/>
        <w:jc w:val="center"/>
        <w:rPr>
          <w:rFonts w:ascii="方正仿宋_GBK" w:hAnsi="方正仿宋_GBK" w:eastAsia="方正小标宋_GBK"/>
          <w:sz w:val="44"/>
          <w:szCs w:val="32"/>
        </w:rPr>
      </w:pPr>
    </w:p>
    <w:p>
      <w:pPr>
        <w:spacing w:line="596" w:lineRule="exact"/>
        <w:jc w:val="center"/>
        <w:rPr>
          <w:rFonts w:ascii="方正仿宋_GBK" w:hAnsi="方正仿宋_GBK" w:eastAsia="方正小标宋_GBK"/>
          <w:sz w:val="44"/>
          <w:szCs w:val="32"/>
        </w:rPr>
      </w:pPr>
    </w:p>
    <w:p>
      <w:pPr>
        <w:spacing w:line="596" w:lineRule="exact"/>
        <w:jc w:val="center"/>
        <w:rPr>
          <w:rFonts w:ascii="方正仿宋_GBK" w:hAnsi="方正仿宋_GBK" w:eastAsia="方正小标宋_GBK"/>
          <w:sz w:val="44"/>
          <w:szCs w:val="32"/>
        </w:rPr>
      </w:pPr>
    </w:p>
    <w:p>
      <w:pPr>
        <w:spacing w:line="596" w:lineRule="exact"/>
        <w:jc w:val="center"/>
        <w:rPr>
          <w:rFonts w:ascii="方正仿宋_GBK" w:hAnsi="方正仿宋_GBK" w:eastAsia="方正小标宋_GBK"/>
          <w:sz w:val="44"/>
          <w:szCs w:val="32"/>
        </w:rPr>
      </w:pPr>
    </w:p>
    <w:p>
      <w:pPr>
        <w:spacing w:line="596" w:lineRule="exact"/>
        <w:jc w:val="center"/>
        <w:rPr>
          <w:rFonts w:ascii="方正仿宋_GBK" w:hAnsi="方正仿宋_GBK" w:eastAsia="方正小标宋_GBK"/>
          <w:sz w:val="44"/>
          <w:szCs w:val="32"/>
        </w:rPr>
      </w:pPr>
    </w:p>
    <w:p>
      <w:pPr>
        <w:spacing w:line="596" w:lineRule="exact"/>
        <w:jc w:val="center"/>
        <w:rPr>
          <w:rFonts w:ascii="方正仿宋_GBK" w:hAnsi="方正仿宋_GBK" w:eastAsia="方正小标宋_GBK"/>
          <w:sz w:val="44"/>
          <w:szCs w:val="32"/>
        </w:rPr>
      </w:pPr>
    </w:p>
    <w:p>
      <w:pPr>
        <w:pStyle w:val="15"/>
        <w:spacing w:line="596" w:lineRule="exact"/>
        <w:ind w:left="359" w:leftChars="171" w:firstLine="1100" w:firstLineChars="250"/>
        <w:jc w:val="center"/>
        <w:rPr>
          <w:rFonts w:ascii="方正仿宋_GBK" w:hAnsi="方正仿宋_GBK" w:eastAsia="方正小标宋_GBK"/>
          <w:sz w:val="44"/>
          <w:szCs w:val="32"/>
        </w:rPr>
      </w:pPr>
      <w:r>
        <w:rPr>
          <w:rFonts w:hint="eastAsia" w:ascii="方正仿宋_GBK" w:hAnsi="方正仿宋_GBK" w:eastAsia="方正小标宋_GBK"/>
          <w:sz w:val="44"/>
          <w:szCs w:val="32"/>
        </w:rPr>
        <w:t>重庆市璧山区城市管理局</w:t>
      </w:r>
    </w:p>
    <w:p>
      <w:pPr>
        <w:pStyle w:val="15"/>
        <w:spacing w:line="596" w:lineRule="exact"/>
        <w:ind w:left="357" w:firstLine="880"/>
        <w:jc w:val="center"/>
        <w:rPr>
          <w:rFonts w:ascii="方正仿宋_GBK" w:hAnsi="方正仿宋_GBK" w:eastAsia="方正仿宋_GBK"/>
          <w:sz w:val="32"/>
          <w:szCs w:val="32"/>
        </w:rPr>
      </w:pPr>
      <w:r>
        <w:rPr>
          <w:rFonts w:hint="eastAsia" w:eastAsia="方正小标宋_GBK"/>
          <w:sz w:val="44"/>
          <w:szCs w:val="32"/>
        </w:rPr>
        <w:t>2021</w:t>
      </w:r>
      <w:r>
        <w:rPr>
          <w:rFonts w:eastAsia="方正小标宋_GBK"/>
          <w:sz w:val="44"/>
          <w:szCs w:val="32"/>
        </w:rPr>
        <w:t>年</w:t>
      </w:r>
      <w:r>
        <w:rPr>
          <w:rFonts w:hint="eastAsia" w:eastAsia="方正小标宋_GBK"/>
          <w:sz w:val="44"/>
          <w:szCs w:val="32"/>
        </w:rPr>
        <w:t>度</w:t>
      </w:r>
      <w:r>
        <w:rPr>
          <w:rFonts w:eastAsia="方正小标宋_GBK"/>
          <w:sz w:val="44"/>
          <w:szCs w:val="32"/>
        </w:rPr>
        <w:t>整体支出绩效</w:t>
      </w:r>
      <w:r>
        <w:rPr>
          <w:rFonts w:hint="eastAsia" w:eastAsia="方正小标宋_GBK"/>
          <w:sz w:val="44"/>
          <w:szCs w:val="32"/>
        </w:rPr>
        <w:t>自评</w:t>
      </w:r>
      <w:r>
        <w:rPr>
          <w:rFonts w:eastAsia="方正小标宋_GBK"/>
          <w:sz w:val="44"/>
          <w:szCs w:val="32"/>
        </w:rPr>
        <w:t>报告</w:t>
      </w:r>
    </w:p>
    <w:p>
      <w:pPr>
        <w:pStyle w:val="15"/>
        <w:spacing w:line="596" w:lineRule="exact"/>
        <w:ind w:left="357" w:firstLine="640"/>
        <w:rPr>
          <w:rFonts w:ascii="方正仿宋_GBK" w:hAnsi="方正仿宋_GBK" w:eastAsia="方正仿宋_GBK"/>
          <w:sz w:val="32"/>
          <w:szCs w:val="32"/>
        </w:rPr>
      </w:pPr>
    </w:p>
    <w:p>
      <w:pPr>
        <w:pStyle w:val="15"/>
        <w:spacing w:line="596" w:lineRule="exact"/>
        <w:ind w:left="357" w:firstLine="640"/>
        <w:rPr>
          <w:rFonts w:ascii="方正仿宋_GBK" w:hAnsi="方正仿宋_GBK" w:eastAsia="方正仿宋_GBK"/>
          <w:sz w:val="32"/>
          <w:szCs w:val="32"/>
        </w:rPr>
      </w:pPr>
    </w:p>
    <w:p>
      <w:pPr>
        <w:pStyle w:val="15"/>
        <w:spacing w:line="596" w:lineRule="exact"/>
        <w:ind w:left="357" w:firstLine="640"/>
        <w:rPr>
          <w:rFonts w:ascii="方正仿宋_GBK" w:hAnsi="方正仿宋_GBK" w:eastAsia="方正仿宋_GBK"/>
          <w:sz w:val="32"/>
          <w:szCs w:val="32"/>
        </w:rPr>
      </w:pPr>
    </w:p>
    <w:p>
      <w:pPr>
        <w:pStyle w:val="15"/>
        <w:spacing w:line="596" w:lineRule="exact"/>
        <w:ind w:left="357" w:firstLine="640"/>
        <w:rPr>
          <w:rFonts w:ascii="方正仿宋_GBK" w:hAnsi="方正仿宋_GBK" w:eastAsia="方正仿宋_GBK"/>
          <w:sz w:val="32"/>
          <w:szCs w:val="32"/>
        </w:rPr>
      </w:pPr>
    </w:p>
    <w:p>
      <w:pPr>
        <w:pStyle w:val="15"/>
        <w:spacing w:line="596" w:lineRule="exact"/>
        <w:ind w:left="357" w:firstLine="640"/>
        <w:rPr>
          <w:rFonts w:ascii="方正仿宋_GBK" w:hAnsi="方正仿宋_GBK" w:eastAsia="方正仿宋_GBK"/>
          <w:sz w:val="32"/>
          <w:szCs w:val="32"/>
        </w:rPr>
      </w:pPr>
    </w:p>
    <w:p>
      <w:pPr>
        <w:pStyle w:val="15"/>
        <w:spacing w:line="596" w:lineRule="exact"/>
        <w:ind w:left="357" w:firstLine="640"/>
        <w:rPr>
          <w:rFonts w:ascii="方正仿宋_GBK" w:hAnsi="方正仿宋_GBK" w:eastAsia="方正仿宋_GBK"/>
          <w:sz w:val="32"/>
          <w:szCs w:val="32"/>
        </w:rPr>
      </w:pPr>
    </w:p>
    <w:p>
      <w:pPr>
        <w:pStyle w:val="15"/>
        <w:spacing w:line="596" w:lineRule="exact"/>
        <w:ind w:left="357" w:firstLine="640"/>
        <w:rPr>
          <w:rFonts w:ascii="方正仿宋_GBK" w:hAnsi="方正仿宋_GBK" w:eastAsia="方正仿宋_GBK"/>
          <w:sz w:val="32"/>
          <w:szCs w:val="32"/>
        </w:rPr>
      </w:pPr>
    </w:p>
    <w:p>
      <w:pPr>
        <w:pStyle w:val="15"/>
        <w:spacing w:line="596" w:lineRule="exact"/>
        <w:ind w:left="357" w:firstLine="640"/>
        <w:rPr>
          <w:rFonts w:ascii="方正仿宋_GBK" w:hAnsi="方正仿宋_GBK" w:eastAsia="方正仿宋_GBK"/>
          <w:sz w:val="32"/>
          <w:szCs w:val="32"/>
        </w:rPr>
      </w:pPr>
    </w:p>
    <w:p>
      <w:pPr>
        <w:pStyle w:val="15"/>
        <w:spacing w:line="596" w:lineRule="exact"/>
        <w:ind w:left="357" w:firstLine="640"/>
        <w:rPr>
          <w:rFonts w:ascii="方正仿宋_GBK" w:hAnsi="方正仿宋_GBK" w:eastAsia="方正仿宋_GBK"/>
          <w:sz w:val="32"/>
          <w:szCs w:val="32"/>
        </w:rPr>
      </w:pPr>
    </w:p>
    <w:p>
      <w:pPr>
        <w:pStyle w:val="15"/>
        <w:spacing w:line="596" w:lineRule="exact"/>
        <w:ind w:left="357" w:firstLine="640"/>
        <w:rPr>
          <w:rFonts w:ascii="方正仿宋_GBK" w:hAnsi="方正仿宋_GBK" w:eastAsia="方正仿宋_GBK"/>
          <w:sz w:val="32"/>
          <w:szCs w:val="32"/>
        </w:rPr>
      </w:pPr>
    </w:p>
    <w:p>
      <w:pPr>
        <w:pStyle w:val="15"/>
        <w:spacing w:line="596" w:lineRule="exact"/>
        <w:ind w:left="357" w:firstLine="640"/>
        <w:rPr>
          <w:rFonts w:ascii="方正仿宋_GBK" w:hAnsi="方正仿宋_GBK" w:eastAsia="方正仿宋_GBK"/>
          <w:sz w:val="32"/>
          <w:szCs w:val="32"/>
        </w:rPr>
      </w:pPr>
    </w:p>
    <w:p>
      <w:pPr>
        <w:pStyle w:val="2"/>
        <w:rPr>
          <w:rFonts w:ascii="方正仿宋_GBK" w:hAnsi="方正仿宋_GBK" w:eastAsia="方正小标宋_GBK" w:cs="方正小标宋_GBK"/>
          <w:sz w:val="32"/>
          <w:szCs w:val="32"/>
        </w:rPr>
      </w:pPr>
    </w:p>
    <w:p/>
    <w:sdt>
      <w:sdtPr>
        <w:rPr>
          <w:rFonts w:hint="eastAsia" w:ascii="方正仿宋_GBK" w:hAnsi="方正仿宋_GBK" w:eastAsia="方正小标宋_GBK" w:cs="方正小标宋_GBK"/>
          <w:sz w:val="32"/>
          <w:szCs w:val="32"/>
        </w:rPr>
        <w:id w:val="147459531"/>
        <w:docPartObj>
          <w:docPartGallery w:val="Table of Contents"/>
          <w:docPartUnique/>
        </w:docPartObj>
      </w:sdtPr>
      <w:sdtEndPr>
        <w:rPr>
          <w:rFonts w:hint="eastAsia" w:ascii="方正仿宋_GBK" w:hAnsi="方正仿宋_GBK" w:eastAsia="方正小标宋_GBK" w:cs="方正小标宋_GBK"/>
          <w:sz w:val="32"/>
          <w:szCs w:val="32"/>
        </w:rPr>
      </w:sdtEndPr>
      <w:sdtContent>
        <w:p>
          <w:pPr>
            <w:jc w:val="center"/>
            <w:rPr>
              <w:rFonts w:ascii="方正仿宋_GBK" w:hAnsi="方正仿宋_GBK" w:eastAsia="方正小标宋_GBK" w:cs="方正小标宋_GBK"/>
              <w:sz w:val="32"/>
              <w:szCs w:val="32"/>
            </w:rPr>
          </w:pPr>
          <w:r>
            <w:rPr>
              <w:rFonts w:hint="eastAsia" w:ascii="方正仿宋_GBK" w:hAnsi="方正仿宋_GBK" w:eastAsia="方正小标宋_GBK" w:cs="方正小标宋_GBK"/>
              <w:sz w:val="32"/>
              <w:szCs w:val="32"/>
            </w:rPr>
            <w:t>目录</w:t>
          </w:r>
        </w:p>
        <w:p>
          <w:pPr>
            <w:pStyle w:val="7"/>
            <w:tabs>
              <w:tab w:val="right" w:leader="dot" w:pos="8958"/>
            </w:tabs>
            <w:rPr>
              <w:rFonts w:ascii="方正仿宋_GBK" w:hAnsi="方正仿宋_GBK"/>
              <w:sz w:val="32"/>
              <w:szCs w:val="32"/>
            </w:rPr>
          </w:pP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TOC \o "1-3" \h \u </w:instrText>
          </w:r>
          <w:r>
            <w:rPr>
              <w:rFonts w:hint="eastAsia" w:ascii="方正仿宋_GBK" w:hAnsi="方正仿宋_GBK" w:eastAsia="方正仿宋_GBK" w:cs="方正仿宋_GBK"/>
              <w:sz w:val="32"/>
              <w:szCs w:val="32"/>
            </w:rPr>
            <w:fldChar w:fldCharType="separate"/>
          </w:r>
          <w:r>
            <w:fldChar w:fldCharType="begin"/>
          </w:r>
          <w:r>
            <w:instrText xml:space="preserve"> HYPERLINK \l "_Toc16328" </w:instrText>
          </w:r>
          <w:r>
            <w:fldChar w:fldCharType="separate"/>
          </w:r>
          <w:r>
            <w:rPr>
              <w:rFonts w:ascii="方正仿宋_GBK" w:hAnsi="方正仿宋_GBK" w:eastAsia="方正黑体_GBK"/>
              <w:sz w:val="32"/>
              <w:szCs w:val="32"/>
            </w:rPr>
            <w:t>一、基本</w:t>
          </w:r>
          <w:r>
            <w:rPr>
              <w:rFonts w:hint="eastAsia" w:ascii="方正仿宋_GBK" w:hAnsi="方正仿宋_GBK" w:eastAsia="方正黑体_GBK"/>
              <w:sz w:val="32"/>
              <w:szCs w:val="32"/>
            </w:rPr>
            <w:t>情况</w:t>
          </w:r>
          <w:r>
            <w:rPr>
              <w:rFonts w:ascii="方正仿宋_GBK" w:hAnsi="方正仿宋_GBK"/>
              <w:sz w:val="32"/>
              <w:szCs w:val="32"/>
            </w:rPr>
            <w:tab/>
          </w:r>
          <w:r>
            <w:rPr>
              <w:rFonts w:ascii="方正仿宋_GBK" w:hAnsi="方正仿宋_GBK"/>
              <w:sz w:val="32"/>
              <w:szCs w:val="32"/>
            </w:rPr>
            <w:fldChar w:fldCharType="begin"/>
          </w:r>
          <w:r>
            <w:rPr>
              <w:rFonts w:ascii="方正仿宋_GBK" w:hAnsi="方正仿宋_GBK"/>
              <w:sz w:val="32"/>
              <w:szCs w:val="32"/>
            </w:rPr>
            <w:instrText xml:space="preserve"> PAGEREF _Toc16328 \h </w:instrText>
          </w:r>
          <w:r>
            <w:rPr>
              <w:rFonts w:ascii="方正仿宋_GBK" w:hAnsi="方正仿宋_GBK"/>
              <w:sz w:val="32"/>
              <w:szCs w:val="32"/>
            </w:rPr>
            <w:fldChar w:fldCharType="separate"/>
          </w:r>
          <w:r>
            <w:rPr>
              <w:rFonts w:ascii="方正仿宋_GBK" w:hAnsi="方正仿宋_GBK"/>
              <w:sz w:val="32"/>
              <w:szCs w:val="32"/>
            </w:rPr>
            <w:t>1</w:t>
          </w:r>
          <w:r>
            <w:rPr>
              <w:rFonts w:ascii="方正仿宋_GBK" w:hAnsi="方正仿宋_GBK"/>
              <w:sz w:val="32"/>
              <w:szCs w:val="32"/>
            </w:rPr>
            <w:fldChar w:fldCharType="end"/>
          </w:r>
          <w:r>
            <w:rPr>
              <w:rFonts w:ascii="方正仿宋_GBK" w:hAnsi="方正仿宋_GBK"/>
              <w:sz w:val="32"/>
              <w:szCs w:val="32"/>
            </w:rPr>
            <w:fldChar w:fldCharType="end"/>
          </w:r>
        </w:p>
        <w:p>
          <w:pPr>
            <w:pStyle w:val="8"/>
            <w:tabs>
              <w:tab w:val="right" w:leader="dot" w:pos="8958"/>
            </w:tabs>
            <w:rPr>
              <w:rFonts w:ascii="方正仿宋_GBK" w:hAnsi="方正仿宋_GBK"/>
              <w:sz w:val="32"/>
              <w:szCs w:val="32"/>
            </w:rPr>
          </w:pPr>
          <w:r>
            <w:fldChar w:fldCharType="begin"/>
          </w:r>
          <w:r>
            <w:instrText xml:space="preserve"> HYPERLINK \l "_Toc11310" </w:instrText>
          </w:r>
          <w:r>
            <w:fldChar w:fldCharType="separate"/>
          </w:r>
          <w:r>
            <w:rPr>
              <w:rFonts w:ascii="方正仿宋_GBK" w:hAnsi="方正仿宋_GBK" w:eastAsia="方正仿宋_GBK"/>
              <w:sz w:val="32"/>
              <w:szCs w:val="32"/>
            </w:rPr>
            <w:t>（一）</w:t>
          </w:r>
          <w:r>
            <w:rPr>
              <w:rFonts w:hint="eastAsia" w:ascii="方正仿宋_GBK" w:hAnsi="方正仿宋_GBK" w:eastAsia="方正仿宋_GBK"/>
              <w:sz w:val="32"/>
              <w:szCs w:val="32"/>
            </w:rPr>
            <w:t>部门基本情况</w:t>
          </w:r>
          <w:r>
            <w:rPr>
              <w:rFonts w:ascii="方正仿宋_GBK" w:hAnsi="方正仿宋_GBK"/>
              <w:sz w:val="32"/>
              <w:szCs w:val="32"/>
            </w:rPr>
            <w:tab/>
          </w:r>
          <w:r>
            <w:rPr>
              <w:rFonts w:ascii="方正仿宋_GBK" w:hAnsi="方正仿宋_GBK"/>
              <w:sz w:val="32"/>
              <w:szCs w:val="32"/>
            </w:rPr>
            <w:fldChar w:fldCharType="begin"/>
          </w:r>
          <w:r>
            <w:rPr>
              <w:rFonts w:ascii="方正仿宋_GBK" w:hAnsi="方正仿宋_GBK"/>
              <w:sz w:val="32"/>
              <w:szCs w:val="32"/>
            </w:rPr>
            <w:instrText xml:space="preserve"> PAGEREF _Toc11310 \h </w:instrText>
          </w:r>
          <w:r>
            <w:rPr>
              <w:rFonts w:ascii="方正仿宋_GBK" w:hAnsi="方正仿宋_GBK"/>
              <w:sz w:val="32"/>
              <w:szCs w:val="32"/>
            </w:rPr>
            <w:fldChar w:fldCharType="separate"/>
          </w:r>
          <w:r>
            <w:rPr>
              <w:rFonts w:ascii="方正仿宋_GBK" w:hAnsi="方正仿宋_GBK"/>
              <w:sz w:val="32"/>
              <w:szCs w:val="32"/>
            </w:rPr>
            <w:t>1</w:t>
          </w:r>
          <w:r>
            <w:rPr>
              <w:rFonts w:ascii="方正仿宋_GBK" w:hAnsi="方正仿宋_GBK"/>
              <w:sz w:val="32"/>
              <w:szCs w:val="32"/>
            </w:rPr>
            <w:fldChar w:fldCharType="end"/>
          </w:r>
          <w:r>
            <w:rPr>
              <w:rFonts w:ascii="方正仿宋_GBK" w:hAnsi="方正仿宋_GBK"/>
              <w:sz w:val="32"/>
              <w:szCs w:val="32"/>
            </w:rPr>
            <w:fldChar w:fldCharType="end"/>
          </w:r>
        </w:p>
        <w:p>
          <w:pPr>
            <w:pStyle w:val="3"/>
            <w:tabs>
              <w:tab w:val="right" w:leader="dot" w:pos="8958"/>
            </w:tabs>
            <w:rPr>
              <w:rFonts w:ascii="方正仿宋_GBK" w:hAnsi="方正仿宋_GBK"/>
              <w:sz w:val="32"/>
              <w:szCs w:val="32"/>
            </w:rPr>
          </w:pPr>
          <w:r>
            <w:fldChar w:fldCharType="begin"/>
          </w:r>
          <w:r>
            <w:instrText xml:space="preserve"> HYPERLINK \l "_Toc15164" </w:instrText>
          </w:r>
          <w:r>
            <w:fldChar w:fldCharType="separate"/>
          </w:r>
          <w:r>
            <w:rPr>
              <w:rFonts w:hint="eastAsia" w:ascii="方正仿宋_GBK" w:hAnsi="方正仿宋_GBK" w:eastAsia="方正仿宋_GBK" w:cs="方正仿宋_GBK"/>
              <w:sz w:val="32"/>
              <w:szCs w:val="32"/>
            </w:rPr>
            <w:t>1、部门职级</w:t>
          </w:r>
          <w:r>
            <w:rPr>
              <w:rFonts w:ascii="方正仿宋_GBK" w:hAnsi="方正仿宋_GBK"/>
              <w:sz w:val="32"/>
              <w:szCs w:val="32"/>
            </w:rPr>
            <w:tab/>
          </w:r>
          <w:r>
            <w:rPr>
              <w:rFonts w:ascii="方正仿宋_GBK" w:hAnsi="方正仿宋_GBK"/>
              <w:sz w:val="32"/>
              <w:szCs w:val="32"/>
            </w:rPr>
            <w:fldChar w:fldCharType="begin"/>
          </w:r>
          <w:r>
            <w:rPr>
              <w:rFonts w:ascii="方正仿宋_GBK" w:hAnsi="方正仿宋_GBK"/>
              <w:sz w:val="32"/>
              <w:szCs w:val="32"/>
            </w:rPr>
            <w:instrText xml:space="preserve"> PAGEREF _Toc15164 \h </w:instrText>
          </w:r>
          <w:r>
            <w:rPr>
              <w:rFonts w:ascii="方正仿宋_GBK" w:hAnsi="方正仿宋_GBK"/>
              <w:sz w:val="32"/>
              <w:szCs w:val="32"/>
            </w:rPr>
            <w:fldChar w:fldCharType="separate"/>
          </w:r>
          <w:r>
            <w:rPr>
              <w:rFonts w:ascii="方正仿宋_GBK" w:hAnsi="方正仿宋_GBK"/>
              <w:sz w:val="32"/>
              <w:szCs w:val="32"/>
            </w:rPr>
            <w:t>1</w:t>
          </w:r>
          <w:r>
            <w:rPr>
              <w:rFonts w:ascii="方正仿宋_GBK" w:hAnsi="方正仿宋_GBK"/>
              <w:sz w:val="32"/>
              <w:szCs w:val="32"/>
            </w:rPr>
            <w:fldChar w:fldCharType="end"/>
          </w:r>
          <w:r>
            <w:rPr>
              <w:rFonts w:ascii="方正仿宋_GBK" w:hAnsi="方正仿宋_GBK"/>
              <w:sz w:val="32"/>
              <w:szCs w:val="32"/>
            </w:rPr>
            <w:fldChar w:fldCharType="end"/>
          </w:r>
        </w:p>
        <w:p>
          <w:pPr>
            <w:pStyle w:val="3"/>
            <w:tabs>
              <w:tab w:val="right" w:leader="dot" w:pos="8958"/>
            </w:tabs>
            <w:rPr>
              <w:rFonts w:ascii="方正仿宋_GBK" w:hAnsi="方正仿宋_GBK"/>
              <w:sz w:val="32"/>
              <w:szCs w:val="32"/>
            </w:rPr>
          </w:pPr>
          <w:r>
            <w:fldChar w:fldCharType="begin"/>
          </w:r>
          <w:r>
            <w:instrText xml:space="preserve"> HYPERLINK \l "_Toc11835" </w:instrText>
          </w:r>
          <w:r>
            <w:fldChar w:fldCharType="separate"/>
          </w:r>
          <w:r>
            <w:rPr>
              <w:rFonts w:hint="eastAsia" w:ascii="方正仿宋_GBK" w:hAnsi="方正仿宋_GBK" w:eastAsia="方正仿宋_GBK" w:cs="方正仿宋_GBK"/>
              <w:sz w:val="32"/>
              <w:szCs w:val="32"/>
            </w:rPr>
            <w:t>2、内设机构及编制</w:t>
          </w:r>
          <w:r>
            <w:rPr>
              <w:rFonts w:ascii="方正仿宋_GBK" w:hAnsi="方正仿宋_GBK"/>
              <w:sz w:val="32"/>
              <w:szCs w:val="32"/>
            </w:rPr>
            <w:tab/>
          </w:r>
          <w:r>
            <w:rPr>
              <w:rFonts w:ascii="方正仿宋_GBK" w:hAnsi="方正仿宋_GBK"/>
              <w:sz w:val="32"/>
              <w:szCs w:val="32"/>
            </w:rPr>
            <w:fldChar w:fldCharType="begin"/>
          </w:r>
          <w:r>
            <w:rPr>
              <w:rFonts w:ascii="方正仿宋_GBK" w:hAnsi="方正仿宋_GBK"/>
              <w:sz w:val="32"/>
              <w:szCs w:val="32"/>
            </w:rPr>
            <w:instrText xml:space="preserve"> PAGEREF _Toc11835 \h </w:instrText>
          </w:r>
          <w:r>
            <w:rPr>
              <w:rFonts w:ascii="方正仿宋_GBK" w:hAnsi="方正仿宋_GBK"/>
              <w:sz w:val="32"/>
              <w:szCs w:val="32"/>
            </w:rPr>
            <w:fldChar w:fldCharType="separate"/>
          </w:r>
          <w:r>
            <w:rPr>
              <w:rFonts w:ascii="方正仿宋_GBK" w:hAnsi="方正仿宋_GBK"/>
              <w:sz w:val="32"/>
              <w:szCs w:val="32"/>
            </w:rPr>
            <w:t>1</w:t>
          </w:r>
          <w:r>
            <w:rPr>
              <w:rFonts w:ascii="方正仿宋_GBK" w:hAnsi="方正仿宋_GBK"/>
              <w:sz w:val="32"/>
              <w:szCs w:val="32"/>
            </w:rPr>
            <w:fldChar w:fldCharType="end"/>
          </w:r>
          <w:r>
            <w:rPr>
              <w:rFonts w:ascii="方正仿宋_GBK" w:hAnsi="方正仿宋_GBK"/>
              <w:sz w:val="32"/>
              <w:szCs w:val="32"/>
            </w:rPr>
            <w:fldChar w:fldCharType="end"/>
          </w:r>
        </w:p>
        <w:p>
          <w:pPr>
            <w:pStyle w:val="3"/>
            <w:tabs>
              <w:tab w:val="right" w:leader="dot" w:pos="8958"/>
            </w:tabs>
            <w:rPr>
              <w:rFonts w:ascii="方正仿宋_GBK" w:hAnsi="方正仿宋_GBK"/>
              <w:sz w:val="32"/>
              <w:szCs w:val="32"/>
            </w:rPr>
          </w:pPr>
          <w:r>
            <w:fldChar w:fldCharType="begin"/>
          </w:r>
          <w:r>
            <w:instrText xml:space="preserve"> HYPERLINK \l "_Toc24053" </w:instrText>
          </w:r>
          <w:r>
            <w:fldChar w:fldCharType="separate"/>
          </w:r>
          <w:r>
            <w:rPr>
              <w:rFonts w:hint="eastAsia" w:ascii="方正仿宋_GBK" w:hAnsi="方正仿宋_GBK" w:eastAsia="方正仿宋_GBK" w:cs="方正仿宋_GBK"/>
              <w:sz w:val="32"/>
              <w:szCs w:val="32"/>
            </w:rPr>
            <w:t>3、职能职责</w:t>
          </w:r>
          <w:r>
            <w:rPr>
              <w:rFonts w:ascii="方正仿宋_GBK" w:hAnsi="方正仿宋_GBK"/>
              <w:sz w:val="32"/>
              <w:szCs w:val="32"/>
            </w:rPr>
            <w:tab/>
          </w:r>
          <w:r>
            <w:rPr>
              <w:rFonts w:ascii="方正仿宋_GBK" w:hAnsi="方正仿宋_GBK"/>
              <w:sz w:val="32"/>
              <w:szCs w:val="32"/>
            </w:rPr>
            <w:fldChar w:fldCharType="begin"/>
          </w:r>
          <w:r>
            <w:rPr>
              <w:rFonts w:ascii="方正仿宋_GBK" w:hAnsi="方正仿宋_GBK"/>
              <w:sz w:val="32"/>
              <w:szCs w:val="32"/>
            </w:rPr>
            <w:instrText xml:space="preserve"> PAGEREF _Toc24053 \h </w:instrText>
          </w:r>
          <w:r>
            <w:rPr>
              <w:rFonts w:ascii="方正仿宋_GBK" w:hAnsi="方正仿宋_GBK"/>
              <w:sz w:val="32"/>
              <w:szCs w:val="32"/>
            </w:rPr>
            <w:fldChar w:fldCharType="separate"/>
          </w:r>
          <w:r>
            <w:rPr>
              <w:rFonts w:ascii="方正仿宋_GBK" w:hAnsi="方正仿宋_GBK"/>
              <w:sz w:val="32"/>
              <w:szCs w:val="32"/>
            </w:rPr>
            <w:t>4</w:t>
          </w:r>
          <w:r>
            <w:rPr>
              <w:rFonts w:ascii="方正仿宋_GBK" w:hAnsi="方正仿宋_GBK"/>
              <w:sz w:val="32"/>
              <w:szCs w:val="32"/>
            </w:rPr>
            <w:fldChar w:fldCharType="end"/>
          </w:r>
          <w:r>
            <w:rPr>
              <w:rFonts w:ascii="方正仿宋_GBK" w:hAnsi="方正仿宋_GBK"/>
              <w:sz w:val="32"/>
              <w:szCs w:val="32"/>
            </w:rPr>
            <w:fldChar w:fldCharType="end"/>
          </w:r>
        </w:p>
        <w:p>
          <w:pPr>
            <w:pStyle w:val="8"/>
            <w:tabs>
              <w:tab w:val="right" w:leader="dot" w:pos="8958"/>
            </w:tabs>
            <w:rPr>
              <w:rFonts w:ascii="方正仿宋_GBK" w:hAnsi="方正仿宋_GBK"/>
              <w:sz w:val="32"/>
              <w:szCs w:val="32"/>
            </w:rPr>
          </w:pPr>
          <w:r>
            <w:fldChar w:fldCharType="begin"/>
          </w:r>
          <w:r>
            <w:instrText xml:space="preserve"> HYPERLINK \l "_Toc14611" </w:instrText>
          </w:r>
          <w:r>
            <w:fldChar w:fldCharType="separate"/>
          </w:r>
          <w:r>
            <w:rPr>
              <w:rFonts w:ascii="方正仿宋_GBK" w:hAnsi="方正仿宋_GBK" w:eastAsia="方正仿宋_GBK"/>
              <w:sz w:val="32"/>
              <w:szCs w:val="32"/>
            </w:rPr>
            <w:t>（二）</w:t>
          </w:r>
          <w:r>
            <w:rPr>
              <w:rFonts w:hint="eastAsia" w:ascii="方正仿宋_GBK" w:hAnsi="方正仿宋_GBK" w:eastAsia="方正仿宋_GBK"/>
              <w:sz w:val="32"/>
              <w:szCs w:val="32"/>
            </w:rPr>
            <w:t>预算及支出情况</w:t>
          </w:r>
          <w:r>
            <w:rPr>
              <w:rFonts w:ascii="方正仿宋_GBK" w:hAnsi="方正仿宋_GBK"/>
              <w:sz w:val="32"/>
              <w:szCs w:val="32"/>
            </w:rPr>
            <w:tab/>
          </w:r>
          <w:r>
            <w:rPr>
              <w:rFonts w:ascii="方正仿宋_GBK" w:hAnsi="方正仿宋_GBK"/>
              <w:sz w:val="32"/>
              <w:szCs w:val="32"/>
            </w:rPr>
            <w:fldChar w:fldCharType="begin"/>
          </w:r>
          <w:r>
            <w:rPr>
              <w:rFonts w:ascii="方正仿宋_GBK" w:hAnsi="方正仿宋_GBK"/>
              <w:sz w:val="32"/>
              <w:szCs w:val="32"/>
            </w:rPr>
            <w:instrText xml:space="preserve"> PAGEREF _Toc14611 \h </w:instrText>
          </w:r>
          <w:r>
            <w:rPr>
              <w:rFonts w:ascii="方正仿宋_GBK" w:hAnsi="方正仿宋_GBK"/>
              <w:sz w:val="32"/>
              <w:szCs w:val="32"/>
            </w:rPr>
            <w:fldChar w:fldCharType="separate"/>
          </w:r>
          <w:r>
            <w:rPr>
              <w:rFonts w:ascii="方正仿宋_GBK" w:hAnsi="方正仿宋_GBK"/>
              <w:sz w:val="32"/>
              <w:szCs w:val="32"/>
            </w:rPr>
            <w:t>7</w:t>
          </w:r>
          <w:r>
            <w:rPr>
              <w:rFonts w:ascii="方正仿宋_GBK" w:hAnsi="方正仿宋_GBK"/>
              <w:sz w:val="32"/>
              <w:szCs w:val="32"/>
            </w:rPr>
            <w:fldChar w:fldCharType="end"/>
          </w:r>
          <w:r>
            <w:rPr>
              <w:rFonts w:ascii="方正仿宋_GBK" w:hAnsi="方正仿宋_GBK"/>
              <w:sz w:val="32"/>
              <w:szCs w:val="32"/>
            </w:rPr>
            <w:fldChar w:fldCharType="end"/>
          </w:r>
        </w:p>
        <w:p>
          <w:pPr>
            <w:pStyle w:val="3"/>
            <w:tabs>
              <w:tab w:val="right" w:leader="dot" w:pos="8958"/>
            </w:tabs>
            <w:rPr>
              <w:rFonts w:ascii="方正仿宋_GBK" w:hAnsi="方正仿宋_GBK"/>
              <w:sz w:val="32"/>
              <w:szCs w:val="32"/>
            </w:rPr>
          </w:pPr>
          <w:r>
            <w:fldChar w:fldCharType="begin"/>
          </w:r>
          <w:r>
            <w:instrText xml:space="preserve"> HYPERLINK \l "_Toc7044" </w:instrText>
          </w:r>
          <w:r>
            <w:fldChar w:fldCharType="separate"/>
          </w:r>
          <w:r>
            <w:rPr>
              <w:rFonts w:hint="eastAsia" w:ascii="方正仿宋_GBK" w:hAnsi="方正仿宋_GBK" w:eastAsia="方正仿宋_GBK" w:cs="方正仿宋_GBK"/>
              <w:sz w:val="32"/>
              <w:szCs w:val="32"/>
            </w:rPr>
            <w:t>1、财政资金整体支出</w:t>
          </w:r>
          <w:r>
            <w:rPr>
              <w:rFonts w:ascii="方正仿宋_GBK" w:hAnsi="方正仿宋_GBK"/>
              <w:sz w:val="32"/>
              <w:szCs w:val="32"/>
            </w:rPr>
            <w:tab/>
          </w:r>
          <w:r>
            <w:rPr>
              <w:rFonts w:ascii="方正仿宋_GBK" w:hAnsi="方正仿宋_GBK"/>
              <w:sz w:val="32"/>
              <w:szCs w:val="32"/>
            </w:rPr>
            <w:fldChar w:fldCharType="begin"/>
          </w:r>
          <w:r>
            <w:rPr>
              <w:rFonts w:ascii="方正仿宋_GBK" w:hAnsi="方正仿宋_GBK"/>
              <w:sz w:val="32"/>
              <w:szCs w:val="32"/>
            </w:rPr>
            <w:instrText xml:space="preserve"> PAGEREF _Toc7044 \h </w:instrText>
          </w:r>
          <w:r>
            <w:rPr>
              <w:rFonts w:ascii="方正仿宋_GBK" w:hAnsi="方正仿宋_GBK"/>
              <w:sz w:val="32"/>
              <w:szCs w:val="32"/>
            </w:rPr>
            <w:fldChar w:fldCharType="separate"/>
          </w:r>
          <w:r>
            <w:rPr>
              <w:rFonts w:ascii="方正仿宋_GBK" w:hAnsi="方正仿宋_GBK"/>
              <w:sz w:val="32"/>
              <w:szCs w:val="32"/>
            </w:rPr>
            <w:t>7</w:t>
          </w:r>
          <w:r>
            <w:rPr>
              <w:rFonts w:ascii="方正仿宋_GBK" w:hAnsi="方正仿宋_GBK"/>
              <w:sz w:val="32"/>
              <w:szCs w:val="32"/>
            </w:rPr>
            <w:fldChar w:fldCharType="end"/>
          </w:r>
          <w:r>
            <w:rPr>
              <w:rFonts w:ascii="方正仿宋_GBK" w:hAnsi="方正仿宋_GBK"/>
              <w:sz w:val="32"/>
              <w:szCs w:val="32"/>
            </w:rPr>
            <w:fldChar w:fldCharType="end"/>
          </w:r>
        </w:p>
        <w:p>
          <w:pPr>
            <w:pStyle w:val="3"/>
            <w:tabs>
              <w:tab w:val="right" w:leader="dot" w:pos="8958"/>
            </w:tabs>
            <w:rPr>
              <w:rFonts w:ascii="方正仿宋_GBK" w:hAnsi="方正仿宋_GBK"/>
              <w:sz w:val="32"/>
              <w:szCs w:val="32"/>
            </w:rPr>
          </w:pPr>
          <w:r>
            <w:fldChar w:fldCharType="begin"/>
          </w:r>
          <w:r>
            <w:instrText xml:space="preserve"> HYPERLINK \l "_Toc16582" </w:instrText>
          </w:r>
          <w:r>
            <w:fldChar w:fldCharType="separate"/>
          </w:r>
          <w:r>
            <w:rPr>
              <w:rFonts w:hint="eastAsia" w:ascii="方正仿宋_GBK" w:hAnsi="方正仿宋_GBK" w:eastAsia="方正仿宋_GBK" w:cs="方正仿宋_GBK"/>
              <w:sz w:val="32"/>
              <w:szCs w:val="32"/>
            </w:rPr>
            <w:t>2、部门“三公”经费支出</w:t>
          </w:r>
          <w:r>
            <w:rPr>
              <w:rFonts w:ascii="方正仿宋_GBK" w:hAnsi="方正仿宋_GBK"/>
              <w:sz w:val="32"/>
              <w:szCs w:val="32"/>
            </w:rPr>
            <w:tab/>
          </w:r>
          <w:r>
            <w:rPr>
              <w:rFonts w:ascii="方正仿宋_GBK" w:hAnsi="方正仿宋_GBK"/>
              <w:sz w:val="32"/>
              <w:szCs w:val="32"/>
            </w:rPr>
            <w:fldChar w:fldCharType="begin"/>
          </w:r>
          <w:r>
            <w:rPr>
              <w:rFonts w:ascii="方正仿宋_GBK" w:hAnsi="方正仿宋_GBK"/>
              <w:sz w:val="32"/>
              <w:szCs w:val="32"/>
            </w:rPr>
            <w:instrText xml:space="preserve"> PAGEREF _Toc16582 \h </w:instrText>
          </w:r>
          <w:r>
            <w:rPr>
              <w:rFonts w:ascii="方正仿宋_GBK" w:hAnsi="方正仿宋_GBK"/>
              <w:sz w:val="32"/>
              <w:szCs w:val="32"/>
            </w:rPr>
            <w:fldChar w:fldCharType="separate"/>
          </w:r>
          <w:r>
            <w:rPr>
              <w:rFonts w:ascii="方正仿宋_GBK" w:hAnsi="方正仿宋_GBK"/>
              <w:sz w:val="32"/>
              <w:szCs w:val="32"/>
            </w:rPr>
            <w:t>7</w:t>
          </w:r>
          <w:r>
            <w:rPr>
              <w:rFonts w:ascii="方正仿宋_GBK" w:hAnsi="方正仿宋_GBK"/>
              <w:sz w:val="32"/>
              <w:szCs w:val="32"/>
            </w:rPr>
            <w:fldChar w:fldCharType="end"/>
          </w:r>
          <w:r>
            <w:rPr>
              <w:rFonts w:ascii="方正仿宋_GBK" w:hAnsi="方正仿宋_GBK"/>
              <w:sz w:val="32"/>
              <w:szCs w:val="32"/>
            </w:rPr>
            <w:fldChar w:fldCharType="end"/>
          </w:r>
        </w:p>
        <w:p>
          <w:pPr>
            <w:pStyle w:val="7"/>
            <w:tabs>
              <w:tab w:val="right" w:leader="dot" w:pos="8958"/>
            </w:tabs>
            <w:rPr>
              <w:rFonts w:ascii="方正仿宋_GBK" w:hAnsi="方正仿宋_GBK"/>
              <w:sz w:val="32"/>
              <w:szCs w:val="32"/>
            </w:rPr>
          </w:pPr>
          <w:r>
            <w:fldChar w:fldCharType="begin"/>
          </w:r>
          <w:r>
            <w:instrText xml:space="preserve"> HYPERLINK \l "_Toc13170" </w:instrText>
          </w:r>
          <w:r>
            <w:fldChar w:fldCharType="separate"/>
          </w:r>
          <w:r>
            <w:rPr>
              <w:rFonts w:ascii="方正仿宋_GBK" w:hAnsi="方正仿宋_GBK" w:eastAsia="方正黑体_GBK"/>
              <w:sz w:val="32"/>
              <w:szCs w:val="32"/>
            </w:rPr>
            <w:t>二、绩效评价</w:t>
          </w:r>
          <w:r>
            <w:rPr>
              <w:rFonts w:hint="eastAsia" w:ascii="方正仿宋_GBK" w:hAnsi="方正仿宋_GBK" w:eastAsia="方正黑体_GBK"/>
              <w:sz w:val="32"/>
              <w:szCs w:val="32"/>
            </w:rPr>
            <w:t>基本</w:t>
          </w:r>
          <w:r>
            <w:rPr>
              <w:rFonts w:ascii="方正仿宋_GBK" w:hAnsi="方正仿宋_GBK" w:eastAsia="方正黑体_GBK"/>
              <w:sz w:val="32"/>
              <w:szCs w:val="32"/>
            </w:rPr>
            <w:t>情况</w:t>
          </w:r>
          <w:r>
            <w:rPr>
              <w:rFonts w:ascii="方正仿宋_GBK" w:hAnsi="方正仿宋_GBK"/>
              <w:sz w:val="32"/>
              <w:szCs w:val="32"/>
            </w:rPr>
            <w:tab/>
          </w:r>
          <w:r>
            <w:rPr>
              <w:rFonts w:ascii="方正仿宋_GBK" w:hAnsi="方正仿宋_GBK"/>
              <w:sz w:val="32"/>
              <w:szCs w:val="32"/>
            </w:rPr>
            <w:fldChar w:fldCharType="begin"/>
          </w:r>
          <w:r>
            <w:rPr>
              <w:rFonts w:ascii="方正仿宋_GBK" w:hAnsi="方正仿宋_GBK"/>
              <w:sz w:val="32"/>
              <w:szCs w:val="32"/>
            </w:rPr>
            <w:instrText xml:space="preserve"> PAGEREF _Toc13170 \h </w:instrText>
          </w:r>
          <w:r>
            <w:rPr>
              <w:rFonts w:ascii="方正仿宋_GBK" w:hAnsi="方正仿宋_GBK"/>
              <w:sz w:val="32"/>
              <w:szCs w:val="32"/>
            </w:rPr>
            <w:fldChar w:fldCharType="separate"/>
          </w:r>
          <w:r>
            <w:rPr>
              <w:rFonts w:ascii="方正仿宋_GBK" w:hAnsi="方正仿宋_GBK"/>
              <w:sz w:val="32"/>
              <w:szCs w:val="32"/>
            </w:rPr>
            <w:t>8</w:t>
          </w:r>
          <w:r>
            <w:rPr>
              <w:rFonts w:ascii="方正仿宋_GBK" w:hAnsi="方正仿宋_GBK"/>
              <w:sz w:val="32"/>
              <w:szCs w:val="32"/>
            </w:rPr>
            <w:fldChar w:fldCharType="end"/>
          </w:r>
          <w:r>
            <w:rPr>
              <w:rFonts w:ascii="方正仿宋_GBK" w:hAnsi="方正仿宋_GBK"/>
              <w:sz w:val="32"/>
              <w:szCs w:val="32"/>
            </w:rPr>
            <w:fldChar w:fldCharType="end"/>
          </w:r>
        </w:p>
        <w:p>
          <w:pPr>
            <w:pStyle w:val="8"/>
            <w:tabs>
              <w:tab w:val="right" w:leader="dot" w:pos="8958"/>
            </w:tabs>
            <w:rPr>
              <w:rFonts w:ascii="方正仿宋_GBK" w:hAnsi="方正仿宋_GBK"/>
              <w:sz w:val="32"/>
              <w:szCs w:val="32"/>
            </w:rPr>
          </w:pPr>
          <w:r>
            <w:fldChar w:fldCharType="begin"/>
          </w:r>
          <w:r>
            <w:instrText xml:space="preserve"> HYPERLINK \l "_Toc7045" </w:instrText>
          </w:r>
          <w:r>
            <w:fldChar w:fldCharType="separate"/>
          </w:r>
          <w:r>
            <w:rPr>
              <w:rFonts w:ascii="方正仿宋_GBK" w:hAnsi="方正仿宋_GBK" w:eastAsia="方正仿宋_GBK"/>
              <w:sz w:val="32"/>
              <w:szCs w:val="32"/>
            </w:rPr>
            <w:t>（一）绩效评价目的</w:t>
          </w:r>
          <w:r>
            <w:rPr>
              <w:rFonts w:ascii="方正仿宋_GBK" w:hAnsi="方正仿宋_GBK"/>
              <w:sz w:val="32"/>
              <w:szCs w:val="32"/>
            </w:rPr>
            <w:tab/>
          </w:r>
          <w:r>
            <w:rPr>
              <w:rFonts w:ascii="方正仿宋_GBK" w:hAnsi="方正仿宋_GBK"/>
              <w:sz w:val="32"/>
              <w:szCs w:val="32"/>
            </w:rPr>
            <w:fldChar w:fldCharType="begin"/>
          </w:r>
          <w:r>
            <w:rPr>
              <w:rFonts w:ascii="方正仿宋_GBK" w:hAnsi="方正仿宋_GBK"/>
              <w:sz w:val="32"/>
              <w:szCs w:val="32"/>
            </w:rPr>
            <w:instrText xml:space="preserve"> PAGEREF _Toc7045 \h </w:instrText>
          </w:r>
          <w:r>
            <w:rPr>
              <w:rFonts w:ascii="方正仿宋_GBK" w:hAnsi="方正仿宋_GBK"/>
              <w:sz w:val="32"/>
              <w:szCs w:val="32"/>
            </w:rPr>
            <w:fldChar w:fldCharType="separate"/>
          </w:r>
          <w:r>
            <w:rPr>
              <w:rFonts w:ascii="方正仿宋_GBK" w:hAnsi="方正仿宋_GBK"/>
              <w:sz w:val="32"/>
              <w:szCs w:val="32"/>
            </w:rPr>
            <w:t>8</w:t>
          </w:r>
          <w:r>
            <w:rPr>
              <w:rFonts w:ascii="方正仿宋_GBK" w:hAnsi="方正仿宋_GBK"/>
              <w:sz w:val="32"/>
              <w:szCs w:val="32"/>
            </w:rPr>
            <w:fldChar w:fldCharType="end"/>
          </w:r>
          <w:r>
            <w:rPr>
              <w:rFonts w:ascii="方正仿宋_GBK" w:hAnsi="方正仿宋_GBK"/>
              <w:sz w:val="32"/>
              <w:szCs w:val="32"/>
            </w:rPr>
            <w:fldChar w:fldCharType="end"/>
          </w:r>
        </w:p>
        <w:p>
          <w:pPr>
            <w:pStyle w:val="8"/>
            <w:tabs>
              <w:tab w:val="right" w:leader="dot" w:pos="8958"/>
            </w:tabs>
            <w:rPr>
              <w:rFonts w:ascii="方正仿宋_GBK" w:hAnsi="方正仿宋_GBK"/>
              <w:sz w:val="32"/>
              <w:szCs w:val="32"/>
            </w:rPr>
          </w:pPr>
          <w:r>
            <w:fldChar w:fldCharType="begin"/>
          </w:r>
          <w:r>
            <w:instrText xml:space="preserve"> HYPERLINK \l "_Toc11448" </w:instrText>
          </w:r>
          <w:r>
            <w:fldChar w:fldCharType="separate"/>
          </w:r>
          <w:r>
            <w:rPr>
              <w:rFonts w:ascii="方正仿宋_GBK" w:hAnsi="方正仿宋_GBK" w:eastAsia="方正仿宋_GBK"/>
              <w:sz w:val="32"/>
              <w:szCs w:val="32"/>
            </w:rPr>
            <w:t>（二）绩效评价原则</w:t>
          </w:r>
          <w:r>
            <w:rPr>
              <w:rFonts w:ascii="方正仿宋_GBK" w:hAnsi="方正仿宋_GBK"/>
              <w:sz w:val="32"/>
              <w:szCs w:val="32"/>
            </w:rPr>
            <w:tab/>
          </w:r>
          <w:r>
            <w:rPr>
              <w:rFonts w:ascii="方正仿宋_GBK" w:hAnsi="方正仿宋_GBK"/>
              <w:sz w:val="32"/>
              <w:szCs w:val="32"/>
            </w:rPr>
            <w:fldChar w:fldCharType="begin"/>
          </w:r>
          <w:r>
            <w:rPr>
              <w:rFonts w:ascii="方正仿宋_GBK" w:hAnsi="方正仿宋_GBK"/>
              <w:sz w:val="32"/>
              <w:szCs w:val="32"/>
            </w:rPr>
            <w:instrText xml:space="preserve"> PAGEREF _Toc11448 \h </w:instrText>
          </w:r>
          <w:r>
            <w:rPr>
              <w:rFonts w:ascii="方正仿宋_GBK" w:hAnsi="方正仿宋_GBK"/>
              <w:sz w:val="32"/>
              <w:szCs w:val="32"/>
            </w:rPr>
            <w:fldChar w:fldCharType="separate"/>
          </w:r>
          <w:r>
            <w:rPr>
              <w:rFonts w:ascii="方正仿宋_GBK" w:hAnsi="方正仿宋_GBK"/>
              <w:sz w:val="32"/>
              <w:szCs w:val="32"/>
            </w:rPr>
            <w:t>8</w:t>
          </w:r>
          <w:r>
            <w:rPr>
              <w:rFonts w:ascii="方正仿宋_GBK" w:hAnsi="方正仿宋_GBK"/>
              <w:sz w:val="32"/>
              <w:szCs w:val="32"/>
            </w:rPr>
            <w:fldChar w:fldCharType="end"/>
          </w:r>
          <w:r>
            <w:rPr>
              <w:rFonts w:ascii="方正仿宋_GBK" w:hAnsi="方正仿宋_GBK"/>
              <w:sz w:val="32"/>
              <w:szCs w:val="32"/>
            </w:rPr>
            <w:fldChar w:fldCharType="end"/>
          </w:r>
        </w:p>
        <w:p>
          <w:pPr>
            <w:pStyle w:val="8"/>
            <w:tabs>
              <w:tab w:val="right" w:leader="dot" w:pos="8958"/>
            </w:tabs>
            <w:rPr>
              <w:rFonts w:ascii="方正仿宋_GBK" w:hAnsi="方正仿宋_GBK"/>
              <w:sz w:val="32"/>
              <w:szCs w:val="32"/>
            </w:rPr>
          </w:pPr>
          <w:r>
            <w:fldChar w:fldCharType="begin"/>
          </w:r>
          <w:r>
            <w:instrText xml:space="preserve"> HYPERLINK \l "_Toc16332" </w:instrText>
          </w:r>
          <w:r>
            <w:fldChar w:fldCharType="separate"/>
          </w:r>
          <w:r>
            <w:rPr>
              <w:rFonts w:hint="eastAsia" w:ascii="方正仿宋_GBK" w:hAnsi="方正仿宋_GBK" w:eastAsia="方正仿宋_GBK"/>
              <w:sz w:val="32"/>
              <w:szCs w:val="32"/>
            </w:rPr>
            <w:t>（三）</w:t>
          </w:r>
          <w:r>
            <w:rPr>
              <w:rFonts w:ascii="方正仿宋_GBK" w:hAnsi="方正仿宋_GBK" w:eastAsia="方正仿宋_GBK"/>
              <w:sz w:val="32"/>
              <w:szCs w:val="32"/>
            </w:rPr>
            <w:t>绩效评价工作过程</w:t>
          </w:r>
          <w:r>
            <w:rPr>
              <w:rFonts w:ascii="方正仿宋_GBK" w:hAnsi="方正仿宋_GBK"/>
              <w:sz w:val="32"/>
              <w:szCs w:val="32"/>
            </w:rPr>
            <w:tab/>
          </w:r>
          <w:r>
            <w:rPr>
              <w:rFonts w:ascii="方正仿宋_GBK" w:hAnsi="方正仿宋_GBK"/>
              <w:sz w:val="32"/>
              <w:szCs w:val="32"/>
            </w:rPr>
            <w:fldChar w:fldCharType="begin"/>
          </w:r>
          <w:r>
            <w:rPr>
              <w:rFonts w:ascii="方正仿宋_GBK" w:hAnsi="方正仿宋_GBK"/>
              <w:sz w:val="32"/>
              <w:szCs w:val="32"/>
            </w:rPr>
            <w:instrText xml:space="preserve"> PAGEREF _Toc16332 \h </w:instrText>
          </w:r>
          <w:r>
            <w:rPr>
              <w:rFonts w:ascii="方正仿宋_GBK" w:hAnsi="方正仿宋_GBK"/>
              <w:sz w:val="32"/>
              <w:szCs w:val="32"/>
            </w:rPr>
            <w:fldChar w:fldCharType="separate"/>
          </w:r>
          <w:r>
            <w:rPr>
              <w:rFonts w:ascii="方正仿宋_GBK" w:hAnsi="方正仿宋_GBK"/>
              <w:sz w:val="32"/>
              <w:szCs w:val="32"/>
            </w:rPr>
            <w:t>8</w:t>
          </w:r>
          <w:r>
            <w:rPr>
              <w:rFonts w:ascii="方正仿宋_GBK" w:hAnsi="方正仿宋_GBK"/>
              <w:sz w:val="32"/>
              <w:szCs w:val="32"/>
            </w:rPr>
            <w:fldChar w:fldCharType="end"/>
          </w:r>
          <w:r>
            <w:rPr>
              <w:rFonts w:ascii="方正仿宋_GBK" w:hAnsi="方正仿宋_GBK"/>
              <w:sz w:val="32"/>
              <w:szCs w:val="32"/>
            </w:rPr>
            <w:fldChar w:fldCharType="end"/>
          </w:r>
        </w:p>
        <w:p>
          <w:pPr>
            <w:pStyle w:val="3"/>
            <w:tabs>
              <w:tab w:val="right" w:leader="dot" w:pos="8958"/>
            </w:tabs>
            <w:rPr>
              <w:rFonts w:ascii="方正仿宋_GBK" w:hAnsi="方正仿宋_GBK"/>
              <w:sz w:val="32"/>
              <w:szCs w:val="32"/>
            </w:rPr>
          </w:pPr>
          <w:r>
            <w:fldChar w:fldCharType="begin"/>
          </w:r>
          <w:r>
            <w:instrText xml:space="preserve"> HYPERLINK \l "_Toc2492" </w:instrText>
          </w:r>
          <w:r>
            <w:fldChar w:fldCharType="separate"/>
          </w:r>
          <w:r>
            <w:rPr>
              <w:rFonts w:hint="eastAsia" w:ascii="方正仿宋_GBK" w:hAnsi="方正仿宋_GBK" w:eastAsia="方正仿宋_GBK" w:cs="方正仿宋_GBK"/>
              <w:sz w:val="32"/>
              <w:szCs w:val="32"/>
            </w:rPr>
            <w:t>1、前期准备</w:t>
          </w:r>
          <w:r>
            <w:rPr>
              <w:rFonts w:ascii="方正仿宋_GBK" w:hAnsi="方正仿宋_GBK"/>
              <w:sz w:val="32"/>
              <w:szCs w:val="32"/>
            </w:rPr>
            <w:tab/>
          </w:r>
          <w:r>
            <w:rPr>
              <w:rFonts w:ascii="方正仿宋_GBK" w:hAnsi="方正仿宋_GBK"/>
              <w:sz w:val="32"/>
              <w:szCs w:val="32"/>
            </w:rPr>
            <w:fldChar w:fldCharType="begin"/>
          </w:r>
          <w:r>
            <w:rPr>
              <w:rFonts w:ascii="方正仿宋_GBK" w:hAnsi="方正仿宋_GBK"/>
              <w:sz w:val="32"/>
              <w:szCs w:val="32"/>
            </w:rPr>
            <w:instrText xml:space="preserve"> PAGEREF _Toc2492 \h </w:instrText>
          </w:r>
          <w:r>
            <w:rPr>
              <w:rFonts w:ascii="方正仿宋_GBK" w:hAnsi="方正仿宋_GBK"/>
              <w:sz w:val="32"/>
              <w:szCs w:val="32"/>
            </w:rPr>
            <w:fldChar w:fldCharType="separate"/>
          </w:r>
          <w:r>
            <w:rPr>
              <w:rFonts w:ascii="方正仿宋_GBK" w:hAnsi="方正仿宋_GBK"/>
              <w:sz w:val="32"/>
              <w:szCs w:val="32"/>
            </w:rPr>
            <w:t>8</w:t>
          </w:r>
          <w:r>
            <w:rPr>
              <w:rFonts w:ascii="方正仿宋_GBK" w:hAnsi="方正仿宋_GBK"/>
              <w:sz w:val="32"/>
              <w:szCs w:val="32"/>
            </w:rPr>
            <w:fldChar w:fldCharType="end"/>
          </w:r>
          <w:r>
            <w:rPr>
              <w:rFonts w:ascii="方正仿宋_GBK" w:hAnsi="方正仿宋_GBK"/>
              <w:sz w:val="32"/>
              <w:szCs w:val="32"/>
            </w:rPr>
            <w:fldChar w:fldCharType="end"/>
          </w:r>
        </w:p>
        <w:p>
          <w:pPr>
            <w:pStyle w:val="3"/>
            <w:tabs>
              <w:tab w:val="right" w:leader="dot" w:pos="8958"/>
            </w:tabs>
            <w:rPr>
              <w:rFonts w:ascii="方正仿宋_GBK" w:hAnsi="方正仿宋_GBK"/>
              <w:sz w:val="32"/>
              <w:szCs w:val="32"/>
            </w:rPr>
          </w:pPr>
          <w:r>
            <w:fldChar w:fldCharType="begin"/>
          </w:r>
          <w:r>
            <w:instrText xml:space="preserve"> HYPERLINK \l "_Toc23767" </w:instrText>
          </w:r>
          <w:r>
            <w:fldChar w:fldCharType="separate"/>
          </w:r>
          <w:r>
            <w:rPr>
              <w:rFonts w:hint="eastAsia" w:ascii="方正仿宋_GBK" w:hAnsi="方正仿宋_GBK" w:eastAsia="方正仿宋_GBK" w:cs="方正仿宋_GBK"/>
              <w:sz w:val="32"/>
              <w:szCs w:val="32"/>
            </w:rPr>
            <w:t>2、组织实施</w:t>
          </w:r>
          <w:r>
            <w:rPr>
              <w:rFonts w:ascii="方正仿宋_GBK" w:hAnsi="方正仿宋_GBK"/>
              <w:sz w:val="32"/>
              <w:szCs w:val="32"/>
            </w:rPr>
            <w:tab/>
          </w:r>
          <w:r>
            <w:rPr>
              <w:rFonts w:ascii="方正仿宋_GBK" w:hAnsi="方正仿宋_GBK"/>
              <w:sz w:val="32"/>
              <w:szCs w:val="32"/>
            </w:rPr>
            <w:fldChar w:fldCharType="begin"/>
          </w:r>
          <w:r>
            <w:rPr>
              <w:rFonts w:ascii="方正仿宋_GBK" w:hAnsi="方正仿宋_GBK"/>
              <w:sz w:val="32"/>
              <w:szCs w:val="32"/>
            </w:rPr>
            <w:instrText xml:space="preserve"> PAGEREF _Toc23767 \h </w:instrText>
          </w:r>
          <w:r>
            <w:rPr>
              <w:rFonts w:ascii="方正仿宋_GBK" w:hAnsi="方正仿宋_GBK"/>
              <w:sz w:val="32"/>
              <w:szCs w:val="32"/>
            </w:rPr>
            <w:fldChar w:fldCharType="separate"/>
          </w:r>
          <w:r>
            <w:rPr>
              <w:rFonts w:ascii="方正仿宋_GBK" w:hAnsi="方正仿宋_GBK"/>
              <w:sz w:val="32"/>
              <w:szCs w:val="32"/>
            </w:rPr>
            <w:t>9</w:t>
          </w:r>
          <w:r>
            <w:rPr>
              <w:rFonts w:ascii="方正仿宋_GBK" w:hAnsi="方正仿宋_GBK"/>
              <w:sz w:val="32"/>
              <w:szCs w:val="32"/>
            </w:rPr>
            <w:fldChar w:fldCharType="end"/>
          </w:r>
          <w:r>
            <w:rPr>
              <w:rFonts w:ascii="方正仿宋_GBK" w:hAnsi="方正仿宋_GBK"/>
              <w:sz w:val="32"/>
              <w:szCs w:val="32"/>
            </w:rPr>
            <w:fldChar w:fldCharType="end"/>
          </w:r>
        </w:p>
        <w:p>
          <w:pPr>
            <w:pStyle w:val="3"/>
            <w:tabs>
              <w:tab w:val="right" w:leader="dot" w:pos="8958"/>
            </w:tabs>
            <w:rPr>
              <w:rFonts w:ascii="方正仿宋_GBK" w:hAnsi="方正仿宋_GBK"/>
              <w:sz w:val="32"/>
              <w:szCs w:val="32"/>
            </w:rPr>
          </w:pPr>
          <w:r>
            <w:fldChar w:fldCharType="begin"/>
          </w:r>
          <w:r>
            <w:instrText xml:space="preserve"> HYPERLINK \l "_Toc24946" </w:instrText>
          </w:r>
          <w:r>
            <w:fldChar w:fldCharType="separate"/>
          </w:r>
          <w:r>
            <w:rPr>
              <w:rFonts w:hint="eastAsia" w:ascii="方正仿宋_GBK" w:hAnsi="方正仿宋_GBK" w:eastAsia="方正仿宋_GBK" w:cs="方正仿宋_GBK"/>
              <w:sz w:val="32"/>
              <w:szCs w:val="32"/>
            </w:rPr>
            <w:t>3、分析评价</w:t>
          </w:r>
          <w:r>
            <w:rPr>
              <w:rFonts w:ascii="方正仿宋_GBK" w:hAnsi="方正仿宋_GBK"/>
              <w:sz w:val="32"/>
              <w:szCs w:val="32"/>
            </w:rPr>
            <w:tab/>
          </w:r>
          <w:r>
            <w:rPr>
              <w:rFonts w:ascii="方正仿宋_GBK" w:hAnsi="方正仿宋_GBK"/>
              <w:sz w:val="32"/>
              <w:szCs w:val="32"/>
            </w:rPr>
            <w:fldChar w:fldCharType="begin"/>
          </w:r>
          <w:r>
            <w:rPr>
              <w:rFonts w:ascii="方正仿宋_GBK" w:hAnsi="方正仿宋_GBK"/>
              <w:sz w:val="32"/>
              <w:szCs w:val="32"/>
            </w:rPr>
            <w:instrText xml:space="preserve"> PAGEREF _Toc24946 \h </w:instrText>
          </w:r>
          <w:r>
            <w:rPr>
              <w:rFonts w:ascii="方正仿宋_GBK" w:hAnsi="方正仿宋_GBK"/>
              <w:sz w:val="32"/>
              <w:szCs w:val="32"/>
            </w:rPr>
            <w:fldChar w:fldCharType="separate"/>
          </w:r>
          <w:r>
            <w:rPr>
              <w:rFonts w:ascii="方正仿宋_GBK" w:hAnsi="方正仿宋_GBK"/>
              <w:sz w:val="32"/>
              <w:szCs w:val="32"/>
            </w:rPr>
            <w:t>9</w:t>
          </w:r>
          <w:r>
            <w:rPr>
              <w:rFonts w:ascii="方正仿宋_GBK" w:hAnsi="方正仿宋_GBK"/>
              <w:sz w:val="32"/>
              <w:szCs w:val="32"/>
            </w:rPr>
            <w:fldChar w:fldCharType="end"/>
          </w:r>
          <w:r>
            <w:rPr>
              <w:rFonts w:ascii="方正仿宋_GBK" w:hAnsi="方正仿宋_GBK"/>
              <w:sz w:val="32"/>
              <w:szCs w:val="32"/>
            </w:rPr>
            <w:fldChar w:fldCharType="end"/>
          </w:r>
        </w:p>
        <w:p>
          <w:pPr>
            <w:pStyle w:val="7"/>
            <w:tabs>
              <w:tab w:val="right" w:leader="dot" w:pos="8958"/>
            </w:tabs>
            <w:rPr>
              <w:rFonts w:ascii="方正仿宋_GBK" w:hAnsi="方正仿宋_GBK"/>
              <w:sz w:val="32"/>
              <w:szCs w:val="32"/>
            </w:rPr>
          </w:pPr>
          <w:r>
            <w:fldChar w:fldCharType="begin"/>
          </w:r>
          <w:r>
            <w:instrText xml:space="preserve"> HYPERLINK \l "_Toc26577" </w:instrText>
          </w:r>
          <w:r>
            <w:fldChar w:fldCharType="separate"/>
          </w:r>
          <w:r>
            <w:rPr>
              <w:rFonts w:ascii="方正仿宋_GBK" w:hAnsi="方正仿宋_GBK" w:eastAsia="方正黑体_GBK"/>
              <w:sz w:val="32"/>
              <w:szCs w:val="32"/>
            </w:rPr>
            <w:t>三、</w:t>
          </w:r>
          <w:r>
            <w:rPr>
              <w:rFonts w:hint="eastAsia" w:ascii="方正仿宋_GBK" w:hAnsi="方正仿宋_GBK" w:eastAsia="方正黑体_GBK"/>
              <w:sz w:val="32"/>
              <w:szCs w:val="32"/>
            </w:rPr>
            <w:t>绩效</w:t>
          </w:r>
          <w:r>
            <w:rPr>
              <w:rFonts w:ascii="方正仿宋_GBK" w:hAnsi="方正仿宋_GBK" w:eastAsia="方正黑体_GBK"/>
              <w:sz w:val="32"/>
              <w:szCs w:val="32"/>
            </w:rPr>
            <w:t>评价情况及结论</w:t>
          </w:r>
          <w:r>
            <w:rPr>
              <w:rFonts w:ascii="方正仿宋_GBK" w:hAnsi="方正仿宋_GBK"/>
              <w:sz w:val="32"/>
              <w:szCs w:val="32"/>
            </w:rPr>
            <w:tab/>
          </w:r>
          <w:r>
            <w:rPr>
              <w:rFonts w:ascii="方正仿宋_GBK" w:hAnsi="方正仿宋_GBK"/>
              <w:sz w:val="32"/>
              <w:szCs w:val="32"/>
            </w:rPr>
            <w:fldChar w:fldCharType="begin"/>
          </w:r>
          <w:r>
            <w:rPr>
              <w:rFonts w:ascii="方正仿宋_GBK" w:hAnsi="方正仿宋_GBK"/>
              <w:sz w:val="32"/>
              <w:szCs w:val="32"/>
            </w:rPr>
            <w:instrText xml:space="preserve"> PAGEREF _Toc26577 \h </w:instrText>
          </w:r>
          <w:r>
            <w:rPr>
              <w:rFonts w:ascii="方正仿宋_GBK" w:hAnsi="方正仿宋_GBK"/>
              <w:sz w:val="32"/>
              <w:szCs w:val="32"/>
            </w:rPr>
            <w:fldChar w:fldCharType="separate"/>
          </w:r>
          <w:r>
            <w:rPr>
              <w:rFonts w:ascii="方正仿宋_GBK" w:hAnsi="方正仿宋_GBK"/>
              <w:sz w:val="32"/>
              <w:szCs w:val="32"/>
            </w:rPr>
            <w:t>9</w:t>
          </w:r>
          <w:r>
            <w:rPr>
              <w:rFonts w:ascii="方正仿宋_GBK" w:hAnsi="方正仿宋_GBK"/>
              <w:sz w:val="32"/>
              <w:szCs w:val="32"/>
            </w:rPr>
            <w:fldChar w:fldCharType="end"/>
          </w:r>
          <w:r>
            <w:rPr>
              <w:rFonts w:ascii="方正仿宋_GBK" w:hAnsi="方正仿宋_GBK"/>
              <w:sz w:val="32"/>
              <w:szCs w:val="32"/>
            </w:rPr>
            <w:fldChar w:fldCharType="end"/>
          </w:r>
        </w:p>
        <w:p>
          <w:pPr>
            <w:pStyle w:val="7"/>
            <w:tabs>
              <w:tab w:val="right" w:leader="dot" w:pos="8958"/>
            </w:tabs>
            <w:rPr>
              <w:rFonts w:ascii="方正仿宋_GBK" w:hAnsi="方正仿宋_GBK"/>
              <w:sz w:val="32"/>
              <w:szCs w:val="32"/>
            </w:rPr>
          </w:pPr>
          <w:r>
            <w:fldChar w:fldCharType="begin"/>
          </w:r>
          <w:r>
            <w:instrText xml:space="preserve"> HYPERLINK \l "_Toc11860" </w:instrText>
          </w:r>
          <w:r>
            <w:fldChar w:fldCharType="separate"/>
          </w:r>
          <w:r>
            <w:rPr>
              <w:rFonts w:hint="eastAsia" w:ascii="方正仿宋_GBK" w:hAnsi="方正仿宋_GBK" w:eastAsia="方正黑体_GBK"/>
              <w:sz w:val="32"/>
              <w:szCs w:val="32"/>
            </w:rPr>
            <w:t>四、</w:t>
          </w:r>
          <w:r>
            <w:rPr>
              <w:rFonts w:ascii="方正仿宋_GBK" w:hAnsi="方正仿宋_GBK" w:eastAsia="方正黑体_GBK"/>
              <w:sz w:val="32"/>
              <w:szCs w:val="32"/>
            </w:rPr>
            <w:t>主要经验及做法</w:t>
          </w:r>
          <w:r>
            <w:rPr>
              <w:rFonts w:ascii="方正仿宋_GBK" w:hAnsi="方正仿宋_GBK"/>
              <w:sz w:val="32"/>
              <w:szCs w:val="32"/>
            </w:rPr>
            <w:tab/>
          </w:r>
          <w:r>
            <w:rPr>
              <w:rFonts w:ascii="方正仿宋_GBK" w:hAnsi="方正仿宋_GBK"/>
              <w:sz w:val="32"/>
              <w:szCs w:val="32"/>
            </w:rPr>
            <w:fldChar w:fldCharType="begin"/>
          </w:r>
          <w:r>
            <w:rPr>
              <w:rFonts w:ascii="方正仿宋_GBK" w:hAnsi="方正仿宋_GBK"/>
              <w:sz w:val="32"/>
              <w:szCs w:val="32"/>
            </w:rPr>
            <w:instrText xml:space="preserve"> PAGEREF _Toc11860 \h </w:instrText>
          </w:r>
          <w:r>
            <w:rPr>
              <w:rFonts w:ascii="方正仿宋_GBK" w:hAnsi="方正仿宋_GBK"/>
              <w:sz w:val="32"/>
              <w:szCs w:val="32"/>
            </w:rPr>
            <w:fldChar w:fldCharType="separate"/>
          </w:r>
          <w:r>
            <w:rPr>
              <w:rFonts w:ascii="方正仿宋_GBK" w:hAnsi="方正仿宋_GBK"/>
              <w:sz w:val="32"/>
              <w:szCs w:val="32"/>
            </w:rPr>
            <w:t>13</w:t>
          </w:r>
          <w:r>
            <w:rPr>
              <w:rFonts w:ascii="方正仿宋_GBK" w:hAnsi="方正仿宋_GBK"/>
              <w:sz w:val="32"/>
              <w:szCs w:val="32"/>
            </w:rPr>
            <w:fldChar w:fldCharType="end"/>
          </w:r>
          <w:r>
            <w:rPr>
              <w:rFonts w:ascii="方正仿宋_GBK" w:hAnsi="方正仿宋_GBK"/>
              <w:sz w:val="32"/>
              <w:szCs w:val="32"/>
            </w:rPr>
            <w:fldChar w:fldCharType="end"/>
          </w:r>
        </w:p>
        <w:p>
          <w:pPr>
            <w:pStyle w:val="7"/>
            <w:tabs>
              <w:tab w:val="right" w:leader="dot" w:pos="8958"/>
            </w:tabs>
            <w:rPr>
              <w:rFonts w:ascii="方正仿宋_GBK" w:hAnsi="方正仿宋_GBK"/>
              <w:sz w:val="32"/>
              <w:szCs w:val="32"/>
            </w:rPr>
          </w:pPr>
          <w:r>
            <w:fldChar w:fldCharType="begin"/>
          </w:r>
          <w:r>
            <w:instrText xml:space="preserve"> HYPERLINK \l "_Toc19290" </w:instrText>
          </w:r>
          <w:r>
            <w:fldChar w:fldCharType="separate"/>
          </w:r>
          <w:r>
            <w:rPr>
              <w:rFonts w:hint="eastAsia" w:ascii="方正仿宋_GBK" w:hAnsi="方正仿宋_GBK" w:eastAsia="方正黑体_GBK"/>
              <w:sz w:val="32"/>
              <w:szCs w:val="32"/>
            </w:rPr>
            <w:t>五、</w:t>
          </w:r>
          <w:r>
            <w:rPr>
              <w:rFonts w:ascii="方正仿宋_GBK" w:hAnsi="方正仿宋_GBK" w:eastAsia="方正黑体_GBK"/>
              <w:sz w:val="32"/>
              <w:szCs w:val="32"/>
            </w:rPr>
            <w:t>存在的问题和建议</w:t>
          </w:r>
          <w:r>
            <w:rPr>
              <w:rFonts w:ascii="方正仿宋_GBK" w:hAnsi="方正仿宋_GBK"/>
              <w:sz w:val="32"/>
              <w:szCs w:val="32"/>
            </w:rPr>
            <w:tab/>
          </w:r>
          <w:r>
            <w:rPr>
              <w:rFonts w:ascii="方正仿宋_GBK" w:hAnsi="方正仿宋_GBK"/>
              <w:sz w:val="32"/>
              <w:szCs w:val="32"/>
            </w:rPr>
            <w:fldChar w:fldCharType="begin"/>
          </w:r>
          <w:r>
            <w:rPr>
              <w:rFonts w:ascii="方正仿宋_GBK" w:hAnsi="方正仿宋_GBK"/>
              <w:sz w:val="32"/>
              <w:szCs w:val="32"/>
            </w:rPr>
            <w:instrText xml:space="preserve"> PAGEREF _Toc19290 \h </w:instrText>
          </w:r>
          <w:r>
            <w:rPr>
              <w:rFonts w:ascii="方正仿宋_GBK" w:hAnsi="方正仿宋_GBK"/>
              <w:sz w:val="32"/>
              <w:szCs w:val="32"/>
            </w:rPr>
            <w:fldChar w:fldCharType="separate"/>
          </w:r>
          <w:r>
            <w:rPr>
              <w:rFonts w:ascii="方正仿宋_GBK" w:hAnsi="方正仿宋_GBK"/>
              <w:sz w:val="32"/>
              <w:szCs w:val="32"/>
            </w:rPr>
            <w:t>14</w:t>
          </w:r>
          <w:r>
            <w:rPr>
              <w:rFonts w:ascii="方正仿宋_GBK" w:hAnsi="方正仿宋_GBK"/>
              <w:sz w:val="32"/>
              <w:szCs w:val="32"/>
            </w:rPr>
            <w:fldChar w:fldCharType="end"/>
          </w:r>
          <w:r>
            <w:rPr>
              <w:rFonts w:ascii="方正仿宋_GBK" w:hAnsi="方正仿宋_GBK"/>
              <w:sz w:val="32"/>
              <w:szCs w:val="32"/>
            </w:rPr>
            <w:fldChar w:fldCharType="end"/>
          </w:r>
        </w:p>
        <w:p>
          <w:pPr>
            <w:pStyle w:val="8"/>
            <w:tabs>
              <w:tab w:val="right" w:leader="dot" w:pos="8958"/>
            </w:tabs>
            <w:rPr>
              <w:rFonts w:ascii="方正仿宋_GBK" w:hAnsi="方正仿宋_GBK"/>
              <w:sz w:val="32"/>
              <w:szCs w:val="32"/>
            </w:rPr>
          </w:pPr>
          <w:r>
            <w:fldChar w:fldCharType="begin"/>
          </w:r>
          <w:r>
            <w:instrText xml:space="preserve"> HYPERLINK \l "_Toc27212" </w:instrText>
          </w:r>
          <w:r>
            <w:fldChar w:fldCharType="separate"/>
          </w:r>
          <w:r>
            <w:rPr>
              <w:rFonts w:ascii="方正仿宋_GBK" w:hAnsi="方正仿宋_GBK" w:eastAsia="方正仿宋_GBK"/>
              <w:sz w:val="32"/>
              <w:szCs w:val="32"/>
            </w:rPr>
            <w:t>（一）</w:t>
          </w:r>
          <w:r>
            <w:rPr>
              <w:rFonts w:hint="eastAsia" w:ascii="方正仿宋_GBK" w:hAnsi="方正仿宋_GBK" w:eastAsia="方正仿宋_GBK"/>
              <w:sz w:val="32"/>
              <w:szCs w:val="32"/>
            </w:rPr>
            <w:t>存在的问题</w:t>
          </w:r>
          <w:r>
            <w:rPr>
              <w:rFonts w:ascii="方正仿宋_GBK" w:hAnsi="方正仿宋_GBK"/>
              <w:sz w:val="32"/>
              <w:szCs w:val="32"/>
            </w:rPr>
            <w:tab/>
          </w:r>
          <w:r>
            <w:rPr>
              <w:rFonts w:ascii="方正仿宋_GBK" w:hAnsi="方正仿宋_GBK"/>
              <w:sz w:val="32"/>
              <w:szCs w:val="32"/>
            </w:rPr>
            <w:fldChar w:fldCharType="begin"/>
          </w:r>
          <w:r>
            <w:rPr>
              <w:rFonts w:ascii="方正仿宋_GBK" w:hAnsi="方正仿宋_GBK"/>
              <w:sz w:val="32"/>
              <w:szCs w:val="32"/>
            </w:rPr>
            <w:instrText xml:space="preserve"> PAGEREF _Toc27212 \h </w:instrText>
          </w:r>
          <w:r>
            <w:rPr>
              <w:rFonts w:ascii="方正仿宋_GBK" w:hAnsi="方正仿宋_GBK"/>
              <w:sz w:val="32"/>
              <w:szCs w:val="32"/>
            </w:rPr>
            <w:fldChar w:fldCharType="separate"/>
          </w:r>
          <w:r>
            <w:rPr>
              <w:rFonts w:ascii="方正仿宋_GBK" w:hAnsi="方正仿宋_GBK"/>
              <w:sz w:val="32"/>
              <w:szCs w:val="32"/>
            </w:rPr>
            <w:t>14</w:t>
          </w:r>
          <w:r>
            <w:rPr>
              <w:rFonts w:ascii="方正仿宋_GBK" w:hAnsi="方正仿宋_GBK"/>
              <w:sz w:val="32"/>
              <w:szCs w:val="32"/>
            </w:rPr>
            <w:fldChar w:fldCharType="end"/>
          </w:r>
          <w:r>
            <w:rPr>
              <w:rFonts w:ascii="方正仿宋_GBK" w:hAnsi="方正仿宋_GBK"/>
              <w:sz w:val="32"/>
              <w:szCs w:val="32"/>
            </w:rPr>
            <w:fldChar w:fldCharType="end"/>
          </w:r>
        </w:p>
        <w:p>
          <w:pPr>
            <w:pStyle w:val="8"/>
            <w:tabs>
              <w:tab w:val="right" w:leader="dot" w:pos="8958"/>
            </w:tabs>
            <w:rPr>
              <w:rFonts w:ascii="方正仿宋_GBK" w:hAnsi="方正仿宋_GBK"/>
              <w:sz w:val="32"/>
              <w:szCs w:val="32"/>
            </w:rPr>
          </w:pPr>
          <w:r>
            <w:fldChar w:fldCharType="begin"/>
          </w:r>
          <w:r>
            <w:instrText xml:space="preserve"> HYPERLINK \l "_Toc5205" </w:instrText>
          </w:r>
          <w:r>
            <w:fldChar w:fldCharType="separate"/>
          </w:r>
          <w:r>
            <w:rPr>
              <w:rFonts w:ascii="方正仿宋_GBK" w:hAnsi="方正仿宋_GBK" w:eastAsia="方正仿宋_GBK"/>
              <w:sz w:val="32"/>
              <w:szCs w:val="32"/>
            </w:rPr>
            <w:t>（</w:t>
          </w:r>
          <w:r>
            <w:rPr>
              <w:rFonts w:hint="eastAsia" w:ascii="方正仿宋_GBK" w:hAnsi="方正仿宋_GBK" w:eastAsia="方正仿宋_GBK"/>
              <w:sz w:val="32"/>
              <w:szCs w:val="32"/>
            </w:rPr>
            <w:t>二</w:t>
          </w:r>
          <w:r>
            <w:rPr>
              <w:rFonts w:ascii="方正仿宋_GBK" w:hAnsi="方正仿宋_GBK" w:eastAsia="方正仿宋_GBK"/>
              <w:sz w:val="32"/>
              <w:szCs w:val="32"/>
            </w:rPr>
            <w:t>）</w:t>
          </w:r>
          <w:r>
            <w:rPr>
              <w:rFonts w:hint="eastAsia" w:ascii="方正仿宋_GBK" w:hAnsi="方正仿宋_GBK" w:eastAsia="方正仿宋_GBK"/>
              <w:sz w:val="32"/>
              <w:szCs w:val="32"/>
            </w:rPr>
            <w:t>建议</w:t>
          </w:r>
          <w:r>
            <w:rPr>
              <w:rFonts w:ascii="方正仿宋_GBK" w:hAnsi="方正仿宋_GBK"/>
              <w:sz w:val="32"/>
              <w:szCs w:val="32"/>
            </w:rPr>
            <w:tab/>
          </w:r>
          <w:r>
            <w:rPr>
              <w:rFonts w:ascii="方正仿宋_GBK" w:hAnsi="方正仿宋_GBK"/>
              <w:sz w:val="32"/>
              <w:szCs w:val="32"/>
            </w:rPr>
            <w:fldChar w:fldCharType="begin"/>
          </w:r>
          <w:r>
            <w:rPr>
              <w:rFonts w:ascii="方正仿宋_GBK" w:hAnsi="方正仿宋_GBK"/>
              <w:sz w:val="32"/>
              <w:szCs w:val="32"/>
            </w:rPr>
            <w:instrText xml:space="preserve"> PAGEREF _Toc5205 \h </w:instrText>
          </w:r>
          <w:r>
            <w:rPr>
              <w:rFonts w:ascii="方正仿宋_GBK" w:hAnsi="方正仿宋_GBK"/>
              <w:sz w:val="32"/>
              <w:szCs w:val="32"/>
            </w:rPr>
            <w:fldChar w:fldCharType="separate"/>
          </w:r>
          <w:r>
            <w:rPr>
              <w:rFonts w:ascii="方正仿宋_GBK" w:hAnsi="方正仿宋_GBK"/>
              <w:sz w:val="32"/>
              <w:szCs w:val="32"/>
            </w:rPr>
            <w:t>15</w:t>
          </w:r>
          <w:r>
            <w:rPr>
              <w:rFonts w:ascii="方正仿宋_GBK" w:hAnsi="方正仿宋_GBK"/>
              <w:sz w:val="32"/>
              <w:szCs w:val="32"/>
            </w:rPr>
            <w:fldChar w:fldCharType="end"/>
          </w:r>
          <w:r>
            <w:rPr>
              <w:rFonts w:ascii="方正仿宋_GBK" w:hAnsi="方正仿宋_GBK"/>
              <w:sz w:val="32"/>
              <w:szCs w:val="32"/>
            </w:rPr>
            <w:fldChar w:fldCharType="end"/>
          </w:r>
        </w:p>
        <w:p>
          <w:pPr>
            <w:rPr>
              <w:rFonts w:ascii="方正仿宋_GBK" w:hAnsi="方正仿宋_GBK"/>
            </w:rPr>
          </w:pPr>
          <w:r>
            <w:rPr>
              <w:rFonts w:hint="eastAsia" w:ascii="方正仿宋_GBK" w:hAnsi="方正仿宋_GBK" w:eastAsia="方正仿宋_GBK" w:cs="方正仿宋_GBK"/>
              <w:sz w:val="32"/>
              <w:szCs w:val="32"/>
            </w:rPr>
            <w:fldChar w:fldCharType="end"/>
          </w:r>
        </w:p>
      </w:sdtContent>
    </w:sdt>
    <w:p>
      <w:pPr>
        <w:spacing w:line="560" w:lineRule="exact"/>
        <w:ind w:firstLine="640" w:firstLineChars="200"/>
        <w:rPr>
          <w:rFonts w:ascii="方正仿宋_GBK" w:hAnsi="方正仿宋_GBK" w:eastAsia="方正仿宋_GBK" w:cs="方正仿宋_GBK"/>
          <w:sz w:val="32"/>
          <w:szCs w:val="32"/>
        </w:rPr>
        <w:sectPr>
          <w:headerReference r:id="rId3" w:type="default"/>
          <w:footerReference r:id="rId4" w:type="default"/>
          <w:pgSz w:w="11906" w:h="16838"/>
          <w:pgMar w:top="1588" w:right="1474" w:bottom="1588" w:left="1474" w:header="851" w:footer="992" w:gutter="0"/>
          <w:pgNumType w:start="1"/>
          <w:cols w:space="425" w:num="1"/>
          <w:docGrid w:type="lines" w:linePitch="312" w:charSpace="0"/>
        </w:sectPr>
      </w:pPr>
    </w:p>
    <w:p>
      <w:pPr>
        <w:keepNext w:val="0"/>
        <w:keepLines w:val="0"/>
        <w:pageBreakBefore w:val="0"/>
        <w:kinsoku/>
        <w:wordWrap/>
        <w:overflowPunct/>
        <w:topLinePunct w:val="0"/>
        <w:bidi w:val="0"/>
        <w:spacing w:line="578" w:lineRule="exact"/>
        <w:ind w:firstLine="640" w:firstLineChars="200"/>
        <w:rPr>
          <w:rFonts w:ascii="方正仿宋_GBK" w:hAnsi="方正仿宋_GBK" w:eastAsia="方正黑体_GBK"/>
          <w:sz w:val="32"/>
          <w:szCs w:val="32"/>
        </w:rPr>
      </w:pPr>
      <w:r>
        <w:rPr>
          <w:rFonts w:hint="eastAsia" w:ascii="方正仿宋_GBK" w:hAnsi="方正仿宋_GBK" w:eastAsia="方正仿宋_GBK" w:cs="方正仿宋_GBK"/>
          <w:sz w:val="32"/>
          <w:szCs w:val="32"/>
        </w:rPr>
        <w:t>为加强财政资金的管理，提高财政资金的使用效益。根据《重庆市财政局关于加快推进预算绩效管理工作的通知》（渝财绩〔2022〕1号）、《重庆市璧山区财政局关于开展2021年度预算绩效自评工作的通知》（璧财绩〔2022〕2号）文件要求，形成2021年度部门整体支出绩效自评报告如下：</w:t>
      </w:r>
    </w:p>
    <w:p>
      <w:pPr>
        <w:keepNext w:val="0"/>
        <w:keepLines w:val="0"/>
        <w:pageBreakBefore w:val="0"/>
        <w:kinsoku/>
        <w:wordWrap/>
        <w:overflowPunct/>
        <w:topLinePunct w:val="0"/>
        <w:bidi w:val="0"/>
        <w:spacing w:line="578" w:lineRule="exact"/>
        <w:ind w:firstLine="640" w:firstLineChars="200"/>
        <w:outlineLvl w:val="0"/>
        <w:rPr>
          <w:rFonts w:ascii="方正仿宋_GBK" w:hAnsi="方正仿宋_GBK" w:eastAsia="方正黑体_GBK"/>
          <w:sz w:val="32"/>
          <w:szCs w:val="32"/>
        </w:rPr>
      </w:pPr>
      <w:bookmarkStart w:id="0" w:name="_Toc16328"/>
      <w:r>
        <w:rPr>
          <w:rFonts w:ascii="方正仿宋_GBK" w:hAnsi="方正仿宋_GBK" w:eastAsia="方正黑体_GBK"/>
          <w:sz w:val="32"/>
          <w:szCs w:val="32"/>
        </w:rPr>
        <w:t>一、基本</w:t>
      </w:r>
      <w:r>
        <w:rPr>
          <w:rFonts w:hint="eastAsia" w:ascii="方正仿宋_GBK" w:hAnsi="方正仿宋_GBK" w:eastAsia="方正黑体_GBK"/>
          <w:sz w:val="32"/>
          <w:szCs w:val="32"/>
        </w:rPr>
        <w:t>情况</w:t>
      </w:r>
      <w:bookmarkEnd w:id="0"/>
    </w:p>
    <w:p>
      <w:pPr>
        <w:keepNext w:val="0"/>
        <w:keepLines w:val="0"/>
        <w:pageBreakBefore w:val="0"/>
        <w:kinsoku/>
        <w:wordWrap/>
        <w:overflowPunct/>
        <w:topLinePunct w:val="0"/>
        <w:bidi w:val="0"/>
        <w:spacing w:line="578" w:lineRule="exact"/>
        <w:ind w:firstLine="640" w:firstLineChars="200"/>
        <w:outlineLvl w:val="1"/>
        <w:rPr>
          <w:rFonts w:ascii="方正仿宋_GBK" w:hAnsi="方正仿宋_GBK" w:eastAsia="方正仿宋_GBK"/>
          <w:sz w:val="32"/>
          <w:szCs w:val="32"/>
        </w:rPr>
      </w:pPr>
      <w:bookmarkStart w:id="1" w:name="_Toc11310"/>
      <w:r>
        <w:rPr>
          <w:rFonts w:ascii="方正仿宋_GBK" w:hAnsi="方正仿宋_GBK" w:eastAsia="方正仿宋_GBK"/>
          <w:sz w:val="32"/>
          <w:szCs w:val="32"/>
        </w:rPr>
        <w:t>（一）</w:t>
      </w:r>
      <w:r>
        <w:rPr>
          <w:rFonts w:hint="eastAsia" w:ascii="方正仿宋_GBK" w:hAnsi="方正仿宋_GBK" w:eastAsia="方正仿宋_GBK"/>
          <w:sz w:val="32"/>
          <w:szCs w:val="32"/>
        </w:rPr>
        <w:t>部门基本情况</w:t>
      </w:r>
      <w:bookmarkEnd w:id="1"/>
    </w:p>
    <w:p>
      <w:pPr>
        <w:keepNext w:val="0"/>
        <w:keepLines w:val="0"/>
        <w:pageBreakBefore w:val="0"/>
        <w:kinsoku/>
        <w:wordWrap/>
        <w:overflowPunct/>
        <w:topLinePunct w:val="0"/>
        <w:bidi w:val="0"/>
        <w:spacing w:line="578" w:lineRule="exact"/>
        <w:outlineLvl w:val="2"/>
        <w:rPr>
          <w:rFonts w:ascii="方正仿宋_GBK" w:hAnsi="方正仿宋_GBK" w:eastAsia="方正仿宋_GBK" w:cs="方正仿宋_GBK"/>
          <w:sz w:val="32"/>
          <w:szCs w:val="32"/>
        </w:rPr>
      </w:pPr>
      <w:bookmarkStart w:id="2" w:name="_Toc15164"/>
      <w:r>
        <w:rPr>
          <w:rFonts w:hint="eastAsia" w:ascii="方正仿宋_GBK" w:hAnsi="方正仿宋_GBK" w:eastAsia="方正仿宋_GBK" w:cs="方正仿宋_GBK"/>
          <w:sz w:val="32"/>
          <w:szCs w:val="32"/>
        </w:rPr>
        <w:t>1、部门职级</w:t>
      </w:r>
      <w:bookmarkEnd w:id="2"/>
    </w:p>
    <w:p>
      <w:pPr>
        <w:keepNext w:val="0"/>
        <w:keepLines w:val="0"/>
        <w:pageBreakBefore w:val="0"/>
        <w:kinsoku/>
        <w:wordWrap/>
        <w:overflowPunct/>
        <w:topLinePunct w:val="0"/>
        <w:bidi w:val="0"/>
        <w:spacing w:line="578"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重庆市璧山区城市管理局是区政府工作部门，为正处级。</w:t>
      </w:r>
    </w:p>
    <w:p>
      <w:pPr>
        <w:keepNext w:val="0"/>
        <w:keepLines w:val="0"/>
        <w:pageBreakBefore w:val="0"/>
        <w:kinsoku/>
        <w:wordWrap/>
        <w:overflowPunct/>
        <w:topLinePunct w:val="0"/>
        <w:bidi w:val="0"/>
        <w:spacing w:line="578" w:lineRule="exact"/>
        <w:outlineLvl w:val="2"/>
        <w:rPr>
          <w:rFonts w:ascii="方正仿宋_GBK" w:hAnsi="方正仿宋_GBK" w:eastAsia="方正仿宋_GBK" w:cs="方正仿宋_GBK"/>
          <w:sz w:val="32"/>
          <w:szCs w:val="32"/>
        </w:rPr>
      </w:pPr>
      <w:bookmarkStart w:id="3" w:name="_Toc11835"/>
      <w:r>
        <w:rPr>
          <w:rFonts w:hint="eastAsia" w:ascii="方正仿宋_GBK" w:hAnsi="方正仿宋_GBK" w:eastAsia="方正仿宋_GBK" w:cs="方正仿宋_GBK"/>
          <w:sz w:val="32"/>
          <w:szCs w:val="32"/>
        </w:rPr>
        <w:t>2、内设机构及编制</w:t>
      </w:r>
      <w:bookmarkEnd w:id="3"/>
    </w:p>
    <w:p>
      <w:pPr>
        <w:keepNext w:val="0"/>
        <w:keepLines w:val="0"/>
        <w:pageBreakBefore w:val="0"/>
        <w:kinsoku/>
        <w:wordWrap/>
        <w:overflowPunct/>
        <w:topLinePunct w:val="0"/>
        <w:bidi w:val="0"/>
        <w:spacing w:line="578"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重庆市璧山区城市管理局设下列内设机构：</w:t>
      </w:r>
    </w:p>
    <w:p>
      <w:pPr>
        <w:keepNext w:val="0"/>
        <w:keepLines w:val="0"/>
        <w:pageBreakBefore w:val="0"/>
        <w:kinsoku/>
        <w:wordWrap/>
        <w:overflowPunct/>
        <w:topLinePunct w:val="0"/>
        <w:bidi w:val="0"/>
        <w:spacing w:line="578"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办公室。负责机关日常运转及综合协调工作。负责党建、党风廉政建设和反腐败、宣传、意识形态、人事、考核、督查督办、档案管理、机关保密工作。承担政务值班、公文处理、公务接待、公车管理等内部管理事项。其他有关工作。</w:t>
      </w:r>
    </w:p>
    <w:p>
      <w:pPr>
        <w:keepNext w:val="0"/>
        <w:keepLines w:val="0"/>
        <w:pageBreakBefore w:val="0"/>
        <w:kinsoku/>
        <w:wordWrap/>
        <w:overflowPunct/>
        <w:topLinePunct w:val="0"/>
        <w:bidi w:val="0"/>
        <w:spacing w:line="578"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财务科。负责根据区政府资金计划，会同有关部门编制市政基础设施维护、环境卫生、园林绿化、路灯灯饰、城市市容环境综合整治、数字化城管等城市管理的资金计划，并对资金使用实施监督管理。承办机关各项经费使用和管理工作，监督管理所属单位国有资产，承担系统内部审计、统计工作。负责劳资管理工作；负责编制本系统年度财务预、决算，负责本系统会计核算，按时编制上报各类财务报表，负责会计资料及信息的准确性和可靠性。监督指导下属单位财务工作。其他有关工作。</w:t>
      </w:r>
    </w:p>
    <w:p>
      <w:pPr>
        <w:keepNext w:val="0"/>
        <w:keepLines w:val="0"/>
        <w:pageBreakBefore w:val="0"/>
        <w:kinsoku/>
        <w:wordWrap/>
        <w:overflowPunct/>
        <w:topLinePunct w:val="0"/>
        <w:bidi w:val="0"/>
        <w:spacing w:line="578"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市政设施科。负责城市管理行业规范和技术标准体系建设的实施，负责区直管城市管理基础设施维护工程技术方案的审查。负责城区道路、桥梁、隧道等设施的维护管理。负责城区窨井及窨井盖的日常管理。承担城市管理建设项目的计划、组织、协调、管理、技术咨询工作。承担城市管理建设项目可行性研究、设计方案的优化及比选、招标文件的审核，合同的审核。承担对工程施工质量、进度、造价、安全等方面的管理和控制。承办工程的过程验收、竣工验收及专项验收。承担城市管理建设项目档案的收集及管理。指导监督镇街市政设施维护管理。负责全区城市公园行业管理。负责城市管理的数字化、智慧化建设与运行的监管。其他有关工作。</w:t>
      </w:r>
    </w:p>
    <w:p>
      <w:pPr>
        <w:keepNext w:val="0"/>
        <w:keepLines w:val="0"/>
        <w:pageBreakBefore w:val="0"/>
        <w:kinsoku/>
        <w:wordWrap/>
        <w:overflowPunct/>
        <w:topLinePunct w:val="0"/>
        <w:bidi w:val="0"/>
        <w:spacing w:line="578"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行政审批科。负责市政设施建设类（占用、挖掘、拆迁、关闭和改变用途）审批、城市建筑垃圾处置（处置核准、运输许可和处理场所核准）审批、工程建设涉及城市绿化部分审批，以及其他国家规定的我局审批事项。其他有关工作。</w:t>
      </w:r>
    </w:p>
    <w:p>
      <w:pPr>
        <w:keepNext w:val="0"/>
        <w:keepLines w:val="0"/>
        <w:pageBreakBefore w:val="0"/>
        <w:kinsoku/>
        <w:wordWrap/>
        <w:overflowPunct/>
        <w:topLinePunct w:val="0"/>
        <w:bidi w:val="0"/>
        <w:spacing w:line="578"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停车规划监督科。负责全区行政区域内停车管理工作的指导协调和监督。会同有关部门负责城区公共汽车站（点）、公共停车楼场（点）、机动车辆和非机动车辆临时停放点的行业规划和管理。负责辖区范围内公共停车位的规划，其他停车位规划的统筹；负责辖区范围内停车位的建设及使用的监督管理。会同有关部门编制城区机动车辆清洗场所的设置规划并负责管理；按照规定权限，负责城区区域内非机动车的日常管理工作。其他有关工作。</w:t>
      </w:r>
    </w:p>
    <w:p>
      <w:pPr>
        <w:keepNext w:val="0"/>
        <w:keepLines w:val="0"/>
        <w:pageBreakBefore w:val="0"/>
        <w:kinsoku/>
        <w:wordWrap/>
        <w:overflowPunct/>
        <w:topLinePunct w:val="0"/>
        <w:bidi w:val="0"/>
        <w:spacing w:line="578"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市容环卫科。负责城区环境卫生管理。负责城区水域环境卫生管理。负责城市生活垃圾处置费征收管理和城市环境卫生设施管理。按照规定权限负责城区环境卫生基础设施的建设任务。负责城镇粪便处理设施安全的监督管理。负责生活垃圾分类管理工作，指导镇街环境卫生管理工作。组织开展城区市容环境综合整治。指导镇街市容环境综合整治工作。负责城市生活垃圾、城市建筑垃圾、城市水域垃圾等处置的监督管理。负责城市生活垃圾经营性服务的监督。负责农村生活垃圾治理的业务指导和监督管理。其他有关工作。</w:t>
      </w:r>
    </w:p>
    <w:p>
      <w:pPr>
        <w:keepNext w:val="0"/>
        <w:keepLines w:val="0"/>
        <w:pageBreakBefore w:val="0"/>
        <w:kinsoku/>
        <w:wordWrap/>
        <w:overflowPunct/>
        <w:topLinePunct w:val="0"/>
        <w:bidi w:val="0"/>
        <w:spacing w:line="578"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7）法规科。宣传、贯彻国家和地方有关市政公用设施运行管理、市容环境卫生管理、园林绿化管理、城市管理执法等城市管理的法律、法规、规章和方针政策。负责城市管理综合行政执法监督管理工作。指导监督镇街城市管理综合行政执法工作。负责组织、协调机关规范性文件的合法性审查工作。负责行政处罚案件审查、评议，承办有关行政复议、行政赔偿案件和行政诉讼的应诉代理协调工作。开展城市管理行业人员培训。负责人民调解工作。其他有关工作。</w:t>
      </w:r>
    </w:p>
    <w:p>
      <w:pPr>
        <w:keepNext w:val="0"/>
        <w:keepLines w:val="0"/>
        <w:pageBreakBefore w:val="0"/>
        <w:kinsoku/>
        <w:wordWrap/>
        <w:overflowPunct/>
        <w:topLinePunct w:val="0"/>
        <w:bidi w:val="0"/>
        <w:spacing w:line="578"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8）安全督查科。负责城市管理行业安全生产工作的监督、管理和指导。负责城市管理行业应急管理、应对处置的组织、协调和指导。牵头负责群众的来信来访接待及案件办理。负责人大代表建议和政协提案的督促办理工作。其他有关工作。</w:t>
      </w:r>
    </w:p>
    <w:p>
      <w:pPr>
        <w:keepNext w:val="0"/>
        <w:keepLines w:val="0"/>
        <w:pageBreakBefore w:val="0"/>
        <w:kinsoku/>
        <w:wordWrap/>
        <w:overflowPunct/>
        <w:topLinePunct w:val="0"/>
        <w:bidi w:val="0"/>
        <w:spacing w:line="578"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重庆市璧山区城市管理局机关行政编制14名；设局长1名，副局长3名，科级领导职数9名（含行政审批科副科长1名）。</w:t>
      </w:r>
    </w:p>
    <w:p>
      <w:pPr>
        <w:keepNext w:val="0"/>
        <w:keepLines w:val="0"/>
        <w:pageBreakBefore w:val="0"/>
        <w:kinsoku/>
        <w:wordWrap/>
        <w:overflowPunct/>
        <w:topLinePunct w:val="0"/>
        <w:bidi w:val="0"/>
        <w:spacing w:line="578"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机关后勤服务人员事业编制1名。</w:t>
      </w:r>
    </w:p>
    <w:p>
      <w:pPr>
        <w:keepNext w:val="0"/>
        <w:keepLines w:val="0"/>
        <w:pageBreakBefore w:val="0"/>
        <w:kinsoku/>
        <w:wordWrap/>
        <w:overflowPunct/>
        <w:topLinePunct w:val="0"/>
        <w:bidi w:val="0"/>
        <w:spacing w:line="578" w:lineRule="exact"/>
        <w:outlineLvl w:val="2"/>
        <w:rPr>
          <w:rFonts w:ascii="方正仿宋_GBK" w:hAnsi="方正仿宋_GBK" w:eastAsia="方正仿宋_GBK" w:cs="方正仿宋_GBK"/>
          <w:sz w:val="32"/>
          <w:szCs w:val="32"/>
        </w:rPr>
      </w:pPr>
      <w:bookmarkStart w:id="4" w:name="_Toc24053"/>
      <w:r>
        <w:rPr>
          <w:rFonts w:hint="eastAsia" w:ascii="方正仿宋_GBK" w:hAnsi="方正仿宋_GBK" w:eastAsia="方正仿宋_GBK" w:cs="方正仿宋_GBK"/>
          <w:sz w:val="32"/>
          <w:szCs w:val="32"/>
        </w:rPr>
        <w:t>3、职能职责</w:t>
      </w:r>
      <w:bookmarkEnd w:id="4"/>
    </w:p>
    <w:p>
      <w:pPr>
        <w:keepNext w:val="0"/>
        <w:keepLines w:val="0"/>
        <w:pageBreakBefore w:val="0"/>
        <w:kinsoku/>
        <w:wordWrap/>
        <w:overflowPunct/>
        <w:topLinePunct w:val="0"/>
        <w:bidi w:val="0"/>
        <w:spacing w:line="578"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宣传、贯彻执行国家和地方有关市政公用设施运行管理、市容环境卫生管理、园林绿化管理、城市管理执法等城市管理的法律、法规、规章和方针政策；统筹城市管理领域重大事项，负责拟订城市管理规划、计划并组织实施。</w:t>
      </w:r>
    </w:p>
    <w:p>
      <w:pPr>
        <w:keepNext w:val="0"/>
        <w:keepLines w:val="0"/>
        <w:pageBreakBefore w:val="0"/>
        <w:kinsoku/>
        <w:wordWrap/>
        <w:overflowPunct/>
        <w:topLinePunct w:val="0"/>
        <w:bidi w:val="0"/>
        <w:spacing w:line="578"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（2）负责城市管理行业规范和技术标准体系建设的实施，负责区直管城市管理基础设施维护工程技术方案的审查；负责城市管理工作的组织协调、监督检查和考核评价。</w:t>
      </w:r>
    </w:p>
    <w:p>
      <w:pPr>
        <w:keepNext w:val="0"/>
        <w:keepLines w:val="0"/>
        <w:pageBreakBefore w:val="0"/>
        <w:kinsoku/>
        <w:wordWrap/>
        <w:overflowPunct/>
        <w:topLinePunct w:val="0"/>
        <w:bidi w:val="0"/>
        <w:spacing w:line="578"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（3）根据区政府资金计划，会同有关部门编制市政基础设施维护、环境卫生、园林绿化、路灯灯饰、城市市容环境综合整治等城市管理工作的资金计划，并对资金使用实施监督管理。</w:t>
      </w:r>
    </w:p>
    <w:p>
      <w:pPr>
        <w:keepNext w:val="0"/>
        <w:keepLines w:val="0"/>
        <w:pageBreakBefore w:val="0"/>
        <w:kinsoku/>
        <w:wordWrap/>
        <w:overflowPunct/>
        <w:topLinePunct w:val="0"/>
        <w:bidi w:val="0"/>
        <w:spacing w:line="578"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负责城区道路、桥梁、隧道等设施的维护管理；负责市政基础设施占用、开挖、接沟等依法审批的行政管理工作。负责城市道路照明、景观照明等城市照明设施的维护和管理，按照规定权限负责路灯灯饰基础设施的建设任务。指导企业、社会单位灯饰建设。指导监督镇街市政设施维护管理。</w:t>
      </w:r>
    </w:p>
    <w:p>
      <w:pPr>
        <w:keepNext w:val="0"/>
        <w:keepLines w:val="0"/>
        <w:pageBreakBefore w:val="0"/>
        <w:kinsoku/>
        <w:wordWrap/>
        <w:overflowPunct/>
        <w:topLinePunct w:val="0"/>
        <w:bidi w:val="0"/>
        <w:spacing w:line="578"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（5）负责全区行政区域内停车管理工作的指导协调和监督。负责辖区范围内公共停车位的规划，其他停车位规划的统筹；负责辖区范围内停车位的建设及使用的监督管理。</w:t>
      </w:r>
    </w:p>
    <w:p>
      <w:pPr>
        <w:keepNext w:val="0"/>
        <w:keepLines w:val="0"/>
        <w:pageBreakBefore w:val="0"/>
        <w:kinsoku/>
        <w:wordWrap/>
        <w:overflowPunct/>
        <w:topLinePunct w:val="0"/>
        <w:bidi w:val="0"/>
        <w:spacing w:line="578"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会同有关部门负责城区公共汽车站（点）、公共停车楼场（点）、机动车辆和非机动车辆临时停放点的行业规划和管理。会同有关部门编制城区机动车辆清洗场所的设置规划并负责管理。按照规定权限负责城区区域内非机动车的日常管理工作。</w:t>
      </w:r>
    </w:p>
    <w:p>
      <w:pPr>
        <w:keepNext w:val="0"/>
        <w:keepLines w:val="0"/>
        <w:pageBreakBefore w:val="0"/>
        <w:kinsoku/>
        <w:wordWrap/>
        <w:overflowPunct/>
        <w:topLinePunct w:val="0"/>
        <w:bidi w:val="0"/>
        <w:spacing w:line="578"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7）负责城区环境卫生管理。负责城区水域环境卫生管理。负责城市生活垃圾处置费征收管理和城市环境卫生设施管理。按照规定权限负责城区环境卫生基础设施的建设任务。负责城镇粪便处理设施安全的监督管理，负责生活垃圾分类管理工作。指导镇街环境卫生管理工作。</w:t>
      </w:r>
    </w:p>
    <w:p>
      <w:pPr>
        <w:keepNext w:val="0"/>
        <w:keepLines w:val="0"/>
        <w:pageBreakBefore w:val="0"/>
        <w:kinsoku/>
        <w:wordWrap/>
        <w:overflowPunct/>
        <w:topLinePunct w:val="0"/>
        <w:bidi w:val="0"/>
        <w:spacing w:line="578"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（8）牵头组织开展城区市容环境综合整治；指导镇街市容环境综合整治工作。</w:t>
      </w:r>
    </w:p>
    <w:p>
      <w:pPr>
        <w:keepNext w:val="0"/>
        <w:keepLines w:val="0"/>
        <w:pageBreakBefore w:val="0"/>
        <w:kinsoku/>
        <w:wordWrap/>
        <w:overflowPunct/>
        <w:topLinePunct w:val="0"/>
        <w:bidi w:val="0"/>
        <w:spacing w:line="578"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（9）指导监督城区户外广告、店招店牌设置管理工作。</w:t>
      </w:r>
    </w:p>
    <w:p>
      <w:pPr>
        <w:keepNext w:val="0"/>
        <w:keepLines w:val="0"/>
        <w:pageBreakBefore w:val="0"/>
        <w:kinsoku/>
        <w:wordWrap/>
        <w:overflowPunct/>
        <w:topLinePunct w:val="0"/>
        <w:bidi w:val="0"/>
        <w:spacing w:line="578"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（10）负责城市生活垃圾、城市建筑垃圾、城市水域垃圾等处置的监督管理；负责城市生活垃圾经营性服务的监督。</w:t>
      </w:r>
    </w:p>
    <w:p>
      <w:pPr>
        <w:keepNext w:val="0"/>
        <w:keepLines w:val="0"/>
        <w:pageBreakBefore w:val="0"/>
        <w:kinsoku/>
        <w:wordWrap/>
        <w:overflowPunct/>
        <w:topLinePunct w:val="0"/>
        <w:bidi w:val="0"/>
        <w:spacing w:line="578"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（11）负责农村生活垃圾治理的业务指导和监督管理。</w:t>
      </w:r>
    </w:p>
    <w:p>
      <w:pPr>
        <w:keepNext w:val="0"/>
        <w:keepLines w:val="0"/>
        <w:pageBreakBefore w:val="0"/>
        <w:kinsoku/>
        <w:wordWrap/>
        <w:overflowPunct/>
        <w:topLinePunct w:val="0"/>
        <w:bidi w:val="0"/>
        <w:spacing w:line="578"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12）组织编制区级绿地系统规划并组织实施，会同有关部门负责城市绿线的划定和监督管理工作；指导镇街绿地系统规划编制和实施工作、城市绿线划定和监督管理工作；依法负责建设项目绿化工程设计方案管理工作。</w:t>
      </w:r>
    </w:p>
    <w:p>
      <w:pPr>
        <w:keepNext w:val="0"/>
        <w:keepLines w:val="0"/>
        <w:pageBreakBefore w:val="0"/>
        <w:kinsoku/>
        <w:wordWrap/>
        <w:overflowPunct/>
        <w:topLinePunct w:val="0"/>
        <w:bidi w:val="0"/>
        <w:spacing w:line="578"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13）负责全区园林绿化管理和城市公园行业管理；组织新建城市公园的验收和定级工作；组织开展城市义务植树活动；负责城市古树名木保护管理；指导监督城区公园应急避难场所的规划、建设、管理工作；会同有关部门做好国家公园的有关工作。</w:t>
      </w:r>
    </w:p>
    <w:p>
      <w:pPr>
        <w:keepNext w:val="0"/>
        <w:keepLines w:val="0"/>
        <w:pageBreakBefore w:val="0"/>
        <w:kinsoku/>
        <w:wordWrap/>
        <w:overflowPunct/>
        <w:topLinePunct w:val="0"/>
        <w:bidi w:val="0"/>
        <w:spacing w:line="578"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（14）负责园林绿化行业市场管理；指导监督园林绿化工程招投标、定额、质量管理。</w:t>
      </w:r>
    </w:p>
    <w:p>
      <w:pPr>
        <w:keepNext w:val="0"/>
        <w:keepLines w:val="0"/>
        <w:pageBreakBefore w:val="0"/>
        <w:kinsoku/>
        <w:wordWrap/>
        <w:overflowPunct/>
        <w:topLinePunct w:val="0"/>
        <w:bidi w:val="0"/>
        <w:spacing w:line="578"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15）负责授权范围内的城市管理综合行政执法工作和城市违法建筑执法工作，具体执法交由执法队伍承担，并以部门的名义统一执法；指导监督镇街城市管理综合行政执法工作。负责依法对户外公共场所食品销售、餐饮摊点无证经营和食品摊贩非法占道经营行为的查处工作。</w:t>
      </w:r>
    </w:p>
    <w:p>
      <w:pPr>
        <w:keepNext w:val="0"/>
        <w:keepLines w:val="0"/>
        <w:pageBreakBefore w:val="0"/>
        <w:kinsoku/>
        <w:wordWrap/>
        <w:overflowPunct/>
        <w:topLinePunct w:val="0"/>
        <w:bidi w:val="0"/>
        <w:spacing w:line="578"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（16）负责城市管理行业安全生产工作的监督、管理和指导；负责城市管理行业应急管理、应对处置的组织、协调和指导。</w:t>
      </w:r>
    </w:p>
    <w:p>
      <w:pPr>
        <w:keepNext w:val="0"/>
        <w:keepLines w:val="0"/>
        <w:pageBreakBefore w:val="0"/>
        <w:kinsoku/>
        <w:wordWrap/>
        <w:overflowPunct/>
        <w:topLinePunct w:val="0"/>
        <w:bidi w:val="0"/>
        <w:spacing w:line="578"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（17）负责城市管理的数字化、智慧化建设与运行的监管；开展城市管理行业人员培训。</w:t>
      </w:r>
    </w:p>
    <w:p>
      <w:pPr>
        <w:keepNext w:val="0"/>
        <w:keepLines w:val="0"/>
        <w:pageBreakBefore w:val="0"/>
        <w:kinsoku/>
        <w:wordWrap/>
        <w:overflowPunct/>
        <w:topLinePunct w:val="0"/>
        <w:bidi w:val="0"/>
        <w:spacing w:line="578"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（18）完成区委和区政府交办的其他任务。</w:t>
      </w:r>
    </w:p>
    <w:p>
      <w:pPr>
        <w:keepNext w:val="0"/>
        <w:keepLines w:val="0"/>
        <w:pageBreakBefore w:val="0"/>
        <w:kinsoku/>
        <w:wordWrap/>
        <w:overflowPunct/>
        <w:topLinePunct w:val="0"/>
        <w:bidi w:val="0"/>
        <w:spacing w:line="578"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（19）与有关部门职责分工。</w:t>
      </w:r>
    </w:p>
    <w:p>
      <w:pPr>
        <w:keepNext w:val="0"/>
        <w:keepLines w:val="0"/>
        <w:pageBreakBefore w:val="0"/>
        <w:kinsoku/>
        <w:wordWrap/>
        <w:overflowPunct/>
        <w:topLinePunct w:val="0"/>
        <w:bidi w:val="0"/>
        <w:spacing w:line="578" w:lineRule="exact"/>
        <w:ind w:firstLine="640" w:firstLineChars="200"/>
        <w:rPr>
          <w:rFonts w:ascii="方正仿宋_GBK" w:hAnsi="方正仿宋_GBK" w:eastAsia="方正仿宋_GBK" w:cs="方正仿宋_GBK"/>
          <w:sz w:val="32"/>
          <w:szCs w:val="32"/>
        </w:rPr>
      </w:pPr>
      <w:r>
        <w:rPr>
          <w:rFonts w:ascii="方正仿宋_GBK" w:hAnsi="方正仿宋_GBK" w:eastAsia="方正仿宋_GBK" w:cs="方正仿宋_GBK"/>
          <w:sz w:val="32"/>
          <w:szCs w:val="32"/>
        </w:rPr>
        <w:t>①</w:t>
      </w:r>
      <w:r>
        <w:rPr>
          <w:rFonts w:hint="eastAsia" w:ascii="方正仿宋_GBK" w:hAnsi="方正仿宋_GBK" w:eastAsia="方正仿宋_GBK" w:cs="方正仿宋_GBK"/>
          <w:sz w:val="32"/>
          <w:szCs w:val="32"/>
        </w:rPr>
        <w:t>执法管理体制。城区由区城市管理主管部门直接管理执法（不包含璧城、璧泉街道的非城区部分），具体执法交由执法队伍承担；其余区域由区城市管理主管部门委托镇街执法，并实施监督。</w:t>
      </w:r>
    </w:p>
    <w:p>
      <w:pPr>
        <w:keepNext w:val="0"/>
        <w:keepLines w:val="0"/>
        <w:pageBreakBefore w:val="0"/>
        <w:kinsoku/>
        <w:wordWrap/>
        <w:overflowPunct/>
        <w:topLinePunct w:val="0"/>
        <w:bidi w:val="0"/>
        <w:spacing w:line="578" w:lineRule="exact"/>
        <w:ind w:firstLine="640" w:firstLineChars="200"/>
        <w:rPr>
          <w:rFonts w:ascii="方正仿宋_GBK" w:hAnsi="方正仿宋_GBK" w:eastAsia="方正仿宋_GBK" w:cs="方正仿宋_GBK"/>
          <w:sz w:val="32"/>
          <w:szCs w:val="32"/>
        </w:rPr>
      </w:pPr>
      <w:r>
        <w:rPr>
          <w:rFonts w:ascii="方正仿宋_GBK" w:hAnsi="方正仿宋_GBK" w:eastAsia="方正仿宋_GBK" w:cs="方正仿宋_GBK"/>
          <w:sz w:val="32"/>
          <w:szCs w:val="32"/>
        </w:rPr>
        <w:t>②</w:t>
      </w:r>
      <w:r>
        <w:rPr>
          <w:rFonts w:hint="eastAsia" w:ascii="方正仿宋_GBK" w:hAnsi="方正仿宋_GBK" w:eastAsia="方正仿宋_GBK" w:cs="方正仿宋_GBK"/>
          <w:sz w:val="32"/>
          <w:szCs w:val="32"/>
        </w:rPr>
        <w:t>城区市政基础设施建设管理职责分工。属于高新区范围的，由璧山高新区管委会负责市政基础设施建设；属于绿岛新区范围的，由绿岛新区管委会负责市政基础设施建设；城区其他区域的市政基础设施（除园林绿化、路灯、环卫设施外）建设由区住房城乡建委负责，园林绿化、路灯、环卫设施建设由区城管局负责。城区窨井及窨井盖的日常管理，城区的市政基础设施的日常维护和管理，由区城管局负责。</w:t>
      </w:r>
    </w:p>
    <w:p>
      <w:pPr>
        <w:keepNext w:val="0"/>
        <w:keepLines w:val="0"/>
        <w:pageBreakBefore w:val="0"/>
        <w:kinsoku/>
        <w:wordWrap/>
        <w:overflowPunct/>
        <w:topLinePunct w:val="0"/>
        <w:bidi w:val="0"/>
        <w:spacing w:line="578" w:lineRule="exact"/>
        <w:ind w:firstLine="640" w:firstLineChars="200"/>
        <w:rPr>
          <w:rFonts w:ascii="方正仿宋_GBK" w:hAnsi="方正仿宋_GBK" w:eastAsia="方正仿宋_GBK" w:cs="方正仿宋_GBK"/>
          <w:sz w:val="32"/>
          <w:szCs w:val="32"/>
        </w:rPr>
      </w:pPr>
      <w:r>
        <w:rPr>
          <w:rFonts w:ascii="方正仿宋_GBK" w:hAnsi="方正仿宋_GBK" w:eastAsia="方正仿宋_GBK" w:cs="方正仿宋_GBK"/>
          <w:sz w:val="32"/>
          <w:szCs w:val="32"/>
        </w:rPr>
        <w:t>③</w:t>
      </w:r>
      <w:r>
        <w:rPr>
          <w:rFonts w:hint="eastAsia" w:ascii="方正仿宋_GBK" w:hAnsi="方正仿宋_GBK" w:eastAsia="方正仿宋_GBK" w:cs="方正仿宋_GBK"/>
          <w:sz w:val="32"/>
          <w:szCs w:val="32"/>
        </w:rPr>
        <w:t>公共资源交易监督管理职责分工。区发展改革委负责牵头承担公共资源交易监督管理职责，负责统一对接市公共资源交易监督管理局；负责指导、协调和督促全区公共资源交易监督管理工作，其中，政府采购、国有产权交易、土地使用权和矿业权出让等公共资源交易活动的监督管理工作，仍分别由区财政局、区规划自然资源局承担。负责指导、协调和综合监督全区招标投标工作，对全区招标投标活动监督工作实施检查并督促整改，对无行业监督部门监督的招标投标活动实施监督。区经济信息委、区住房城乡建委、区城管局、区交通局、区水利局、区农业农村委、区商务委、区林业局等部门，按照规定，依法负责本行业工程建设项目招投标的监督管理。</w:t>
      </w:r>
    </w:p>
    <w:p>
      <w:pPr>
        <w:keepNext w:val="0"/>
        <w:keepLines w:val="0"/>
        <w:pageBreakBefore w:val="0"/>
        <w:kinsoku/>
        <w:wordWrap/>
        <w:overflowPunct/>
        <w:topLinePunct w:val="0"/>
        <w:bidi w:val="0"/>
        <w:spacing w:line="578" w:lineRule="exact"/>
        <w:ind w:firstLine="640" w:firstLineChars="200"/>
        <w:outlineLvl w:val="1"/>
        <w:rPr>
          <w:rFonts w:ascii="方正仿宋_GBK" w:hAnsi="方正仿宋_GBK" w:eastAsia="方正仿宋_GBK"/>
          <w:sz w:val="32"/>
          <w:szCs w:val="32"/>
        </w:rPr>
      </w:pPr>
      <w:bookmarkStart w:id="5" w:name="_Toc14611"/>
      <w:r>
        <w:rPr>
          <w:rFonts w:ascii="方正仿宋_GBK" w:hAnsi="方正仿宋_GBK" w:eastAsia="方正仿宋_GBK"/>
          <w:sz w:val="32"/>
          <w:szCs w:val="32"/>
        </w:rPr>
        <w:t>（二）</w:t>
      </w:r>
      <w:r>
        <w:rPr>
          <w:rFonts w:hint="eastAsia" w:ascii="方正仿宋_GBK" w:hAnsi="方正仿宋_GBK" w:eastAsia="方正仿宋_GBK"/>
          <w:sz w:val="32"/>
          <w:szCs w:val="32"/>
        </w:rPr>
        <w:t>预算及支出情况</w:t>
      </w:r>
      <w:bookmarkEnd w:id="5"/>
    </w:p>
    <w:p>
      <w:pPr>
        <w:keepNext w:val="0"/>
        <w:keepLines w:val="0"/>
        <w:pageBreakBefore w:val="0"/>
        <w:kinsoku/>
        <w:wordWrap/>
        <w:overflowPunct/>
        <w:topLinePunct w:val="0"/>
        <w:bidi w:val="0"/>
        <w:spacing w:line="578" w:lineRule="exact"/>
        <w:ind w:firstLine="640" w:firstLineChars="200"/>
        <w:outlineLvl w:val="2"/>
        <w:rPr>
          <w:rFonts w:ascii="方正仿宋_GBK" w:hAnsi="方正仿宋_GBK" w:eastAsia="方正仿宋_GBK" w:cs="方正仿宋_GBK"/>
          <w:sz w:val="32"/>
          <w:szCs w:val="32"/>
        </w:rPr>
      </w:pPr>
      <w:bookmarkStart w:id="6" w:name="_Toc7044"/>
      <w:r>
        <w:rPr>
          <w:rFonts w:hint="eastAsia" w:ascii="方正仿宋_GBK" w:hAnsi="方正仿宋_GBK" w:eastAsia="方正仿宋_GBK" w:cs="方正仿宋_GBK"/>
          <w:sz w:val="32"/>
          <w:szCs w:val="32"/>
        </w:rPr>
        <w:t>1、财政资金整体支出</w:t>
      </w:r>
      <w:bookmarkEnd w:id="6"/>
    </w:p>
    <w:p>
      <w:pPr>
        <w:keepNext w:val="0"/>
        <w:keepLines w:val="0"/>
        <w:pageBreakBefore w:val="0"/>
        <w:kinsoku/>
        <w:wordWrap/>
        <w:overflowPunct/>
        <w:topLinePunct w:val="0"/>
        <w:bidi w:val="0"/>
        <w:spacing w:line="578"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2021年财政资金年初支出预算为18663.82506万元，年中调整预算为</w:t>
      </w:r>
      <w:r>
        <w:rPr>
          <w:rFonts w:hint="eastAsia" w:ascii="方正仿宋_GBK" w:hAnsi="方正仿宋_GBK" w:eastAsia="方正仿宋_GBK" w:cs="方正仿宋_GBK"/>
          <w:kern w:val="0"/>
          <w:sz w:val="32"/>
          <w:szCs w:val="32"/>
          <w:shd w:val="clear" w:color="auto" w:fill="FFFFFF"/>
        </w:rPr>
        <w:t>17462.943332</w:t>
      </w:r>
      <w:r>
        <w:rPr>
          <w:rFonts w:hint="eastAsia" w:ascii="方正仿宋_GBK" w:hAnsi="方正仿宋_GBK" w:eastAsia="方正仿宋_GBK" w:cs="方正仿宋_GBK"/>
          <w:sz w:val="32"/>
          <w:szCs w:val="32"/>
        </w:rPr>
        <w:t>万元，</w:t>
      </w:r>
      <w:r>
        <w:rPr>
          <w:rFonts w:hint="eastAsia" w:ascii="方正仿宋_GBK" w:hAnsi="方正仿宋_GBK" w:eastAsia="方正仿宋_GBK" w:cs="方正仿宋_GBK"/>
          <w:kern w:val="0"/>
          <w:sz w:val="32"/>
          <w:szCs w:val="32"/>
          <w:shd w:val="clear" w:color="auto" w:fill="FFFFFF"/>
        </w:rPr>
        <w:t>上年结转11.267152万元</w:t>
      </w:r>
      <w:r>
        <w:rPr>
          <w:rFonts w:hint="eastAsia" w:ascii="方正仿宋_GBK" w:hAnsi="方正仿宋_GBK" w:eastAsia="方正仿宋_GBK" w:cs="方正仿宋_GBK"/>
          <w:sz w:val="32"/>
          <w:szCs w:val="32"/>
        </w:rPr>
        <w:t>，调整后支出预算为</w:t>
      </w:r>
      <w:r>
        <w:rPr>
          <w:rFonts w:hint="eastAsia" w:ascii="方正仿宋_GBK" w:hAnsi="方正仿宋_GBK" w:eastAsia="方正仿宋_GBK" w:cs="方正仿宋_GBK"/>
          <w:kern w:val="0"/>
          <w:sz w:val="32"/>
          <w:szCs w:val="32"/>
          <w:shd w:val="clear" w:color="auto" w:fill="FFFFFF"/>
        </w:rPr>
        <w:t>17474.210484</w:t>
      </w:r>
      <w:r>
        <w:rPr>
          <w:rFonts w:hint="eastAsia" w:ascii="方正仿宋_GBK" w:hAnsi="方正仿宋_GBK" w:eastAsia="方正仿宋_GBK" w:cs="方正仿宋_GBK"/>
          <w:sz w:val="32"/>
          <w:szCs w:val="32"/>
        </w:rPr>
        <w:t>万元；年末支出决算为17474.210484万元，年末结转和结余为0万元。</w:t>
      </w:r>
    </w:p>
    <w:p>
      <w:pPr>
        <w:keepNext w:val="0"/>
        <w:keepLines w:val="0"/>
        <w:pageBreakBefore w:val="0"/>
        <w:kinsoku/>
        <w:wordWrap/>
        <w:overflowPunct/>
        <w:topLinePunct w:val="0"/>
        <w:bidi w:val="0"/>
        <w:spacing w:line="578" w:lineRule="exact"/>
        <w:ind w:firstLine="640" w:firstLineChars="200"/>
        <w:outlineLvl w:val="2"/>
        <w:rPr>
          <w:rFonts w:ascii="方正仿宋_GBK" w:hAnsi="方正仿宋_GBK" w:eastAsia="方正仿宋_GBK" w:cs="方正仿宋_GBK"/>
          <w:sz w:val="32"/>
          <w:szCs w:val="32"/>
        </w:rPr>
      </w:pPr>
      <w:bookmarkStart w:id="7" w:name="_Toc16582"/>
      <w:r>
        <w:rPr>
          <w:rFonts w:hint="eastAsia" w:ascii="方正仿宋_GBK" w:hAnsi="方正仿宋_GBK" w:eastAsia="方正仿宋_GBK" w:cs="方正仿宋_GBK"/>
          <w:sz w:val="32"/>
          <w:szCs w:val="32"/>
        </w:rPr>
        <w:t>2、部门“三公”经费支出</w:t>
      </w:r>
      <w:bookmarkEnd w:id="7"/>
    </w:p>
    <w:p>
      <w:pPr>
        <w:keepNext w:val="0"/>
        <w:keepLines w:val="0"/>
        <w:pageBreakBefore w:val="0"/>
        <w:kinsoku/>
        <w:wordWrap/>
        <w:overflowPunct/>
        <w:topLinePunct w:val="0"/>
        <w:bidi w:val="0"/>
        <w:spacing w:line="578" w:lineRule="exact"/>
        <w:ind w:firstLine="640" w:firstLineChars="200"/>
        <w:rPr>
          <w:rFonts w:ascii="方正仿宋_GBK" w:hAnsi="方正仿宋_GBK"/>
        </w:rPr>
      </w:pPr>
      <w:r>
        <w:rPr>
          <w:rFonts w:hint="eastAsia" w:ascii="方正仿宋_GBK" w:hAnsi="方正仿宋_GBK" w:eastAsia="方正仿宋_GBK" w:cs="方正仿宋_GBK"/>
          <w:sz w:val="32"/>
          <w:szCs w:val="32"/>
        </w:rPr>
        <w:t xml:space="preserve">2021年“三公”经费支出总额6.382282万元，其中：因公出国（境）费0万元、公务用车购置及运行维护费6.303382万元、公务接待费0.0789万元。年初预算支出57万，比预算减少50.617718万元。公务用车未新购置、保有量为5辆、无因公出国（境）团组数及人数，国内公务接待1批次及10人数。 </w:t>
      </w:r>
    </w:p>
    <w:p>
      <w:pPr>
        <w:keepNext w:val="0"/>
        <w:keepLines w:val="0"/>
        <w:pageBreakBefore w:val="0"/>
        <w:kinsoku/>
        <w:wordWrap/>
        <w:overflowPunct/>
        <w:topLinePunct w:val="0"/>
        <w:bidi w:val="0"/>
        <w:spacing w:line="578" w:lineRule="exact"/>
        <w:ind w:firstLine="640" w:firstLineChars="200"/>
        <w:outlineLvl w:val="0"/>
        <w:rPr>
          <w:rFonts w:ascii="方正仿宋_GBK" w:hAnsi="方正仿宋_GBK" w:eastAsia="方正仿宋_GBK"/>
          <w:sz w:val="32"/>
          <w:szCs w:val="32"/>
        </w:rPr>
      </w:pPr>
      <w:bookmarkStart w:id="8" w:name="_Toc13170"/>
      <w:r>
        <w:rPr>
          <w:rFonts w:ascii="方正仿宋_GBK" w:hAnsi="方正仿宋_GBK" w:eastAsia="方正黑体_GBK"/>
          <w:sz w:val="32"/>
          <w:szCs w:val="32"/>
        </w:rPr>
        <w:t>二、绩效评价</w:t>
      </w:r>
      <w:r>
        <w:rPr>
          <w:rFonts w:hint="eastAsia" w:ascii="方正仿宋_GBK" w:hAnsi="方正仿宋_GBK" w:eastAsia="方正黑体_GBK"/>
          <w:sz w:val="32"/>
          <w:szCs w:val="32"/>
        </w:rPr>
        <w:t>基本</w:t>
      </w:r>
      <w:r>
        <w:rPr>
          <w:rFonts w:ascii="方正仿宋_GBK" w:hAnsi="方正仿宋_GBK" w:eastAsia="方正黑体_GBK"/>
          <w:sz w:val="32"/>
          <w:szCs w:val="32"/>
        </w:rPr>
        <w:t>情况</w:t>
      </w:r>
      <w:bookmarkEnd w:id="8"/>
    </w:p>
    <w:p>
      <w:pPr>
        <w:keepNext w:val="0"/>
        <w:keepLines w:val="0"/>
        <w:pageBreakBefore w:val="0"/>
        <w:kinsoku/>
        <w:wordWrap/>
        <w:overflowPunct/>
        <w:topLinePunct w:val="0"/>
        <w:bidi w:val="0"/>
        <w:spacing w:line="578" w:lineRule="exact"/>
        <w:ind w:firstLine="640" w:firstLineChars="200"/>
        <w:outlineLvl w:val="1"/>
        <w:rPr>
          <w:rFonts w:ascii="方正仿宋_GBK" w:hAnsi="方正仿宋_GBK" w:eastAsia="方正仿宋_GBK"/>
          <w:sz w:val="32"/>
          <w:szCs w:val="32"/>
        </w:rPr>
      </w:pPr>
      <w:bookmarkStart w:id="9" w:name="_Toc7045"/>
      <w:r>
        <w:rPr>
          <w:rFonts w:ascii="方正仿宋_GBK" w:hAnsi="方正仿宋_GBK" w:eastAsia="方正仿宋_GBK"/>
          <w:sz w:val="32"/>
          <w:szCs w:val="32"/>
        </w:rPr>
        <w:t>（一）绩效评价目的</w:t>
      </w:r>
      <w:bookmarkEnd w:id="9"/>
    </w:p>
    <w:p>
      <w:pPr>
        <w:keepNext w:val="0"/>
        <w:keepLines w:val="0"/>
        <w:pageBreakBefore w:val="0"/>
        <w:kinsoku/>
        <w:wordWrap/>
        <w:overflowPunct/>
        <w:topLinePunct w:val="0"/>
        <w:bidi w:val="0"/>
        <w:spacing w:line="578" w:lineRule="exact"/>
        <w:ind w:firstLine="640" w:firstLineChars="200"/>
        <w:rPr>
          <w:rFonts w:ascii="方正仿宋_GBK" w:hAnsi="方正仿宋_GBK"/>
        </w:rPr>
      </w:pPr>
      <w:r>
        <w:rPr>
          <w:rFonts w:hint="eastAsia" w:ascii="方正仿宋_GBK" w:hAnsi="方正仿宋_GBK" w:eastAsia="方正仿宋_GBK"/>
          <w:sz w:val="32"/>
          <w:szCs w:val="32"/>
        </w:rPr>
        <w:t>为加强预算执行分析，规范财务管理，强化财政资金跟踪问效和绩效管理，建立对下属预算单位的监督、指导机制，及时发现问题并采取有效措施解决，组织开展部门2021年整体支出绩效自评。</w:t>
      </w:r>
    </w:p>
    <w:p>
      <w:pPr>
        <w:keepNext w:val="0"/>
        <w:keepLines w:val="0"/>
        <w:pageBreakBefore w:val="0"/>
        <w:kinsoku/>
        <w:wordWrap/>
        <w:overflowPunct/>
        <w:topLinePunct w:val="0"/>
        <w:bidi w:val="0"/>
        <w:spacing w:line="578" w:lineRule="exact"/>
        <w:ind w:firstLine="640" w:firstLineChars="200"/>
        <w:outlineLvl w:val="1"/>
        <w:rPr>
          <w:rFonts w:ascii="方正仿宋_GBK" w:hAnsi="方正仿宋_GBK" w:eastAsia="方正仿宋_GBK"/>
          <w:sz w:val="32"/>
          <w:szCs w:val="32"/>
        </w:rPr>
      </w:pPr>
      <w:bookmarkStart w:id="10" w:name="_Toc11448"/>
      <w:r>
        <w:rPr>
          <w:rFonts w:ascii="方正仿宋_GBK" w:hAnsi="方正仿宋_GBK" w:eastAsia="方正仿宋_GBK"/>
          <w:sz w:val="32"/>
          <w:szCs w:val="32"/>
        </w:rPr>
        <w:t>（二）绩效评价原则</w:t>
      </w:r>
      <w:bookmarkEnd w:id="10"/>
    </w:p>
    <w:p>
      <w:pPr>
        <w:keepNext w:val="0"/>
        <w:keepLines w:val="0"/>
        <w:pageBreakBefore w:val="0"/>
        <w:kinsoku/>
        <w:wordWrap/>
        <w:overflowPunct/>
        <w:topLinePunct w:val="0"/>
        <w:bidi w:val="0"/>
        <w:spacing w:line="578" w:lineRule="exact"/>
        <w:ind w:firstLine="640" w:firstLineChars="200"/>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绩效评价原则包括科学规范原则、公开公正原则、分级分类原则、绩效相关原则。</w:t>
      </w:r>
    </w:p>
    <w:p>
      <w:pPr>
        <w:keepNext w:val="0"/>
        <w:keepLines w:val="0"/>
        <w:pageBreakBefore w:val="0"/>
        <w:numPr>
          <w:ilvl w:val="0"/>
          <w:numId w:val="1"/>
        </w:numPr>
        <w:kinsoku/>
        <w:wordWrap/>
        <w:overflowPunct/>
        <w:topLinePunct w:val="0"/>
        <w:bidi w:val="0"/>
        <w:spacing w:line="578" w:lineRule="exact"/>
        <w:ind w:firstLine="640" w:firstLineChars="200"/>
        <w:outlineLvl w:val="1"/>
        <w:rPr>
          <w:rFonts w:ascii="方正仿宋_GBK" w:hAnsi="方正仿宋_GBK" w:eastAsia="方正仿宋_GBK"/>
          <w:sz w:val="32"/>
          <w:szCs w:val="32"/>
        </w:rPr>
      </w:pPr>
      <w:bookmarkStart w:id="11" w:name="_Toc16332"/>
      <w:r>
        <w:rPr>
          <w:rFonts w:ascii="方正仿宋_GBK" w:hAnsi="方正仿宋_GBK" w:eastAsia="方正仿宋_GBK"/>
          <w:sz w:val="32"/>
          <w:szCs w:val="32"/>
        </w:rPr>
        <w:t>绩效评价工作过程</w:t>
      </w:r>
      <w:bookmarkEnd w:id="11"/>
    </w:p>
    <w:p>
      <w:pPr>
        <w:keepNext w:val="0"/>
        <w:keepLines w:val="0"/>
        <w:pageBreakBefore w:val="0"/>
        <w:kinsoku/>
        <w:wordWrap/>
        <w:overflowPunct/>
        <w:topLinePunct w:val="0"/>
        <w:bidi w:val="0"/>
        <w:spacing w:line="578" w:lineRule="exact"/>
        <w:ind w:firstLine="640" w:firstLineChars="200"/>
        <w:outlineLvl w:val="2"/>
        <w:rPr>
          <w:rFonts w:ascii="方正仿宋_GBK" w:hAnsi="方正仿宋_GBK" w:eastAsia="方正仿宋_GBK" w:cs="方正仿宋_GBK"/>
          <w:sz w:val="32"/>
          <w:szCs w:val="32"/>
        </w:rPr>
      </w:pPr>
      <w:bookmarkStart w:id="12" w:name="_Toc2492"/>
      <w:r>
        <w:rPr>
          <w:rFonts w:hint="eastAsia" w:ascii="方正仿宋_GBK" w:hAnsi="方正仿宋_GBK" w:eastAsia="方正仿宋_GBK" w:cs="方正仿宋_GBK"/>
          <w:sz w:val="32"/>
          <w:szCs w:val="32"/>
        </w:rPr>
        <w:t>1、前期准备</w:t>
      </w:r>
      <w:bookmarkEnd w:id="12"/>
    </w:p>
    <w:p>
      <w:pPr>
        <w:keepNext w:val="0"/>
        <w:keepLines w:val="0"/>
        <w:pageBreakBefore w:val="0"/>
        <w:kinsoku/>
        <w:wordWrap/>
        <w:overflowPunct/>
        <w:topLinePunct w:val="0"/>
        <w:bidi w:val="0"/>
        <w:spacing w:line="578"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根据《重庆市璧山区财政局关于开展2021年度预算绩效自评工作的通知》（璧财绩〔2022〕2号）文件要求，我单位高度重视绩效评价，组成由单位领导、财务科、各业务科室负责人和项目负责人组成的自评小组，制定自评方案，明确自评程序和方法，通知要求资金使用科室上报资金使用情况、项目实施情况及计划绩效目标完成情况。</w:t>
      </w:r>
    </w:p>
    <w:p>
      <w:pPr>
        <w:keepNext w:val="0"/>
        <w:keepLines w:val="0"/>
        <w:pageBreakBefore w:val="0"/>
        <w:kinsoku/>
        <w:wordWrap/>
        <w:overflowPunct/>
        <w:topLinePunct w:val="0"/>
        <w:bidi w:val="0"/>
        <w:spacing w:line="578" w:lineRule="exact"/>
        <w:ind w:firstLine="640" w:firstLineChars="200"/>
        <w:outlineLvl w:val="2"/>
        <w:rPr>
          <w:rFonts w:ascii="方正仿宋_GBK" w:hAnsi="方正仿宋_GBK" w:eastAsia="方正仿宋_GBK" w:cs="方正仿宋_GBK"/>
          <w:sz w:val="32"/>
          <w:szCs w:val="32"/>
        </w:rPr>
      </w:pPr>
      <w:bookmarkStart w:id="13" w:name="_Toc23767"/>
      <w:r>
        <w:rPr>
          <w:rFonts w:hint="eastAsia" w:ascii="方正仿宋_GBK" w:hAnsi="方正仿宋_GBK" w:eastAsia="方正仿宋_GBK" w:cs="方正仿宋_GBK"/>
          <w:sz w:val="32"/>
          <w:szCs w:val="32"/>
        </w:rPr>
        <w:t>2、组织实施</w:t>
      </w:r>
      <w:bookmarkEnd w:id="13"/>
    </w:p>
    <w:p>
      <w:pPr>
        <w:keepNext w:val="0"/>
        <w:keepLines w:val="0"/>
        <w:pageBreakBefore w:val="0"/>
        <w:kinsoku/>
        <w:wordWrap/>
        <w:overflowPunct/>
        <w:topLinePunct w:val="0"/>
        <w:bidi w:val="0"/>
        <w:spacing w:line="578"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本次绩效评价工作分为两个阶段：</w:t>
      </w:r>
    </w:p>
    <w:p>
      <w:pPr>
        <w:keepNext w:val="0"/>
        <w:keepLines w:val="0"/>
        <w:pageBreakBefore w:val="0"/>
        <w:kinsoku/>
        <w:wordWrap/>
        <w:overflowPunct/>
        <w:topLinePunct w:val="0"/>
        <w:bidi w:val="0"/>
        <w:spacing w:line="578"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第一个阶段为评价准备阶段，自评工作组梳理和研读了国家层面、市级层面、区级层面与本次评价项目有关的政策文件，获得项目资料。</w:t>
      </w:r>
    </w:p>
    <w:p>
      <w:pPr>
        <w:keepNext w:val="0"/>
        <w:keepLines w:val="0"/>
        <w:pageBreakBefore w:val="0"/>
        <w:kinsoku/>
        <w:wordWrap/>
        <w:overflowPunct/>
        <w:topLinePunct w:val="0"/>
        <w:bidi w:val="0"/>
        <w:spacing w:line="578"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二个阶段为实施评价阶段，自评工作组在2022年2月23日至3月10日开展评价实施。取得评价项目的进度和资金筹集支出情况等资料，通过研读搭建指标体系，填写《重庆市璧山区城市管理局2021年度部门整体支出绩效自评表》并撰写自评报告。</w:t>
      </w:r>
    </w:p>
    <w:p>
      <w:pPr>
        <w:keepNext w:val="0"/>
        <w:keepLines w:val="0"/>
        <w:pageBreakBefore w:val="0"/>
        <w:kinsoku/>
        <w:wordWrap/>
        <w:overflowPunct/>
        <w:topLinePunct w:val="0"/>
        <w:bidi w:val="0"/>
        <w:spacing w:line="578" w:lineRule="exact"/>
        <w:ind w:firstLine="640" w:firstLineChars="200"/>
        <w:outlineLvl w:val="2"/>
        <w:rPr>
          <w:rFonts w:ascii="方正仿宋_GBK" w:hAnsi="方正仿宋_GBK" w:eastAsia="方正仿宋_GBK" w:cs="方正仿宋_GBK"/>
          <w:sz w:val="32"/>
          <w:szCs w:val="32"/>
        </w:rPr>
      </w:pPr>
      <w:bookmarkStart w:id="14" w:name="_Toc24946"/>
      <w:r>
        <w:rPr>
          <w:rFonts w:hint="eastAsia" w:ascii="方正仿宋_GBK" w:hAnsi="方正仿宋_GBK" w:eastAsia="方正仿宋_GBK" w:cs="方正仿宋_GBK"/>
          <w:sz w:val="32"/>
          <w:szCs w:val="32"/>
        </w:rPr>
        <w:t>3、分析评价</w:t>
      </w:r>
      <w:bookmarkEnd w:id="14"/>
    </w:p>
    <w:p>
      <w:pPr>
        <w:keepNext w:val="0"/>
        <w:keepLines w:val="0"/>
        <w:pageBreakBefore w:val="0"/>
        <w:kinsoku/>
        <w:wordWrap/>
        <w:overflowPunct/>
        <w:topLinePunct w:val="0"/>
        <w:bidi w:val="0"/>
        <w:spacing w:line="578" w:lineRule="exact"/>
        <w:ind w:firstLine="640" w:firstLineChars="200"/>
        <w:rPr>
          <w:rFonts w:ascii="方正仿宋_GBK" w:hAnsi="方正仿宋_GBK"/>
        </w:rPr>
      </w:pPr>
      <w:r>
        <w:rPr>
          <w:rFonts w:hint="eastAsia" w:ascii="方正仿宋_GBK" w:hAnsi="方正仿宋_GBK" w:eastAsia="方正仿宋_GBK" w:cs="方正仿宋_GBK"/>
          <w:sz w:val="32"/>
          <w:szCs w:val="32"/>
        </w:rPr>
        <w:t>2022年3月11日至3月18日，自评工作组根据《重庆市璧山区城市管理局2021年度部门整体支出绩效自评表》中的指标体系以及自评报告的分析情况，对初稿进行审核，按照相关文件、资金拨付资料，开展自评检查工作，对部门整体实施情况和质量进行评定。提出修改意见，形成部门整体绩效评价报告。</w:t>
      </w:r>
    </w:p>
    <w:p>
      <w:pPr>
        <w:keepNext w:val="0"/>
        <w:keepLines w:val="0"/>
        <w:pageBreakBefore w:val="0"/>
        <w:kinsoku/>
        <w:wordWrap/>
        <w:overflowPunct/>
        <w:topLinePunct w:val="0"/>
        <w:bidi w:val="0"/>
        <w:spacing w:line="578" w:lineRule="exact"/>
        <w:ind w:firstLine="640" w:firstLineChars="200"/>
        <w:outlineLvl w:val="0"/>
        <w:rPr>
          <w:rFonts w:ascii="方正仿宋_GBK" w:hAnsi="方正仿宋_GBK" w:eastAsia="方正黑体_GBK"/>
          <w:sz w:val="32"/>
          <w:szCs w:val="32"/>
        </w:rPr>
      </w:pPr>
      <w:bookmarkStart w:id="15" w:name="_Toc26577"/>
      <w:r>
        <w:rPr>
          <w:rFonts w:ascii="方正仿宋_GBK" w:hAnsi="方正仿宋_GBK" w:eastAsia="方正黑体_GBK"/>
          <w:sz w:val="32"/>
          <w:szCs w:val="32"/>
        </w:rPr>
        <w:t>三、</w:t>
      </w:r>
      <w:r>
        <w:rPr>
          <w:rFonts w:hint="eastAsia" w:ascii="方正仿宋_GBK" w:hAnsi="方正仿宋_GBK" w:eastAsia="方正黑体_GBK"/>
          <w:sz w:val="32"/>
          <w:szCs w:val="32"/>
        </w:rPr>
        <w:t>绩效</w:t>
      </w:r>
      <w:r>
        <w:rPr>
          <w:rFonts w:ascii="方正仿宋_GBK" w:hAnsi="方正仿宋_GBK" w:eastAsia="方正黑体_GBK"/>
          <w:sz w:val="32"/>
          <w:szCs w:val="32"/>
        </w:rPr>
        <w:t>评价情况及结论</w:t>
      </w:r>
      <w:bookmarkEnd w:id="15"/>
    </w:p>
    <w:p>
      <w:pPr>
        <w:keepNext w:val="0"/>
        <w:keepLines w:val="0"/>
        <w:pageBreakBefore w:val="0"/>
        <w:kinsoku/>
        <w:wordWrap/>
        <w:overflowPunct/>
        <w:topLinePunct w:val="0"/>
        <w:bidi w:val="0"/>
        <w:spacing w:line="578"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根据《重庆市璧山区城市管理局2021年度部门整体支出绩效自评表》中的指标体系分析情况，重庆市璧山区城市管理局2021年度部门整体支出绩效自评总得分98.13分，等级为“优”。具体得分情况如表1所示。</w:t>
      </w:r>
    </w:p>
    <w:p>
      <w:pPr>
        <w:keepNext w:val="0"/>
        <w:keepLines w:val="0"/>
        <w:pageBreakBefore w:val="0"/>
        <w:widowControl/>
        <w:shd w:val="clear" w:color="auto" w:fill="FFFFFF"/>
        <w:kinsoku/>
        <w:wordWrap/>
        <w:overflowPunct/>
        <w:topLinePunct w:val="0"/>
        <w:bidi w:val="0"/>
        <w:adjustRightInd w:val="0"/>
        <w:snapToGrid w:val="0"/>
        <w:spacing w:line="578" w:lineRule="exact"/>
        <w:ind w:firstLine="560" w:firstLineChars="200"/>
        <w:jc w:val="center"/>
        <w:rPr>
          <w:rFonts w:ascii="方正仿宋_GBK" w:hAnsi="方正仿宋_GBK"/>
        </w:rPr>
      </w:pPr>
      <w:r>
        <w:rPr>
          <w:rFonts w:hint="eastAsia" w:ascii="方正仿宋_GBK" w:hAnsi="方正仿宋_GBK" w:eastAsia="方正仿宋_GBK" w:cs="方正仿宋_GBK"/>
          <w:kern w:val="0"/>
          <w:sz w:val="28"/>
          <w:szCs w:val="28"/>
          <w:shd w:val="clear" w:color="auto" w:fill="FFFFFF"/>
        </w:rPr>
        <w:t>表1：指标得分情况</w:t>
      </w:r>
    </w:p>
    <w:tbl>
      <w:tblPr>
        <w:tblStyle w:val="10"/>
        <w:tblW w:w="829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268"/>
        <w:gridCol w:w="1677"/>
        <w:gridCol w:w="1676"/>
        <w:gridCol w:w="16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4" w:hRule="atLeast"/>
          <w:jc w:val="center"/>
        </w:trPr>
        <w:tc>
          <w:tcPr>
            <w:tcW w:w="3268" w:type="dxa"/>
            <w:shd w:val="clear" w:color="auto" w:fill="auto"/>
            <w:vAlign w:val="center"/>
          </w:tcPr>
          <w:p>
            <w:pPr>
              <w:keepNext w:val="0"/>
              <w:keepLines w:val="0"/>
              <w:pageBreakBefore w:val="0"/>
              <w:widowControl/>
              <w:shd w:val="clear" w:color="auto" w:fill="FFFFFF"/>
              <w:kinsoku/>
              <w:wordWrap/>
              <w:overflowPunct/>
              <w:topLinePunct w:val="0"/>
              <w:bidi w:val="0"/>
              <w:adjustRightInd w:val="0"/>
              <w:snapToGrid w:val="0"/>
              <w:spacing w:line="578" w:lineRule="exact"/>
              <w:jc w:val="center"/>
              <w:rPr>
                <w:rFonts w:ascii="方正仿宋_GBK" w:hAnsi="方正仿宋_GBK" w:eastAsia="方正仿宋_GBK" w:cs="方正仿宋_GBK"/>
                <w:kern w:val="0"/>
                <w:sz w:val="24"/>
                <w:shd w:val="clear" w:color="auto" w:fill="FFFFFF"/>
              </w:rPr>
            </w:pPr>
            <w:r>
              <w:rPr>
                <w:rFonts w:hint="eastAsia" w:ascii="方正仿宋_GBK" w:hAnsi="方正仿宋_GBK" w:eastAsia="方正仿宋_GBK" w:cs="方正仿宋_GBK"/>
                <w:kern w:val="0"/>
                <w:sz w:val="24"/>
                <w:shd w:val="clear" w:color="auto" w:fill="FFFFFF"/>
              </w:rPr>
              <w:t>指标名称</w:t>
            </w:r>
          </w:p>
        </w:tc>
        <w:tc>
          <w:tcPr>
            <w:tcW w:w="1677" w:type="dxa"/>
            <w:shd w:val="clear" w:color="auto" w:fill="auto"/>
            <w:vAlign w:val="center"/>
          </w:tcPr>
          <w:p>
            <w:pPr>
              <w:keepNext w:val="0"/>
              <w:keepLines w:val="0"/>
              <w:pageBreakBefore w:val="0"/>
              <w:widowControl/>
              <w:shd w:val="clear" w:color="auto" w:fill="FFFFFF"/>
              <w:kinsoku/>
              <w:wordWrap/>
              <w:overflowPunct/>
              <w:topLinePunct w:val="0"/>
              <w:bidi w:val="0"/>
              <w:adjustRightInd w:val="0"/>
              <w:snapToGrid w:val="0"/>
              <w:spacing w:line="578" w:lineRule="exact"/>
              <w:jc w:val="center"/>
              <w:rPr>
                <w:rFonts w:ascii="方正仿宋_GBK" w:hAnsi="方正仿宋_GBK" w:eastAsia="方正仿宋_GBK" w:cs="方正仿宋_GBK"/>
                <w:kern w:val="0"/>
                <w:sz w:val="24"/>
                <w:shd w:val="clear" w:color="auto" w:fill="FFFFFF"/>
              </w:rPr>
            </w:pPr>
            <w:r>
              <w:rPr>
                <w:rFonts w:hint="eastAsia" w:ascii="方正仿宋_GBK" w:hAnsi="方正仿宋_GBK" w:eastAsia="方正仿宋_GBK" w:cs="方正仿宋_GBK"/>
                <w:kern w:val="0"/>
                <w:sz w:val="24"/>
                <w:shd w:val="clear" w:color="auto" w:fill="FFFFFF"/>
              </w:rPr>
              <w:t>权重（分）</w:t>
            </w:r>
          </w:p>
        </w:tc>
        <w:tc>
          <w:tcPr>
            <w:tcW w:w="1676" w:type="dxa"/>
            <w:shd w:val="clear" w:color="auto" w:fill="auto"/>
            <w:vAlign w:val="center"/>
          </w:tcPr>
          <w:p>
            <w:pPr>
              <w:keepNext w:val="0"/>
              <w:keepLines w:val="0"/>
              <w:pageBreakBefore w:val="0"/>
              <w:widowControl/>
              <w:shd w:val="clear" w:color="auto" w:fill="FFFFFF"/>
              <w:kinsoku/>
              <w:wordWrap/>
              <w:overflowPunct/>
              <w:topLinePunct w:val="0"/>
              <w:bidi w:val="0"/>
              <w:adjustRightInd w:val="0"/>
              <w:snapToGrid w:val="0"/>
              <w:spacing w:line="578" w:lineRule="exact"/>
              <w:jc w:val="center"/>
              <w:rPr>
                <w:rFonts w:ascii="方正仿宋_GBK" w:hAnsi="方正仿宋_GBK" w:eastAsia="方正仿宋_GBK" w:cs="方正仿宋_GBK"/>
                <w:kern w:val="0"/>
                <w:sz w:val="24"/>
                <w:shd w:val="clear" w:color="auto" w:fill="FFFFFF"/>
              </w:rPr>
            </w:pPr>
            <w:r>
              <w:rPr>
                <w:rFonts w:hint="eastAsia" w:ascii="方正仿宋_GBK" w:hAnsi="方正仿宋_GBK" w:eastAsia="方正仿宋_GBK" w:cs="方正仿宋_GBK"/>
                <w:kern w:val="0"/>
                <w:sz w:val="24"/>
                <w:shd w:val="clear" w:color="auto" w:fill="FFFFFF"/>
              </w:rPr>
              <w:t>得分（分）</w:t>
            </w:r>
          </w:p>
        </w:tc>
        <w:tc>
          <w:tcPr>
            <w:tcW w:w="1678" w:type="dxa"/>
            <w:shd w:val="clear" w:color="auto" w:fill="auto"/>
            <w:vAlign w:val="center"/>
          </w:tcPr>
          <w:p>
            <w:pPr>
              <w:keepNext w:val="0"/>
              <w:keepLines w:val="0"/>
              <w:pageBreakBefore w:val="0"/>
              <w:widowControl/>
              <w:shd w:val="clear" w:color="auto" w:fill="FFFFFF"/>
              <w:kinsoku/>
              <w:wordWrap/>
              <w:overflowPunct/>
              <w:topLinePunct w:val="0"/>
              <w:bidi w:val="0"/>
              <w:adjustRightInd w:val="0"/>
              <w:snapToGrid w:val="0"/>
              <w:spacing w:line="578" w:lineRule="exact"/>
              <w:jc w:val="center"/>
              <w:rPr>
                <w:rFonts w:ascii="方正仿宋_GBK" w:hAnsi="方正仿宋_GBK" w:eastAsia="方正仿宋_GBK" w:cs="方正仿宋_GBK"/>
                <w:kern w:val="0"/>
                <w:sz w:val="24"/>
                <w:shd w:val="clear" w:color="auto" w:fill="FFFFFF"/>
              </w:rPr>
            </w:pPr>
            <w:r>
              <w:rPr>
                <w:rFonts w:hint="eastAsia" w:ascii="方正仿宋_GBK" w:hAnsi="方正仿宋_GBK" w:eastAsia="方正仿宋_GBK" w:cs="方正仿宋_GBK"/>
                <w:kern w:val="0"/>
                <w:sz w:val="24"/>
                <w:shd w:val="clear" w:color="auto" w:fill="FFFFFF"/>
              </w:rPr>
              <w:t>得分率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4" w:hRule="atLeast"/>
          <w:jc w:val="center"/>
        </w:trPr>
        <w:tc>
          <w:tcPr>
            <w:tcW w:w="3268" w:type="dxa"/>
            <w:vAlign w:val="center"/>
          </w:tcPr>
          <w:p>
            <w:pPr>
              <w:keepNext w:val="0"/>
              <w:keepLines w:val="0"/>
              <w:pageBreakBefore w:val="0"/>
              <w:widowControl/>
              <w:kinsoku/>
              <w:wordWrap/>
              <w:overflowPunct/>
              <w:topLinePunct w:val="0"/>
              <w:bidi w:val="0"/>
              <w:spacing w:line="578" w:lineRule="exact"/>
              <w:jc w:val="center"/>
              <w:textAlignment w:val="center"/>
              <w:rPr>
                <w:rFonts w:ascii="方正仿宋_GBK" w:hAnsi="方正仿宋_GBK" w:eastAsia="方正仿宋_GBK" w:cs="方正仿宋_GBK"/>
                <w:kern w:val="0"/>
                <w:sz w:val="24"/>
                <w:shd w:val="clear" w:color="auto" w:fill="FFFFFF"/>
              </w:rPr>
            </w:pPr>
            <w:r>
              <w:rPr>
                <w:rFonts w:hint="eastAsia" w:ascii="方正仿宋_GBK" w:hAnsi="方正仿宋_GBK" w:eastAsia="方正仿宋_GBK" w:cs="方正仿宋_GBK"/>
                <w:kern w:val="0"/>
                <w:sz w:val="24"/>
                <w:lang w:bidi="ar"/>
              </w:rPr>
              <w:t>预算执行率</w:t>
            </w:r>
          </w:p>
        </w:tc>
        <w:tc>
          <w:tcPr>
            <w:tcW w:w="1677" w:type="dxa"/>
            <w:vAlign w:val="center"/>
          </w:tcPr>
          <w:p>
            <w:pPr>
              <w:keepNext w:val="0"/>
              <w:keepLines w:val="0"/>
              <w:pageBreakBefore w:val="0"/>
              <w:widowControl/>
              <w:shd w:val="clear" w:color="auto" w:fill="FFFFFF"/>
              <w:kinsoku/>
              <w:wordWrap/>
              <w:overflowPunct/>
              <w:topLinePunct w:val="0"/>
              <w:bidi w:val="0"/>
              <w:adjustRightInd w:val="0"/>
              <w:snapToGrid w:val="0"/>
              <w:spacing w:line="578" w:lineRule="exact"/>
              <w:jc w:val="center"/>
              <w:rPr>
                <w:rFonts w:ascii="方正仿宋_GBK" w:hAnsi="方正仿宋_GBK" w:eastAsia="方正仿宋_GBK" w:cs="方正仿宋_GBK"/>
                <w:kern w:val="0"/>
                <w:sz w:val="24"/>
                <w:shd w:val="clear" w:color="auto" w:fill="FFFFFF"/>
              </w:rPr>
            </w:pPr>
            <w:r>
              <w:rPr>
                <w:rFonts w:hint="eastAsia" w:ascii="方正仿宋_GBK" w:hAnsi="方正仿宋_GBK" w:eastAsia="方正仿宋_GBK" w:cs="方正仿宋_GBK"/>
                <w:kern w:val="0"/>
                <w:sz w:val="24"/>
                <w:shd w:val="clear" w:color="auto" w:fill="FFFFFF"/>
              </w:rPr>
              <w:t>8</w:t>
            </w:r>
          </w:p>
        </w:tc>
        <w:tc>
          <w:tcPr>
            <w:tcW w:w="1676" w:type="dxa"/>
            <w:vAlign w:val="center"/>
          </w:tcPr>
          <w:p>
            <w:pPr>
              <w:keepNext w:val="0"/>
              <w:keepLines w:val="0"/>
              <w:pageBreakBefore w:val="0"/>
              <w:widowControl/>
              <w:shd w:val="clear" w:color="auto" w:fill="FFFFFF"/>
              <w:kinsoku/>
              <w:wordWrap/>
              <w:overflowPunct/>
              <w:topLinePunct w:val="0"/>
              <w:bidi w:val="0"/>
              <w:adjustRightInd w:val="0"/>
              <w:snapToGrid w:val="0"/>
              <w:spacing w:line="578" w:lineRule="exact"/>
              <w:jc w:val="center"/>
              <w:rPr>
                <w:rFonts w:ascii="方正仿宋_GBK" w:hAnsi="方正仿宋_GBK" w:eastAsia="方正仿宋_GBK" w:cs="方正仿宋_GBK"/>
                <w:kern w:val="0"/>
                <w:sz w:val="24"/>
                <w:shd w:val="clear" w:color="auto" w:fill="FFFFFF"/>
              </w:rPr>
            </w:pPr>
            <w:r>
              <w:rPr>
                <w:rFonts w:hint="eastAsia" w:ascii="方正仿宋_GBK" w:hAnsi="方正仿宋_GBK" w:eastAsia="方正仿宋_GBK" w:cs="方正仿宋_GBK"/>
                <w:kern w:val="0"/>
                <w:sz w:val="24"/>
                <w:shd w:val="clear" w:color="auto" w:fill="FFFFFF"/>
              </w:rPr>
              <w:t>8</w:t>
            </w:r>
          </w:p>
        </w:tc>
        <w:tc>
          <w:tcPr>
            <w:tcW w:w="1678" w:type="dxa"/>
            <w:vAlign w:val="center"/>
          </w:tcPr>
          <w:p>
            <w:pPr>
              <w:keepNext w:val="0"/>
              <w:keepLines w:val="0"/>
              <w:pageBreakBefore w:val="0"/>
              <w:widowControl/>
              <w:shd w:val="clear" w:color="auto" w:fill="FFFFFF"/>
              <w:kinsoku/>
              <w:wordWrap/>
              <w:overflowPunct/>
              <w:topLinePunct w:val="0"/>
              <w:bidi w:val="0"/>
              <w:adjustRightInd w:val="0"/>
              <w:snapToGrid w:val="0"/>
              <w:spacing w:line="578" w:lineRule="exact"/>
              <w:jc w:val="center"/>
              <w:rPr>
                <w:rFonts w:ascii="方正仿宋_GBK" w:hAnsi="方正仿宋_GBK" w:eastAsia="方正仿宋_GBK" w:cs="方正仿宋_GBK"/>
                <w:kern w:val="0"/>
                <w:sz w:val="24"/>
                <w:shd w:val="clear" w:color="auto" w:fill="FFFFFF"/>
              </w:rPr>
            </w:pPr>
            <w:r>
              <w:rPr>
                <w:rFonts w:hint="eastAsia" w:ascii="方正仿宋_GBK" w:hAnsi="方正仿宋_GBK" w:eastAsia="方正仿宋_GBK" w:cs="方正仿宋_GBK"/>
                <w:kern w:val="0"/>
                <w:sz w:val="24"/>
                <w:shd w:val="clear" w:color="auto" w:fill="FFFFFF"/>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4" w:hRule="atLeast"/>
          <w:jc w:val="center"/>
        </w:trPr>
        <w:tc>
          <w:tcPr>
            <w:tcW w:w="3268" w:type="dxa"/>
            <w:vAlign w:val="center"/>
          </w:tcPr>
          <w:p>
            <w:pPr>
              <w:keepNext w:val="0"/>
              <w:keepLines w:val="0"/>
              <w:pageBreakBefore w:val="0"/>
              <w:widowControl/>
              <w:kinsoku/>
              <w:wordWrap/>
              <w:overflowPunct/>
              <w:topLinePunct w:val="0"/>
              <w:bidi w:val="0"/>
              <w:spacing w:line="578" w:lineRule="exact"/>
              <w:jc w:val="center"/>
              <w:textAlignment w:val="center"/>
              <w:rPr>
                <w:rFonts w:ascii="方正仿宋_GBK" w:hAnsi="方正仿宋_GBK" w:eastAsia="方正仿宋_GBK" w:cs="方正仿宋_GBK"/>
                <w:kern w:val="0"/>
                <w:sz w:val="24"/>
                <w:shd w:val="clear" w:color="auto" w:fill="FFFFFF"/>
              </w:rPr>
            </w:pPr>
            <w:r>
              <w:rPr>
                <w:rFonts w:hint="eastAsia" w:ascii="方正仿宋_GBK" w:hAnsi="方正仿宋_GBK" w:eastAsia="方正仿宋_GBK" w:cs="方正仿宋_GBK"/>
                <w:kern w:val="0"/>
                <w:sz w:val="24"/>
                <w:lang w:bidi="ar"/>
              </w:rPr>
              <w:t>预决算公开率</w:t>
            </w:r>
          </w:p>
        </w:tc>
        <w:tc>
          <w:tcPr>
            <w:tcW w:w="1677" w:type="dxa"/>
            <w:vAlign w:val="center"/>
          </w:tcPr>
          <w:p>
            <w:pPr>
              <w:keepNext w:val="0"/>
              <w:keepLines w:val="0"/>
              <w:pageBreakBefore w:val="0"/>
              <w:widowControl/>
              <w:shd w:val="clear" w:color="auto" w:fill="FFFFFF"/>
              <w:kinsoku/>
              <w:wordWrap/>
              <w:overflowPunct/>
              <w:topLinePunct w:val="0"/>
              <w:bidi w:val="0"/>
              <w:adjustRightInd w:val="0"/>
              <w:snapToGrid w:val="0"/>
              <w:spacing w:line="578" w:lineRule="exact"/>
              <w:jc w:val="center"/>
              <w:rPr>
                <w:rFonts w:ascii="方正仿宋_GBK" w:hAnsi="方正仿宋_GBK" w:eastAsia="方正仿宋_GBK" w:cs="方正仿宋_GBK"/>
                <w:kern w:val="0"/>
                <w:sz w:val="24"/>
                <w:shd w:val="clear" w:color="auto" w:fill="FFFFFF"/>
              </w:rPr>
            </w:pPr>
            <w:r>
              <w:rPr>
                <w:rFonts w:hint="eastAsia" w:ascii="方正仿宋_GBK" w:hAnsi="方正仿宋_GBK" w:eastAsia="方正仿宋_GBK" w:cs="方正仿宋_GBK"/>
                <w:kern w:val="0"/>
                <w:sz w:val="24"/>
                <w:shd w:val="clear" w:color="auto" w:fill="FFFFFF"/>
              </w:rPr>
              <w:t>5</w:t>
            </w:r>
          </w:p>
        </w:tc>
        <w:tc>
          <w:tcPr>
            <w:tcW w:w="1676" w:type="dxa"/>
            <w:vAlign w:val="center"/>
          </w:tcPr>
          <w:p>
            <w:pPr>
              <w:keepNext w:val="0"/>
              <w:keepLines w:val="0"/>
              <w:pageBreakBefore w:val="0"/>
              <w:widowControl/>
              <w:shd w:val="clear" w:color="auto" w:fill="FFFFFF"/>
              <w:kinsoku/>
              <w:wordWrap/>
              <w:overflowPunct/>
              <w:topLinePunct w:val="0"/>
              <w:bidi w:val="0"/>
              <w:adjustRightInd w:val="0"/>
              <w:snapToGrid w:val="0"/>
              <w:spacing w:line="578" w:lineRule="exact"/>
              <w:jc w:val="center"/>
              <w:rPr>
                <w:rFonts w:ascii="方正仿宋_GBK" w:hAnsi="方正仿宋_GBK" w:eastAsia="方正仿宋_GBK" w:cs="方正仿宋_GBK"/>
                <w:kern w:val="0"/>
                <w:sz w:val="24"/>
                <w:shd w:val="clear" w:color="auto" w:fill="FFFFFF"/>
              </w:rPr>
            </w:pPr>
            <w:r>
              <w:rPr>
                <w:rFonts w:hint="eastAsia" w:ascii="方正仿宋_GBK" w:hAnsi="方正仿宋_GBK" w:eastAsia="方正仿宋_GBK" w:cs="方正仿宋_GBK"/>
                <w:kern w:val="0"/>
                <w:sz w:val="24"/>
                <w:shd w:val="clear" w:color="auto" w:fill="FFFFFF"/>
              </w:rPr>
              <w:t>5</w:t>
            </w:r>
          </w:p>
        </w:tc>
        <w:tc>
          <w:tcPr>
            <w:tcW w:w="1678" w:type="dxa"/>
            <w:vAlign w:val="center"/>
          </w:tcPr>
          <w:p>
            <w:pPr>
              <w:keepNext w:val="0"/>
              <w:keepLines w:val="0"/>
              <w:pageBreakBefore w:val="0"/>
              <w:widowControl/>
              <w:shd w:val="clear" w:color="auto" w:fill="FFFFFF"/>
              <w:kinsoku/>
              <w:wordWrap/>
              <w:overflowPunct/>
              <w:topLinePunct w:val="0"/>
              <w:bidi w:val="0"/>
              <w:adjustRightInd w:val="0"/>
              <w:snapToGrid w:val="0"/>
              <w:spacing w:line="578" w:lineRule="exact"/>
              <w:jc w:val="center"/>
              <w:rPr>
                <w:rFonts w:ascii="方正仿宋_GBK" w:hAnsi="方正仿宋_GBK" w:eastAsia="方正仿宋_GBK" w:cs="方正仿宋_GBK"/>
                <w:kern w:val="0"/>
                <w:sz w:val="24"/>
                <w:shd w:val="clear" w:color="auto" w:fill="FFFFFF"/>
              </w:rPr>
            </w:pPr>
            <w:r>
              <w:rPr>
                <w:rFonts w:hint="eastAsia" w:ascii="方正仿宋_GBK" w:hAnsi="方正仿宋_GBK" w:eastAsia="方正仿宋_GBK" w:cs="方正仿宋_GBK"/>
                <w:kern w:val="0"/>
                <w:sz w:val="24"/>
                <w:shd w:val="clear" w:color="auto" w:fill="FFFFFF"/>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4" w:hRule="atLeast"/>
          <w:jc w:val="center"/>
        </w:trPr>
        <w:tc>
          <w:tcPr>
            <w:tcW w:w="3268" w:type="dxa"/>
            <w:vAlign w:val="center"/>
          </w:tcPr>
          <w:p>
            <w:pPr>
              <w:keepNext w:val="0"/>
              <w:keepLines w:val="0"/>
              <w:pageBreakBefore w:val="0"/>
              <w:widowControl/>
              <w:kinsoku/>
              <w:wordWrap/>
              <w:overflowPunct/>
              <w:topLinePunct w:val="0"/>
              <w:bidi w:val="0"/>
              <w:spacing w:line="578" w:lineRule="exact"/>
              <w:jc w:val="center"/>
              <w:textAlignment w:val="center"/>
              <w:rPr>
                <w:rFonts w:ascii="方正仿宋_GBK" w:hAnsi="方正仿宋_GBK" w:eastAsia="方正仿宋_GBK" w:cs="方正仿宋_GBK"/>
                <w:kern w:val="0"/>
                <w:sz w:val="24"/>
                <w:shd w:val="clear" w:color="auto" w:fill="FFFFFF"/>
              </w:rPr>
            </w:pPr>
            <w:r>
              <w:rPr>
                <w:rFonts w:hint="eastAsia" w:ascii="方正仿宋_GBK" w:hAnsi="方正仿宋_GBK" w:eastAsia="方正仿宋_GBK" w:cs="方正仿宋_GBK"/>
                <w:kern w:val="0"/>
                <w:sz w:val="24"/>
                <w:lang w:bidi="ar"/>
              </w:rPr>
              <w:t>新增公园绿地面积</w:t>
            </w:r>
          </w:p>
        </w:tc>
        <w:tc>
          <w:tcPr>
            <w:tcW w:w="1677" w:type="dxa"/>
            <w:vAlign w:val="center"/>
          </w:tcPr>
          <w:p>
            <w:pPr>
              <w:keepNext w:val="0"/>
              <w:keepLines w:val="0"/>
              <w:pageBreakBefore w:val="0"/>
              <w:widowControl/>
              <w:shd w:val="clear" w:color="auto" w:fill="FFFFFF"/>
              <w:kinsoku/>
              <w:wordWrap/>
              <w:overflowPunct/>
              <w:topLinePunct w:val="0"/>
              <w:bidi w:val="0"/>
              <w:adjustRightInd w:val="0"/>
              <w:snapToGrid w:val="0"/>
              <w:spacing w:line="578" w:lineRule="exact"/>
              <w:jc w:val="center"/>
              <w:rPr>
                <w:rFonts w:ascii="方正仿宋_GBK" w:hAnsi="方正仿宋_GBK" w:eastAsia="方正仿宋_GBK" w:cs="方正仿宋_GBK"/>
                <w:kern w:val="0"/>
                <w:sz w:val="24"/>
                <w:shd w:val="clear" w:color="auto" w:fill="FFFFFF"/>
              </w:rPr>
            </w:pPr>
            <w:r>
              <w:rPr>
                <w:rFonts w:hint="eastAsia" w:ascii="方正仿宋_GBK" w:hAnsi="方正仿宋_GBK" w:eastAsia="方正仿宋_GBK" w:cs="方正仿宋_GBK"/>
                <w:kern w:val="0"/>
                <w:sz w:val="24"/>
                <w:shd w:val="clear" w:color="auto" w:fill="FFFFFF"/>
              </w:rPr>
              <w:t>10</w:t>
            </w:r>
          </w:p>
        </w:tc>
        <w:tc>
          <w:tcPr>
            <w:tcW w:w="1676" w:type="dxa"/>
            <w:vAlign w:val="center"/>
          </w:tcPr>
          <w:p>
            <w:pPr>
              <w:keepNext w:val="0"/>
              <w:keepLines w:val="0"/>
              <w:pageBreakBefore w:val="0"/>
              <w:widowControl/>
              <w:shd w:val="clear" w:color="auto" w:fill="FFFFFF"/>
              <w:kinsoku/>
              <w:wordWrap/>
              <w:overflowPunct/>
              <w:topLinePunct w:val="0"/>
              <w:bidi w:val="0"/>
              <w:adjustRightInd w:val="0"/>
              <w:snapToGrid w:val="0"/>
              <w:spacing w:line="578" w:lineRule="exact"/>
              <w:jc w:val="center"/>
              <w:rPr>
                <w:rFonts w:ascii="方正仿宋_GBK" w:hAnsi="方正仿宋_GBK" w:eastAsia="方正仿宋_GBK" w:cs="方正仿宋_GBK"/>
                <w:kern w:val="0"/>
                <w:sz w:val="24"/>
                <w:shd w:val="clear" w:color="auto" w:fill="FFFFFF"/>
              </w:rPr>
            </w:pPr>
            <w:r>
              <w:rPr>
                <w:rFonts w:hint="eastAsia" w:ascii="方正仿宋_GBK" w:hAnsi="方正仿宋_GBK" w:eastAsia="方正仿宋_GBK" w:cs="方正仿宋_GBK"/>
                <w:kern w:val="0"/>
                <w:sz w:val="24"/>
                <w:shd w:val="clear" w:color="auto" w:fill="FFFFFF"/>
              </w:rPr>
              <w:t>10</w:t>
            </w:r>
          </w:p>
        </w:tc>
        <w:tc>
          <w:tcPr>
            <w:tcW w:w="1678" w:type="dxa"/>
            <w:vAlign w:val="center"/>
          </w:tcPr>
          <w:p>
            <w:pPr>
              <w:keepNext w:val="0"/>
              <w:keepLines w:val="0"/>
              <w:pageBreakBefore w:val="0"/>
              <w:widowControl/>
              <w:shd w:val="clear" w:color="auto" w:fill="FFFFFF"/>
              <w:kinsoku/>
              <w:wordWrap/>
              <w:overflowPunct/>
              <w:topLinePunct w:val="0"/>
              <w:bidi w:val="0"/>
              <w:adjustRightInd w:val="0"/>
              <w:snapToGrid w:val="0"/>
              <w:spacing w:line="578" w:lineRule="exact"/>
              <w:jc w:val="center"/>
              <w:rPr>
                <w:rFonts w:ascii="方正仿宋_GBK" w:hAnsi="方正仿宋_GBK" w:eastAsia="方正仿宋_GBK" w:cs="方正仿宋_GBK"/>
                <w:kern w:val="0"/>
                <w:sz w:val="24"/>
                <w:shd w:val="clear" w:color="auto" w:fill="FFFFFF"/>
              </w:rPr>
            </w:pPr>
            <w:r>
              <w:rPr>
                <w:rFonts w:hint="eastAsia" w:ascii="方正仿宋_GBK" w:hAnsi="方正仿宋_GBK" w:eastAsia="方正仿宋_GBK" w:cs="方正仿宋_GBK"/>
                <w:kern w:val="0"/>
                <w:sz w:val="24"/>
                <w:shd w:val="clear" w:color="auto" w:fill="FFFFFF"/>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4" w:hRule="atLeast"/>
          <w:jc w:val="center"/>
        </w:trPr>
        <w:tc>
          <w:tcPr>
            <w:tcW w:w="3268" w:type="dxa"/>
            <w:vAlign w:val="center"/>
          </w:tcPr>
          <w:p>
            <w:pPr>
              <w:keepNext w:val="0"/>
              <w:keepLines w:val="0"/>
              <w:pageBreakBefore w:val="0"/>
              <w:widowControl/>
              <w:kinsoku/>
              <w:wordWrap/>
              <w:overflowPunct/>
              <w:topLinePunct w:val="0"/>
              <w:bidi w:val="0"/>
              <w:spacing w:line="578" w:lineRule="exact"/>
              <w:jc w:val="center"/>
              <w:textAlignment w:val="center"/>
              <w:rPr>
                <w:rFonts w:ascii="方正仿宋_GBK" w:hAnsi="方正仿宋_GBK" w:eastAsia="方正仿宋_GBK" w:cs="方正仿宋_GBK"/>
                <w:kern w:val="0"/>
                <w:sz w:val="24"/>
                <w:shd w:val="clear" w:color="auto" w:fill="FFFFFF"/>
              </w:rPr>
            </w:pPr>
            <w:r>
              <w:rPr>
                <w:rFonts w:hint="eastAsia" w:ascii="方正仿宋_GBK" w:hAnsi="方正仿宋_GBK" w:eastAsia="方正仿宋_GBK" w:cs="方正仿宋_GBK"/>
                <w:kern w:val="0"/>
                <w:sz w:val="24"/>
                <w:lang w:bidi="ar"/>
              </w:rPr>
              <w:t>提高生活垃圾分类效率</w:t>
            </w:r>
          </w:p>
        </w:tc>
        <w:tc>
          <w:tcPr>
            <w:tcW w:w="1677" w:type="dxa"/>
            <w:vAlign w:val="center"/>
          </w:tcPr>
          <w:p>
            <w:pPr>
              <w:keepNext w:val="0"/>
              <w:keepLines w:val="0"/>
              <w:pageBreakBefore w:val="0"/>
              <w:widowControl/>
              <w:shd w:val="clear" w:color="auto" w:fill="FFFFFF"/>
              <w:kinsoku/>
              <w:wordWrap/>
              <w:overflowPunct/>
              <w:topLinePunct w:val="0"/>
              <w:bidi w:val="0"/>
              <w:adjustRightInd w:val="0"/>
              <w:snapToGrid w:val="0"/>
              <w:spacing w:line="578" w:lineRule="exact"/>
              <w:jc w:val="center"/>
              <w:rPr>
                <w:rFonts w:ascii="方正仿宋_GBK" w:hAnsi="方正仿宋_GBK" w:eastAsia="方正仿宋_GBK" w:cs="方正仿宋_GBK"/>
                <w:kern w:val="0"/>
                <w:sz w:val="24"/>
                <w:shd w:val="clear" w:color="auto" w:fill="FFFFFF"/>
              </w:rPr>
            </w:pPr>
            <w:r>
              <w:rPr>
                <w:rFonts w:hint="eastAsia" w:ascii="方正仿宋_GBK" w:hAnsi="方正仿宋_GBK" w:eastAsia="方正仿宋_GBK" w:cs="方正仿宋_GBK"/>
                <w:kern w:val="0"/>
                <w:sz w:val="24"/>
                <w:shd w:val="clear" w:color="auto" w:fill="FFFFFF"/>
              </w:rPr>
              <w:t>15</w:t>
            </w:r>
          </w:p>
        </w:tc>
        <w:tc>
          <w:tcPr>
            <w:tcW w:w="1676" w:type="dxa"/>
            <w:vAlign w:val="center"/>
          </w:tcPr>
          <w:p>
            <w:pPr>
              <w:keepNext w:val="0"/>
              <w:keepLines w:val="0"/>
              <w:pageBreakBefore w:val="0"/>
              <w:widowControl/>
              <w:shd w:val="clear" w:color="auto" w:fill="FFFFFF"/>
              <w:kinsoku/>
              <w:wordWrap/>
              <w:overflowPunct/>
              <w:topLinePunct w:val="0"/>
              <w:bidi w:val="0"/>
              <w:adjustRightInd w:val="0"/>
              <w:snapToGrid w:val="0"/>
              <w:spacing w:line="578" w:lineRule="exact"/>
              <w:jc w:val="center"/>
              <w:rPr>
                <w:rFonts w:ascii="方正仿宋_GBK" w:hAnsi="方正仿宋_GBK" w:eastAsia="方正仿宋_GBK" w:cs="方正仿宋_GBK"/>
                <w:kern w:val="0"/>
                <w:sz w:val="24"/>
                <w:shd w:val="clear" w:color="auto" w:fill="FFFFFF"/>
              </w:rPr>
            </w:pPr>
            <w:r>
              <w:rPr>
                <w:rFonts w:hint="eastAsia" w:ascii="方正仿宋_GBK" w:hAnsi="方正仿宋_GBK" w:eastAsia="方正仿宋_GBK" w:cs="方正仿宋_GBK"/>
                <w:kern w:val="0"/>
                <w:sz w:val="24"/>
                <w:shd w:val="clear" w:color="auto" w:fill="FFFFFF"/>
              </w:rPr>
              <w:t>13.13</w:t>
            </w:r>
          </w:p>
        </w:tc>
        <w:tc>
          <w:tcPr>
            <w:tcW w:w="1678" w:type="dxa"/>
            <w:vAlign w:val="center"/>
          </w:tcPr>
          <w:p>
            <w:pPr>
              <w:keepNext w:val="0"/>
              <w:keepLines w:val="0"/>
              <w:pageBreakBefore w:val="0"/>
              <w:widowControl/>
              <w:shd w:val="clear" w:color="auto" w:fill="FFFFFF"/>
              <w:kinsoku/>
              <w:wordWrap/>
              <w:overflowPunct/>
              <w:topLinePunct w:val="0"/>
              <w:bidi w:val="0"/>
              <w:adjustRightInd w:val="0"/>
              <w:snapToGrid w:val="0"/>
              <w:spacing w:line="578" w:lineRule="exact"/>
              <w:jc w:val="center"/>
              <w:rPr>
                <w:rFonts w:ascii="方正仿宋_GBK" w:hAnsi="方正仿宋_GBK" w:eastAsia="方正仿宋_GBK" w:cs="方正仿宋_GBK"/>
                <w:kern w:val="0"/>
                <w:sz w:val="24"/>
                <w:shd w:val="clear" w:color="auto" w:fill="FFFFFF"/>
              </w:rPr>
            </w:pPr>
            <w:r>
              <w:rPr>
                <w:rFonts w:hint="eastAsia" w:ascii="方正仿宋_GBK" w:hAnsi="方正仿宋_GBK" w:eastAsia="方正仿宋_GBK" w:cs="方正仿宋_GBK"/>
                <w:kern w:val="0"/>
                <w:sz w:val="24"/>
                <w:shd w:val="clear" w:color="auto" w:fill="FFFFFF"/>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jc w:val="center"/>
        </w:trPr>
        <w:tc>
          <w:tcPr>
            <w:tcW w:w="3268" w:type="dxa"/>
            <w:vAlign w:val="center"/>
          </w:tcPr>
          <w:p>
            <w:pPr>
              <w:keepNext w:val="0"/>
              <w:keepLines w:val="0"/>
              <w:pageBreakBefore w:val="0"/>
              <w:widowControl/>
              <w:kinsoku/>
              <w:wordWrap/>
              <w:overflowPunct/>
              <w:topLinePunct w:val="0"/>
              <w:bidi w:val="0"/>
              <w:spacing w:line="578" w:lineRule="exact"/>
              <w:jc w:val="center"/>
              <w:textAlignment w:val="center"/>
              <w:rPr>
                <w:rFonts w:ascii="方正仿宋_GBK" w:hAnsi="方正仿宋_GBK" w:eastAsia="方正仿宋_GBK" w:cs="方正仿宋_GBK"/>
                <w:kern w:val="0"/>
                <w:sz w:val="24"/>
                <w:shd w:val="clear" w:color="auto" w:fill="FFFFFF"/>
              </w:rPr>
            </w:pPr>
            <w:r>
              <w:rPr>
                <w:rFonts w:hint="eastAsia" w:ascii="方正仿宋_GBK" w:hAnsi="方正仿宋_GBK" w:eastAsia="方正仿宋_GBK" w:cs="方正仿宋_GBK"/>
                <w:kern w:val="0"/>
                <w:sz w:val="24"/>
                <w:lang w:bidi="ar"/>
              </w:rPr>
              <w:t>发展绿色照明LED灯数量</w:t>
            </w:r>
          </w:p>
        </w:tc>
        <w:tc>
          <w:tcPr>
            <w:tcW w:w="1677" w:type="dxa"/>
            <w:vAlign w:val="center"/>
          </w:tcPr>
          <w:p>
            <w:pPr>
              <w:keepNext w:val="0"/>
              <w:keepLines w:val="0"/>
              <w:pageBreakBefore w:val="0"/>
              <w:widowControl/>
              <w:shd w:val="clear" w:color="auto" w:fill="FFFFFF"/>
              <w:kinsoku/>
              <w:wordWrap/>
              <w:overflowPunct/>
              <w:topLinePunct w:val="0"/>
              <w:bidi w:val="0"/>
              <w:adjustRightInd w:val="0"/>
              <w:snapToGrid w:val="0"/>
              <w:spacing w:line="578" w:lineRule="exact"/>
              <w:jc w:val="center"/>
              <w:rPr>
                <w:rFonts w:ascii="方正仿宋_GBK" w:hAnsi="方正仿宋_GBK" w:eastAsia="方正仿宋_GBK" w:cs="方正仿宋_GBK"/>
                <w:kern w:val="0"/>
                <w:sz w:val="24"/>
                <w:shd w:val="clear" w:color="auto" w:fill="FFFFFF"/>
              </w:rPr>
            </w:pPr>
            <w:r>
              <w:rPr>
                <w:rFonts w:hint="eastAsia" w:ascii="方正仿宋_GBK" w:hAnsi="方正仿宋_GBK" w:eastAsia="方正仿宋_GBK" w:cs="方正仿宋_GBK"/>
                <w:kern w:val="0"/>
                <w:sz w:val="24"/>
                <w:shd w:val="clear" w:color="auto" w:fill="FFFFFF"/>
              </w:rPr>
              <w:t>10</w:t>
            </w:r>
          </w:p>
        </w:tc>
        <w:tc>
          <w:tcPr>
            <w:tcW w:w="1676" w:type="dxa"/>
            <w:vAlign w:val="center"/>
          </w:tcPr>
          <w:p>
            <w:pPr>
              <w:keepNext w:val="0"/>
              <w:keepLines w:val="0"/>
              <w:pageBreakBefore w:val="0"/>
              <w:widowControl/>
              <w:shd w:val="clear" w:color="auto" w:fill="FFFFFF"/>
              <w:kinsoku/>
              <w:wordWrap/>
              <w:overflowPunct/>
              <w:topLinePunct w:val="0"/>
              <w:bidi w:val="0"/>
              <w:adjustRightInd w:val="0"/>
              <w:snapToGrid w:val="0"/>
              <w:spacing w:line="578" w:lineRule="exact"/>
              <w:jc w:val="center"/>
              <w:rPr>
                <w:rFonts w:ascii="方正仿宋_GBK" w:hAnsi="方正仿宋_GBK" w:eastAsia="方正仿宋_GBK" w:cs="方正仿宋_GBK"/>
                <w:kern w:val="0"/>
                <w:sz w:val="24"/>
                <w:shd w:val="clear" w:color="auto" w:fill="FFFFFF"/>
              </w:rPr>
            </w:pPr>
            <w:r>
              <w:rPr>
                <w:rFonts w:hint="eastAsia" w:ascii="方正仿宋_GBK" w:hAnsi="方正仿宋_GBK" w:eastAsia="方正仿宋_GBK" w:cs="方正仿宋_GBK"/>
                <w:kern w:val="0"/>
                <w:sz w:val="24"/>
                <w:shd w:val="clear" w:color="auto" w:fill="FFFFFF"/>
              </w:rPr>
              <w:t>10</w:t>
            </w:r>
          </w:p>
        </w:tc>
        <w:tc>
          <w:tcPr>
            <w:tcW w:w="1678" w:type="dxa"/>
            <w:vAlign w:val="center"/>
          </w:tcPr>
          <w:p>
            <w:pPr>
              <w:keepNext w:val="0"/>
              <w:keepLines w:val="0"/>
              <w:pageBreakBefore w:val="0"/>
              <w:widowControl/>
              <w:shd w:val="clear" w:color="auto" w:fill="FFFFFF"/>
              <w:kinsoku/>
              <w:wordWrap/>
              <w:overflowPunct/>
              <w:topLinePunct w:val="0"/>
              <w:bidi w:val="0"/>
              <w:adjustRightInd w:val="0"/>
              <w:snapToGrid w:val="0"/>
              <w:spacing w:line="578" w:lineRule="exact"/>
              <w:jc w:val="center"/>
              <w:rPr>
                <w:rFonts w:ascii="方正仿宋_GBK" w:hAnsi="方正仿宋_GBK" w:eastAsia="方正仿宋_GBK" w:cs="方正仿宋_GBK"/>
                <w:kern w:val="0"/>
                <w:sz w:val="24"/>
                <w:shd w:val="clear" w:color="auto" w:fill="FFFFFF"/>
              </w:rPr>
            </w:pPr>
            <w:r>
              <w:rPr>
                <w:rFonts w:hint="eastAsia" w:ascii="方正仿宋_GBK" w:hAnsi="方正仿宋_GBK" w:eastAsia="方正仿宋_GBK" w:cs="方正仿宋_GBK"/>
                <w:kern w:val="0"/>
                <w:sz w:val="24"/>
                <w:shd w:val="clear" w:color="auto" w:fill="FFFFFF"/>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jc w:val="center"/>
        </w:trPr>
        <w:tc>
          <w:tcPr>
            <w:tcW w:w="3268" w:type="dxa"/>
            <w:vAlign w:val="center"/>
          </w:tcPr>
          <w:p>
            <w:pPr>
              <w:keepNext w:val="0"/>
              <w:keepLines w:val="0"/>
              <w:pageBreakBefore w:val="0"/>
              <w:widowControl/>
              <w:kinsoku/>
              <w:wordWrap/>
              <w:overflowPunct/>
              <w:topLinePunct w:val="0"/>
              <w:bidi w:val="0"/>
              <w:spacing w:line="578" w:lineRule="exact"/>
              <w:jc w:val="center"/>
              <w:textAlignment w:val="center"/>
              <w:rPr>
                <w:rFonts w:ascii="方正仿宋_GBK" w:hAnsi="方正仿宋_GBK" w:eastAsia="方正仿宋_GBK" w:cs="方正仿宋_GBK"/>
                <w:kern w:val="0"/>
                <w:sz w:val="24"/>
                <w:shd w:val="clear" w:color="auto" w:fill="FFFFFF"/>
              </w:rPr>
            </w:pPr>
            <w:r>
              <w:rPr>
                <w:rFonts w:hint="eastAsia" w:ascii="方正仿宋_GBK" w:hAnsi="方正仿宋_GBK" w:eastAsia="方正仿宋_GBK" w:cs="方正仿宋_GBK"/>
                <w:kern w:val="0"/>
                <w:sz w:val="24"/>
                <w:lang w:bidi="ar"/>
              </w:rPr>
              <w:t>市政设施完好率</w:t>
            </w:r>
          </w:p>
        </w:tc>
        <w:tc>
          <w:tcPr>
            <w:tcW w:w="1677" w:type="dxa"/>
            <w:vAlign w:val="center"/>
          </w:tcPr>
          <w:p>
            <w:pPr>
              <w:keepNext w:val="0"/>
              <w:keepLines w:val="0"/>
              <w:pageBreakBefore w:val="0"/>
              <w:widowControl/>
              <w:shd w:val="clear" w:color="auto" w:fill="FFFFFF"/>
              <w:kinsoku/>
              <w:wordWrap/>
              <w:overflowPunct/>
              <w:topLinePunct w:val="0"/>
              <w:bidi w:val="0"/>
              <w:adjustRightInd w:val="0"/>
              <w:snapToGrid w:val="0"/>
              <w:spacing w:line="578" w:lineRule="exact"/>
              <w:jc w:val="center"/>
              <w:rPr>
                <w:rFonts w:ascii="方正仿宋_GBK" w:hAnsi="方正仿宋_GBK" w:eastAsia="方正仿宋_GBK" w:cs="方正仿宋_GBK"/>
                <w:kern w:val="0"/>
                <w:sz w:val="24"/>
                <w:shd w:val="clear" w:color="auto" w:fill="FFFFFF"/>
              </w:rPr>
            </w:pPr>
            <w:r>
              <w:rPr>
                <w:rFonts w:hint="eastAsia" w:ascii="方正仿宋_GBK" w:hAnsi="方正仿宋_GBK" w:eastAsia="方正仿宋_GBK" w:cs="方正仿宋_GBK"/>
                <w:kern w:val="0"/>
                <w:sz w:val="24"/>
                <w:shd w:val="clear" w:color="auto" w:fill="FFFFFF"/>
              </w:rPr>
              <w:t>10</w:t>
            </w:r>
          </w:p>
        </w:tc>
        <w:tc>
          <w:tcPr>
            <w:tcW w:w="1676" w:type="dxa"/>
            <w:vAlign w:val="center"/>
          </w:tcPr>
          <w:p>
            <w:pPr>
              <w:keepNext w:val="0"/>
              <w:keepLines w:val="0"/>
              <w:pageBreakBefore w:val="0"/>
              <w:widowControl/>
              <w:shd w:val="clear" w:color="auto" w:fill="FFFFFF"/>
              <w:kinsoku/>
              <w:wordWrap/>
              <w:overflowPunct/>
              <w:topLinePunct w:val="0"/>
              <w:bidi w:val="0"/>
              <w:adjustRightInd w:val="0"/>
              <w:snapToGrid w:val="0"/>
              <w:spacing w:line="578" w:lineRule="exact"/>
              <w:jc w:val="center"/>
              <w:rPr>
                <w:rFonts w:ascii="方正仿宋_GBK" w:hAnsi="方正仿宋_GBK" w:eastAsia="方正仿宋_GBK" w:cs="方正仿宋_GBK"/>
                <w:kern w:val="0"/>
                <w:sz w:val="24"/>
                <w:shd w:val="clear" w:color="auto" w:fill="FFFFFF"/>
              </w:rPr>
            </w:pPr>
            <w:r>
              <w:rPr>
                <w:rFonts w:hint="eastAsia" w:ascii="方正仿宋_GBK" w:hAnsi="方正仿宋_GBK" w:eastAsia="方正仿宋_GBK" w:cs="方正仿宋_GBK"/>
                <w:kern w:val="0"/>
                <w:sz w:val="24"/>
                <w:shd w:val="clear" w:color="auto" w:fill="FFFFFF"/>
              </w:rPr>
              <w:t>10</w:t>
            </w:r>
          </w:p>
        </w:tc>
        <w:tc>
          <w:tcPr>
            <w:tcW w:w="1678" w:type="dxa"/>
            <w:vAlign w:val="center"/>
          </w:tcPr>
          <w:p>
            <w:pPr>
              <w:keepNext w:val="0"/>
              <w:keepLines w:val="0"/>
              <w:pageBreakBefore w:val="0"/>
              <w:widowControl/>
              <w:shd w:val="clear" w:color="auto" w:fill="FFFFFF"/>
              <w:kinsoku/>
              <w:wordWrap/>
              <w:overflowPunct/>
              <w:topLinePunct w:val="0"/>
              <w:bidi w:val="0"/>
              <w:adjustRightInd w:val="0"/>
              <w:snapToGrid w:val="0"/>
              <w:spacing w:line="578" w:lineRule="exact"/>
              <w:jc w:val="center"/>
              <w:rPr>
                <w:rFonts w:ascii="方正仿宋_GBK" w:hAnsi="方正仿宋_GBK" w:eastAsia="方正仿宋_GBK" w:cs="方正仿宋_GBK"/>
                <w:kern w:val="0"/>
                <w:sz w:val="24"/>
                <w:shd w:val="clear" w:color="auto" w:fill="FFFFFF"/>
              </w:rPr>
            </w:pPr>
            <w:r>
              <w:rPr>
                <w:rFonts w:hint="eastAsia" w:ascii="方正仿宋_GBK" w:hAnsi="方正仿宋_GBK" w:eastAsia="方正仿宋_GBK" w:cs="方正仿宋_GBK"/>
                <w:kern w:val="0"/>
                <w:sz w:val="24"/>
                <w:shd w:val="clear" w:color="auto" w:fill="FFFFFF"/>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6" w:hRule="atLeast"/>
          <w:jc w:val="center"/>
        </w:trPr>
        <w:tc>
          <w:tcPr>
            <w:tcW w:w="3268" w:type="dxa"/>
            <w:vAlign w:val="center"/>
          </w:tcPr>
          <w:p>
            <w:pPr>
              <w:keepNext w:val="0"/>
              <w:keepLines w:val="0"/>
              <w:pageBreakBefore w:val="0"/>
              <w:widowControl/>
              <w:kinsoku/>
              <w:wordWrap/>
              <w:overflowPunct/>
              <w:topLinePunct w:val="0"/>
              <w:bidi w:val="0"/>
              <w:spacing w:line="578" w:lineRule="exact"/>
              <w:jc w:val="center"/>
              <w:textAlignment w:val="center"/>
              <w:rPr>
                <w:rFonts w:ascii="方正仿宋_GBK" w:hAnsi="方正仿宋_GBK" w:eastAsia="方正仿宋_GBK" w:cs="方正仿宋_GBK"/>
                <w:kern w:val="0"/>
                <w:sz w:val="24"/>
                <w:shd w:val="clear" w:color="auto" w:fill="FFFFFF"/>
              </w:rPr>
            </w:pPr>
            <w:r>
              <w:rPr>
                <w:rFonts w:hint="eastAsia" w:ascii="方正仿宋_GBK" w:hAnsi="方正仿宋_GBK" w:eastAsia="方正仿宋_GBK" w:cs="方正仿宋_GBK"/>
                <w:kern w:val="0"/>
                <w:sz w:val="24"/>
                <w:lang w:bidi="ar"/>
              </w:rPr>
              <w:t>项目绩效管理率</w:t>
            </w:r>
          </w:p>
        </w:tc>
        <w:tc>
          <w:tcPr>
            <w:tcW w:w="1677" w:type="dxa"/>
            <w:vAlign w:val="center"/>
          </w:tcPr>
          <w:p>
            <w:pPr>
              <w:keepNext w:val="0"/>
              <w:keepLines w:val="0"/>
              <w:pageBreakBefore w:val="0"/>
              <w:widowControl/>
              <w:shd w:val="clear" w:color="auto" w:fill="FFFFFF"/>
              <w:kinsoku/>
              <w:wordWrap/>
              <w:overflowPunct/>
              <w:topLinePunct w:val="0"/>
              <w:bidi w:val="0"/>
              <w:adjustRightInd w:val="0"/>
              <w:snapToGrid w:val="0"/>
              <w:spacing w:line="578" w:lineRule="exact"/>
              <w:jc w:val="center"/>
              <w:rPr>
                <w:rFonts w:ascii="方正仿宋_GBK" w:hAnsi="方正仿宋_GBK" w:eastAsia="方正仿宋_GBK" w:cs="方正仿宋_GBK"/>
                <w:kern w:val="0"/>
                <w:sz w:val="24"/>
                <w:shd w:val="clear" w:color="auto" w:fill="FFFFFF"/>
              </w:rPr>
            </w:pPr>
            <w:r>
              <w:rPr>
                <w:rFonts w:hint="eastAsia" w:ascii="方正仿宋_GBK" w:hAnsi="方正仿宋_GBK" w:eastAsia="方正仿宋_GBK" w:cs="方正仿宋_GBK"/>
                <w:kern w:val="0"/>
                <w:sz w:val="24"/>
                <w:shd w:val="clear" w:color="auto" w:fill="FFFFFF"/>
              </w:rPr>
              <w:t>7</w:t>
            </w:r>
          </w:p>
        </w:tc>
        <w:tc>
          <w:tcPr>
            <w:tcW w:w="1676" w:type="dxa"/>
            <w:vAlign w:val="center"/>
          </w:tcPr>
          <w:p>
            <w:pPr>
              <w:keepNext w:val="0"/>
              <w:keepLines w:val="0"/>
              <w:pageBreakBefore w:val="0"/>
              <w:widowControl/>
              <w:shd w:val="clear" w:color="auto" w:fill="FFFFFF"/>
              <w:kinsoku/>
              <w:wordWrap/>
              <w:overflowPunct/>
              <w:topLinePunct w:val="0"/>
              <w:bidi w:val="0"/>
              <w:adjustRightInd w:val="0"/>
              <w:snapToGrid w:val="0"/>
              <w:spacing w:line="578" w:lineRule="exact"/>
              <w:jc w:val="center"/>
              <w:rPr>
                <w:rFonts w:ascii="方正仿宋_GBK" w:hAnsi="方正仿宋_GBK" w:eastAsia="方正仿宋_GBK" w:cs="方正仿宋_GBK"/>
                <w:kern w:val="0"/>
                <w:sz w:val="24"/>
                <w:shd w:val="clear" w:color="auto" w:fill="FFFFFF"/>
              </w:rPr>
            </w:pPr>
            <w:r>
              <w:rPr>
                <w:rFonts w:hint="eastAsia" w:ascii="方正仿宋_GBK" w:hAnsi="方正仿宋_GBK" w:eastAsia="方正仿宋_GBK" w:cs="方正仿宋_GBK"/>
                <w:kern w:val="0"/>
                <w:sz w:val="24"/>
                <w:shd w:val="clear" w:color="auto" w:fill="FFFFFF"/>
              </w:rPr>
              <w:t>7</w:t>
            </w:r>
          </w:p>
        </w:tc>
        <w:tc>
          <w:tcPr>
            <w:tcW w:w="1678" w:type="dxa"/>
            <w:vAlign w:val="center"/>
          </w:tcPr>
          <w:p>
            <w:pPr>
              <w:keepNext w:val="0"/>
              <w:keepLines w:val="0"/>
              <w:pageBreakBefore w:val="0"/>
              <w:widowControl/>
              <w:shd w:val="clear" w:color="auto" w:fill="FFFFFF"/>
              <w:kinsoku/>
              <w:wordWrap/>
              <w:overflowPunct/>
              <w:topLinePunct w:val="0"/>
              <w:bidi w:val="0"/>
              <w:adjustRightInd w:val="0"/>
              <w:snapToGrid w:val="0"/>
              <w:spacing w:line="578" w:lineRule="exact"/>
              <w:jc w:val="center"/>
              <w:rPr>
                <w:rFonts w:ascii="方正仿宋_GBK" w:hAnsi="方正仿宋_GBK" w:eastAsia="方正仿宋_GBK" w:cs="方正仿宋_GBK"/>
                <w:kern w:val="0"/>
                <w:sz w:val="24"/>
                <w:shd w:val="clear" w:color="auto" w:fill="FFFFFF"/>
              </w:rPr>
            </w:pPr>
            <w:r>
              <w:rPr>
                <w:rFonts w:hint="eastAsia" w:ascii="方正仿宋_GBK" w:hAnsi="方正仿宋_GBK" w:eastAsia="方正仿宋_GBK" w:cs="方正仿宋_GBK"/>
                <w:kern w:val="0"/>
                <w:sz w:val="24"/>
                <w:shd w:val="clear" w:color="auto" w:fill="FFFFFF"/>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jc w:val="center"/>
        </w:trPr>
        <w:tc>
          <w:tcPr>
            <w:tcW w:w="3268" w:type="dxa"/>
            <w:vAlign w:val="center"/>
          </w:tcPr>
          <w:p>
            <w:pPr>
              <w:keepNext w:val="0"/>
              <w:keepLines w:val="0"/>
              <w:pageBreakBefore w:val="0"/>
              <w:widowControl/>
              <w:kinsoku/>
              <w:wordWrap/>
              <w:overflowPunct/>
              <w:topLinePunct w:val="0"/>
              <w:bidi w:val="0"/>
              <w:spacing w:line="578" w:lineRule="exact"/>
              <w:jc w:val="center"/>
              <w:textAlignment w:val="center"/>
              <w:rPr>
                <w:rFonts w:ascii="方正仿宋_GBK" w:hAnsi="方正仿宋_GBK" w:eastAsia="方正仿宋_GBK" w:cs="方正仿宋_GBK"/>
                <w:kern w:val="0"/>
                <w:sz w:val="24"/>
                <w:shd w:val="clear" w:color="auto" w:fill="FFFFFF"/>
              </w:rPr>
            </w:pPr>
            <w:r>
              <w:rPr>
                <w:rFonts w:hint="eastAsia" w:ascii="方正仿宋_GBK" w:hAnsi="方正仿宋_GBK" w:eastAsia="方正仿宋_GBK" w:cs="方正仿宋_GBK"/>
                <w:kern w:val="0"/>
                <w:sz w:val="24"/>
                <w:lang w:bidi="ar"/>
              </w:rPr>
              <w:t>餐厨垃圾收运处置全覆盖</w:t>
            </w:r>
          </w:p>
        </w:tc>
        <w:tc>
          <w:tcPr>
            <w:tcW w:w="1677" w:type="dxa"/>
            <w:vAlign w:val="center"/>
          </w:tcPr>
          <w:p>
            <w:pPr>
              <w:keepNext w:val="0"/>
              <w:keepLines w:val="0"/>
              <w:pageBreakBefore w:val="0"/>
              <w:widowControl/>
              <w:shd w:val="clear" w:color="auto" w:fill="FFFFFF"/>
              <w:kinsoku/>
              <w:wordWrap/>
              <w:overflowPunct/>
              <w:topLinePunct w:val="0"/>
              <w:bidi w:val="0"/>
              <w:adjustRightInd w:val="0"/>
              <w:snapToGrid w:val="0"/>
              <w:spacing w:line="578" w:lineRule="exact"/>
              <w:jc w:val="center"/>
              <w:rPr>
                <w:rFonts w:ascii="方正仿宋_GBK" w:hAnsi="方正仿宋_GBK" w:eastAsia="方正仿宋_GBK" w:cs="方正仿宋_GBK"/>
                <w:kern w:val="0"/>
                <w:sz w:val="24"/>
                <w:shd w:val="clear" w:color="auto" w:fill="FFFFFF"/>
              </w:rPr>
            </w:pPr>
            <w:r>
              <w:rPr>
                <w:rFonts w:hint="eastAsia" w:ascii="方正仿宋_GBK" w:hAnsi="方正仿宋_GBK" w:eastAsia="方正仿宋_GBK" w:cs="方正仿宋_GBK"/>
                <w:kern w:val="0"/>
                <w:sz w:val="24"/>
                <w:shd w:val="clear" w:color="auto" w:fill="FFFFFF"/>
              </w:rPr>
              <w:t>10</w:t>
            </w:r>
          </w:p>
        </w:tc>
        <w:tc>
          <w:tcPr>
            <w:tcW w:w="1676" w:type="dxa"/>
            <w:vAlign w:val="center"/>
          </w:tcPr>
          <w:p>
            <w:pPr>
              <w:keepNext w:val="0"/>
              <w:keepLines w:val="0"/>
              <w:pageBreakBefore w:val="0"/>
              <w:widowControl/>
              <w:shd w:val="clear" w:color="auto" w:fill="FFFFFF"/>
              <w:kinsoku/>
              <w:wordWrap/>
              <w:overflowPunct/>
              <w:topLinePunct w:val="0"/>
              <w:bidi w:val="0"/>
              <w:adjustRightInd w:val="0"/>
              <w:snapToGrid w:val="0"/>
              <w:spacing w:line="578" w:lineRule="exact"/>
              <w:jc w:val="center"/>
              <w:rPr>
                <w:rFonts w:ascii="方正仿宋_GBK" w:hAnsi="方正仿宋_GBK" w:eastAsia="方正仿宋_GBK" w:cs="方正仿宋_GBK"/>
                <w:kern w:val="0"/>
                <w:sz w:val="24"/>
                <w:shd w:val="clear" w:color="auto" w:fill="FFFFFF"/>
              </w:rPr>
            </w:pPr>
            <w:r>
              <w:rPr>
                <w:rFonts w:hint="eastAsia" w:ascii="方正仿宋_GBK" w:hAnsi="方正仿宋_GBK" w:eastAsia="方正仿宋_GBK" w:cs="方正仿宋_GBK"/>
                <w:kern w:val="0"/>
                <w:sz w:val="24"/>
                <w:shd w:val="clear" w:color="auto" w:fill="FFFFFF"/>
              </w:rPr>
              <w:t>10</w:t>
            </w:r>
          </w:p>
        </w:tc>
        <w:tc>
          <w:tcPr>
            <w:tcW w:w="1678" w:type="dxa"/>
            <w:vAlign w:val="center"/>
          </w:tcPr>
          <w:p>
            <w:pPr>
              <w:keepNext w:val="0"/>
              <w:keepLines w:val="0"/>
              <w:pageBreakBefore w:val="0"/>
              <w:widowControl/>
              <w:shd w:val="clear" w:color="auto" w:fill="FFFFFF"/>
              <w:kinsoku/>
              <w:wordWrap/>
              <w:overflowPunct/>
              <w:topLinePunct w:val="0"/>
              <w:bidi w:val="0"/>
              <w:adjustRightInd w:val="0"/>
              <w:snapToGrid w:val="0"/>
              <w:spacing w:line="578" w:lineRule="exact"/>
              <w:jc w:val="center"/>
              <w:rPr>
                <w:rFonts w:ascii="方正仿宋_GBK" w:hAnsi="方正仿宋_GBK" w:eastAsia="方正仿宋_GBK" w:cs="方正仿宋_GBK"/>
                <w:kern w:val="0"/>
                <w:sz w:val="24"/>
                <w:shd w:val="clear" w:color="auto" w:fill="FFFFFF"/>
              </w:rPr>
            </w:pPr>
            <w:r>
              <w:rPr>
                <w:rFonts w:hint="eastAsia" w:ascii="方正仿宋_GBK" w:hAnsi="方正仿宋_GBK" w:eastAsia="方正仿宋_GBK" w:cs="方正仿宋_GBK"/>
                <w:kern w:val="0"/>
                <w:sz w:val="24"/>
                <w:shd w:val="clear" w:color="auto" w:fill="FFFFFF"/>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jc w:val="center"/>
        </w:trPr>
        <w:tc>
          <w:tcPr>
            <w:tcW w:w="3268" w:type="dxa"/>
            <w:vAlign w:val="center"/>
          </w:tcPr>
          <w:p>
            <w:pPr>
              <w:keepNext w:val="0"/>
              <w:keepLines w:val="0"/>
              <w:pageBreakBefore w:val="0"/>
              <w:widowControl/>
              <w:kinsoku/>
              <w:wordWrap/>
              <w:overflowPunct/>
              <w:topLinePunct w:val="0"/>
              <w:bidi w:val="0"/>
              <w:spacing w:line="578" w:lineRule="exact"/>
              <w:jc w:val="center"/>
              <w:textAlignment w:val="center"/>
              <w:rPr>
                <w:rFonts w:ascii="方正仿宋_GBK" w:hAnsi="方正仿宋_GBK" w:eastAsia="方正仿宋_GBK" w:cs="方正仿宋_GBK"/>
                <w:kern w:val="0"/>
                <w:sz w:val="24"/>
                <w:lang w:bidi="ar"/>
              </w:rPr>
            </w:pPr>
            <w:r>
              <w:rPr>
                <w:rFonts w:hint="eastAsia" w:ascii="方正仿宋_GBK" w:hAnsi="方正仿宋_GBK" w:eastAsia="方正仿宋_GBK" w:cs="方正仿宋_GBK"/>
                <w:kern w:val="0"/>
                <w:sz w:val="24"/>
                <w:lang w:bidi="ar"/>
              </w:rPr>
              <w:t>新增违法建筑实现零增长</w:t>
            </w:r>
          </w:p>
        </w:tc>
        <w:tc>
          <w:tcPr>
            <w:tcW w:w="1677" w:type="dxa"/>
            <w:vAlign w:val="center"/>
          </w:tcPr>
          <w:p>
            <w:pPr>
              <w:keepNext w:val="0"/>
              <w:keepLines w:val="0"/>
              <w:pageBreakBefore w:val="0"/>
              <w:widowControl/>
              <w:shd w:val="clear" w:color="auto" w:fill="FFFFFF"/>
              <w:kinsoku/>
              <w:wordWrap/>
              <w:overflowPunct/>
              <w:topLinePunct w:val="0"/>
              <w:bidi w:val="0"/>
              <w:adjustRightInd w:val="0"/>
              <w:snapToGrid w:val="0"/>
              <w:spacing w:line="578" w:lineRule="exact"/>
              <w:jc w:val="center"/>
              <w:rPr>
                <w:rFonts w:ascii="方正仿宋_GBK" w:hAnsi="方正仿宋_GBK" w:eastAsia="方正仿宋_GBK" w:cs="方正仿宋_GBK"/>
                <w:kern w:val="0"/>
                <w:sz w:val="24"/>
                <w:shd w:val="clear" w:color="auto" w:fill="FFFFFF"/>
              </w:rPr>
            </w:pPr>
            <w:r>
              <w:rPr>
                <w:rFonts w:hint="eastAsia" w:ascii="方正仿宋_GBK" w:hAnsi="方正仿宋_GBK" w:eastAsia="方正仿宋_GBK" w:cs="方正仿宋_GBK"/>
                <w:kern w:val="0"/>
                <w:sz w:val="24"/>
                <w:shd w:val="clear" w:color="auto" w:fill="FFFFFF"/>
              </w:rPr>
              <w:t>15</w:t>
            </w:r>
          </w:p>
        </w:tc>
        <w:tc>
          <w:tcPr>
            <w:tcW w:w="1676" w:type="dxa"/>
            <w:vAlign w:val="center"/>
          </w:tcPr>
          <w:p>
            <w:pPr>
              <w:keepNext w:val="0"/>
              <w:keepLines w:val="0"/>
              <w:pageBreakBefore w:val="0"/>
              <w:widowControl/>
              <w:shd w:val="clear" w:color="auto" w:fill="FFFFFF"/>
              <w:kinsoku/>
              <w:wordWrap/>
              <w:overflowPunct/>
              <w:topLinePunct w:val="0"/>
              <w:bidi w:val="0"/>
              <w:adjustRightInd w:val="0"/>
              <w:snapToGrid w:val="0"/>
              <w:spacing w:line="578" w:lineRule="exact"/>
              <w:jc w:val="center"/>
              <w:rPr>
                <w:rFonts w:ascii="方正仿宋_GBK" w:hAnsi="方正仿宋_GBK" w:eastAsia="方正仿宋_GBK" w:cs="方正仿宋_GBK"/>
                <w:kern w:val="0"/>
                <w:sz w:val="24"/>
                <w:shd w:val="clear" w:color="auto" w:fill="FFFFFF"/>
              </w:rPr>
            </w:pPr>
            <w:r>
              <w:rPr>
                <w:rFonts w:hint="eastAsia" w:ascii="方正仿宋_GBK" w:hAnsi="方正仿宋_GBK" w:eastAsia="方正仿宋_GBK" w:cs="方正仿宋_GBK"/>
                <w:kern w:val="0"/>
                <w:sz w:val="24"/>
                <w:shd w:val="clear" w:color="auto" w:fill="FFFFFF"/>
              </w:rPr>
              <w:t>15</w:t>
            </w:r>
          </w:p>
        </w:tc>
        <w:tc>
          <w:tcPr>
            <w:tcW w:w="1678" w:type="dxa"/>
            <w:vAlign w:val="center"/>
          </w:tcPr>
          <w:p>
            <w:pPr>
              <w:keepNext w:val="0"/>
              <w:keepLines w:val="0"/>
              <w:pageBreakBefore w:val="0"/>
              <w:widowControl/>
              <w:shd w:val="clear" w:color="auto" w:fill="FFFFFF"/>
              <w:kinsoku/>
              <w:wordWrap/>
              <w:overflowPunct/>
              <w:topLinePunct w:val="0"/>
              <w:bidi w:val="0"/>
              <w:adjustRightInd w:val="0"/>
              <w:snapToGrid w:val="0"/>
              <w:spacing w:line="578" w:lineRule="exact"/>
              <w:jc w:val="center"/>
              <w:rPr>
                <w:rFonts w:ascii="方正仿宋_GBK" w:hAnsi="方正仿宋_GBK" w:eastAsia="方正仿宋_GBK" w:cs="方正仿宋_GBK"/>
                <w:kern w:val="0"/>
                <w:sz w:val="24"/>
                <w:shd w:val="clear" w:color="auto" w:fill="FFFFFF"/>
              </w:rPr>
            </w:pPr>
            <w:r>
              <w:rPr>
                <w:rFonts w:hint="eastAsia" w:ascii="方正仿宋_GBK" w:hAnsi="方正仿宋_GBK" w:eastAsia="方正仿宋_GBK" w:cs="方正仿宋_GBK"/>
                <w:kern w:val="0"/>
                <w:sz w:val="24"/>
                <w:shd w:val="clear" w:color="auto" w:fill="FFFFFF"/>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jc w:val="center"/>
        </w:trPr>
        <w:tc>
          <w:tcPr>
            <w:tcW w:w="3268" w:type="dxa"/>
            <w:vAlign w:val="center"/>
          </w:tcPr>
          <w:p>
            <w:pPr>
              <w:keepNext w:val="0"/>
              <w:keepLines w:val="0"/>
              <w:pageBreakBefore w:val="0"/>
              <w:widowControl/>
              <w:kinsoku/>
              <w:wordWrap/>
              <w:overflowPunct/>
              <w:topLinePunct w:val="0"/>
              <w:bidi w:val="0"/>
              <w:spacing w:line="578" w:lineRule="exact"/>
              <w:jc w:val="center"/>
              <w:textAlignment w:val="center"/>
              <w:rPr>
                <w:rFonts w:ascii="方正仿宋_GBK" w:hAnsi="方正仿宋_GBK" w:eastAsia="方正仿宋_GBK" w:cs="方正仿宋_GBK"/>
                <w:kern w:val="0"/>
                <w:sz w:val="24"/>
                <w:lang w:bidi="ar"/>
              </w:rPr>
            </w:pPr>
            <w:r>
              <w:rPr>
                <w:rFonts w:hint="eastAsia" w:ascii="方正仿宋_GBK" w:hAnsi="方正仿宋_GBK" w:eastAsia="方正仿宋_GBK" w:cs="方正仿宋_GBK"/>
                <w:kern w:val="0"/>
                <w:sz w:val="24"/>
                <w:lang w:bidi="ar"/>
              </w:rPr>
              <w:t>群众对璧山区城市管理局综合服务工作的满意度</w:t>
            </w:r>
          </w:p>
        </w:tc>
        <w:tc>
          <w:tcPr>
            <w:tcW w:w="1677" w:type="dxa"/>
            <w:vAlign w:val="center"/>
          </w:tcPr>
          <w:p>
            <w:pPr>
              <w:keepNext w:val="0"/>
              <w:keepLines w:val="0"/>
              <w:pageBreakBefore w:val="0"/>
              <w:widowControl/>
              <w:shd w:val="clear" w:color="auto" w:fill="FFFFFF"/>
              <w:kinsoku/>
              <w:wordWrap/>
              <w:overflowPunct/>
              <w:topLinePunct w:val="0"/>
              <w:bidi w:val="0"/>
              <w:adjustRightInd w:val="0"/>
              <w:snapToGrid w:val="0"/>
              <w:spacing w:line="578" w:lineRule="exact"/>
              <w:jc w:val="center"/>
              <w:rPr>
                <w:rFonts w:ascii="方正仿宋_GBK" w:hAnsi="方正仿宋_GBK" w:eastAsia="方正仿宋_GBK" w:cs="方正仿宋_GBK"/>
                <w:kern w:val="0"/>
                <w:sz w:val="24"/>
                <w:shd w:val="clear" w:color="auto" w:fill="FFFFFF"/>
              </w:rPr>
            </w:pPr>
            <w:r>
              <w:rPr>
                <w:rFonts w:hint="eastAsia" w:ascii="方正仿宋_GBK" w:hAnsi="方正仿宋_GBK" w:eastAsia="方正仿宋_GBK" w:cs="方正仿宋_GBK"/>
                <w:kern w:val="0"/>
                <w:sz w:val="24"/>
                <w:shd w:val="clear" w:color="auto" w:fill="FFFFFF"/>
              </w:rPr>
              <w:t>10</w:t>
            </w:r>
          </w:p>
        </w:tc>
        <w:tc>
          <w:tcPr>
            <w:tcW w:w="1676" w:type="dxa"/>
            <w:vAlign w:val="center"/>
          </w:tcPr>
          <w:p>
            <w:pPr>
              <w:keepNext w:val="0"/>
              <w:keepLines w:val="0"/>
              <w:pageBreakBefore w:val="0"/>
              <w:widowControl/>
              <w:shd w:val="clear" w:color="auto" w:fill="FFFFFF"/>
              <w:kinsoku/>
              <w:wordWrap/>
              <w:overflowPunct/>
              <w:topLinePunct w:val="0"/>
              <w:bidi w:val="0"/>
              <w:adjustRightInd w:val="0"/>
              <w:snapToGrid w:val="0"/>
              <w:spacing w:line="578" w:lineRule="exact"/>
              <w:jc w:val="center"/>
              <w:rPr>
                <w:rFonts w:ascii="方正仿宋_GBK" w:hAnsi="方正仿宋_GBK" w:eastAsia="方正仿宋_GBK" w:cs="方正仿宋_GBK"/>
                <w:kern w:val="0"/>
                <w:sz w:val="24"/>
                <w:shd w:val="clear" w:color="auto" w:fill="FFFFFF"/>
              </w:rPr>
            </w:pPr>
            <w:r>
              <w:rPr>
                <w:rFonts w:hint="eastAsia" w:ascii="方正仿宋_GBK" w:hAnsi="方正仿宋_GBK" w:eastAsia="方正仿宋_GBK" w:cs="方正仿宋_GBK"/>
                <w:kern w:val="0"/>
                <w:sz w:val="24"/>
                <w:shd w:val="clear" w:color="auto" w:fill="FFFFFF"/>
              </w:rPr>
              <w:t>10</w:t>
            </w:r>
          </w:p>
        </w:tc>
        <w:tc>
          <w:tcPr>
            <w:tcW w:w="1678" w:type="dxa"/>
            <w:vAlign w:val="center"/>
          </w:tcPr>
          <w:p>
            <w:pPr>
              <w:keepNext w:val="0"/>
              <w:keepLines w:val="0"/>
              <w:pageBreakBefore w:val="0"/>
              <w:widowControl/>
              <w:shd w:val="clear" w:color="auto" w:fill="FFFFFF"/>
              <w:kinsoku/>
              <w:wordWrap/>
              <w:overflowPunct/>
              <w:topLinePunct w:val="0"/>
              <w:bidi w:val="0"/>
              <w:adjustRightInd w:val="0"/>
              <w:snapToGrid w:val="0"/>
              <w:spacing w:line="578" w:lineRule="exact"/>
              <w:jc w:val="center"/>
              <w:rPr>
                <w:rFonts w:ascii="方正仿宋_GBK" w:hAnsi="方正仿宋_GBK" w:eastAsia="方正仿宋_GBK" w:cs="方正仿宋_GBK"/>
                <w:kern w:val="0"/>
                <w:sz w:val="24"/>
                <w:shd w:val="clear" w:color="auto" w:fill="FFFFFF"/>
              </w:rPr>
            </w:pPr>
            <w:r>
              <w:rPr>
                <w:rFonts w:hint="eastAsia" w:ascii="方正仿宋_GBK" w:hAnsi="方正仿宋_GBK" w:eastAsia="方正仿宋_GBK" w:cs="方正仿宋_GBK"/>
                <w:kern w:val="0"/>
                <w:sz w:val="24"/>
                <w:shd w:val="clear" w:color="auto" w:fill="FFFFFF"/>
              </w:rPr>
              <w:t>100%</w:t>
            </w:r>
          </w:p>
        </w:tc>
      </w:tr>
    </w:tbl>
    <w:p>
      <w:pPr>
        <w:keepNext w:val="0"/>
        <w:keepLines w:val="0"/>
        <w:pageBreakBefore w:val="0"/>
        <w:kinsoku/>
        <w:wordWrap/>
        <w:overflowPunct/>
        <w:topLinePunct w:val="0"/>
        <w:bidi w:val="0"/>
        <w:spacing w:line="578" w:lineRule="exact"/>
        <w:rPr>
          <w:rFonts w:ascii="方正仿宋_GBK" w:hAnsi="方正仿宋_GBK" w:eastAsia="仿宋_GB2312" w:cs="仿宋"/>
          <w:bCs/>
          <w:sz w:val="32"/>
          <w:szCs w:val="32"/>
        </w:rPr>
      </w:pPr>
      <w:r>
        <w:rPr>
          <w:rFonts w:hint="eastAsia" w:ascii="方正仿宋_GBK" w:hAnsi="方正仿宋_GBK" w:eastAsia="仿宋_GB2312" w:cs="仿宋"/>
          <w:bCs/>
          <w:sz w:val="32"/>
          <w:szCs w:val="32"/>
        </w:rPr>
        <w:br w:type="page"/>
      </w:r>
    </w:p>
    <w:p>
      <w:pPr>
        <w:pStyle w:val="9"/>
        <w:keepNext w:val="0"/>
        <w:keepLines w:val="0"/>
        <w:pageBreakBefore w:val="0"/>
        <w:widowControl/>
        <w:numPr>
          <w:ilvl w:val="0"/>
          <w:numId w:val="2"/>
        </w:numPr>
        <w:shd w:val="clear" w:color="auto" w:fill="FFFFFF"/>
        <w:kinsoku/>
        <w:wordWrap/>
        <w:overflowPunct/>
        <w:topLinePunct w:val="0"/>
        <w:bidi w:val="0"/>
        <w:spacing w:beforeAutospacing="0" w:afterAutospacing="0" w:line="578" w:lineRule="exact"/>
        <w:ind w:left="638" w:leftChars="304"/>
        <w:jc w:val="both"/>
        <w:rPr>
          <w:rFonts w:ascii="方正仿宋_GBK" w:hAnsi="方正仿宋_GBK" w:eastAsia="方正仿宋_GBK" w:cs="方正仿宋_GBK"/>
          <w:bCs/>
          <w:kern w:val="2"/>
          <w:sz w:val="32"/>
          <w:szCs w:val="32"/>
        </w:rPr>
      </w:pPr>
      <w:r>
        <w:rPr>
          <w:rFonts w:hint="eastAsia" w:ascii="方正仿宋_GBK" w:hAnsi="方正仿宋_GBK" w:eastAsia="方正仿宋_GBK" w:cs="方正仿宋_GBK"/>
          <w:bCs/>
          <w:kern w:val="2"/>
          <w:sz w:val="32"/>
          <w:szCs w:val="32"/>
        </w:rPr>
        <w:t>预算执行率分析</w:t>
      </w:r>
    </w:p>
    <w:p>
      <w:pPr>
        <w:keepNext w:val="0"/>
        <w:keepLines w:val="0"/>
        <w:pageBreakBefore w:val="0"/>
        <w:widowControl/>
        <w:shd w:val="clear" w:color="auto" w:fill="FFFFFF"/>
        <w:kinsoku/>
        <w:wordWrap/>
        <w:overflowPunct/>
        <w:topLinePunct w:val="0"/>
        <w:bidi w:val="0"/>
        <w:adjustRightInd w:val="0"/>
        <w:snapToGrid w:val="0"/>
        <w:spacing w:line="578" w:lineRule="exact"/>
        <w:ind w:firstLine="640" w:firstLineChars="200"/>
        <w:rPr>
          <w:rFonts w:ascii="方正仿宋_GBK" w:hAnsi="方正仿宋_GBK" w:eastAsia="方正仿宋_GBK"/>
          <w:sz w:val="32"/>
          <w:szCs w:val="32"/>
        </w:rPr>
      </w:pPr>
      <w:r>
        <w:rPr>
          <w:rFonts w:hint="eastAsia" w:ascii="方正仿宋_GBK" w:hAnsi="方正仿宋_GBK" w:eastAsia="方正仿宋_GBK"/>
          <w:sz w:val="32"/>
          <w:szCs w:val="32"/>
        </w:rPr>
        <w:t>2021年，重庆市璧山区城市管理局的全年预算数为17474.210484万元，年末支出决算为17474.210484万元，全年预算执行率为100%，根据评价标准，该指标得100%权重分。</w:t>
      </w:r>
    </w:p>
    <w:p>
      <w:pPr>
        <w:pStyle w:val="9"/>
        <w:keepNext w:val="0"/>
        <w:keepLines w:val="0"/>
        <w:pageBreakBefore w:val="0"/>
        <w:widowControl/>
        <w:numPr>
          <w:ilvl w:val="0"/>
          <w:numId w:val="2"/>
        </w:numPr>
        <w:shd w:val="clear" w:color="auto" w:fill="FFFFFF"/>
        <w:kinsoku/>
        <w:wordWrap/>
        <w:overflowPunct/>
        <w:topLinePunct w:val="0"/>
        <w:bidi w:val="0"/>
        <w:spacing w:beforeAutospacing="0" w:afterAutospacing="0" w:line="578" w:lineRule="exact"/>
        <w:ind w:left="638" w:leftChars="304"/>
        <w:jc w:val="both"/>
        <w:rPr>
          <w:rFonts w:ascii="方正仿宋_GBK" w:hAnsi="方正仿宋_GBK" w:eastAsia="方正仿宋_GBK" w:cs="方正仿宋_GBK"/>
          <w:bCs/>
          <w:kern w:val="2"/>
          <w:sz w:val="32"/>
          <w:szCs w:val="32"/>
        </w:rPr>
      </w:pPr>
      <w:r>
        <w:rPr>
          <w:rFonts w:hint="eastAsia" w:ascii="方正仿宋_GBK" w:hAnsi="方正仿宋_GBK" w:eastAsia="方正仿宋_GBK" w:cs="方正仿宋_GBK"/>
          <w:bCs/>
          <w:kern w:val="2"/>
          <w:sz w:val="32"/>
          <w:szCs w:val="32"/>
        </w:rPr>
        <w:t>预决算公开率分析</w:t>
      </w:r>
    </w:p>
    <w:p>
      <w:pPr>
        <w:keepNext w:val="0"/>
        <w:keepLines w:val="0"/>
        <w:pageBreakBefore w:val="0"/>
        <w:widowControl/>
        <w:shd w:val="clear" w:color="auto" w:fill="FFFFFF"/>
        <w:kinsoku/>
        <w:wordWrap/>
        <w:overflowPunct/>
        <w:topLinePunct w:val="0"/>
        <w:bidi w:val="0"/>
        <w:adjustRightInd w:val="0"/>
        <w:snapToGrid w:val="0"/>
        <w:spacing w:line="578" w:lineRule="exact"/>
        <w:ind w:firstLine="640" w:firstLineChars="200"/>
        <w:rPr>
          <w:rFonts w:ascii="方正仿宋_GBK" w:hAnsi="方正仿宋_GBK" w:eastAsia="方正仿宋_GBK"/>
          <w:sz w:val="32"/>
          <w:szCs w:val="32"/>
        </w:rPr>
      </w:pPr>
      <w:r>
        <w:rPr>
          <w:rFonts w:hint="eastAsia" w:ascii="方正仿宋_GBK" w:hAnsi="方正仿宋_GBK" w:eastAsia="方正仿宋_GBK"/>
          <w:sz w:val="32"/>
          <w:szCs w:val="32"/>
        </w:rPr>
        <w:t>2021年，本部门按规定内容公开预算与决算信息，按规定时限公开预算与决算信息，基础数据信息和会计信息资料真实，基础数据信息和会计信息资料完整，基础数据信息和汇集信息资料准确。根据评价标准，该指标得100%权重分。</w:t>
      </w:r>
    </w:p>
    <w:p>
      <w:pPr>
        <w:pStyle w:val="9"/>
        <w:keepNext w:val="0"/>
        <w:keepLines w:val="0"/>
        <w:pageBreakBefore w:val="0"/>
        <w:widowControl/>
        <w:numPr>
          <w:ilvl w:val="0"/>
          <w:numId w:val="2"/>
        </w:numPr>
        <w:shd w:val="clear" w:color="auto" w:fill="FFFFFF"/>
        <w:kinsoku/>
        <w:wordWrap/>
        <w:overflowPunct/>
        <w:topLinePunct w:val="0"/>
        <w:bidi w:val="0"/>
        <w:spacing w:beforeAutospacing="0" w:afterAutospacing="0" w:line="578" w:lineRule="exact"/>
        <w:ind w:left="638" w:leftChars="304"/>
        <w:jc w:val="both"/>
        <w:rPr>
          <w:rFonts w:ascii="方正仿宋_GBK" w:hAnsi="方正仿宋_GBK" w:eastAsia="方正仿宋_GBK" w:cs="方正仿宋_GBK"/>
          <w:bCs/>
          <w:kern w:val="2"/>
          <w:sz w:val="32"/>
          <w:szCs w:val="32"/>
        </w:rPr>
      </w:pPr>
      <w:r>
        <w:rPr>
          <w:rFonts w:hint="eastAsia" w:ascii="方正仿宋_GBK" w:hAnsi="方正仿宋_GBK" w:eastAsia="方正仿宋_GBK" w:cs="方正仿宋_GBK"/>
          <w:bCs/>
          <w:kern w:val="2"/>
          <w:sz w:val="32"/>
          <w:szCs w:val="32"/>
        </w:rPr>
        <w:t>新增公园绿地面积分析</w:t>
      </w:r>
    </w:p>
    <w:p>
      <w:pPr>
        <w:keepNext w:val="0"/>
        <w:keepLines w:val="0"/>
        <w:pageBreakBefore w:val="0"/>
        <w:widowControl/>
        <w:shd w:val="clear" w:color="auto" w:fill="FFFFFF"/>
        <w:kinsoku/>
        <w:wordWrap/>
        <w:overflowPunct/>
        <w:topLinePunct w:val="0"/>
        <w:bidi w:val="0"/>
        <w:adjustRightInd w:val="0"/>
        <w:snapToGrid w:val="0"/>
        <w:spacing w:line="578" w:lineRule="exact"/>
        <w:ind w:firstLine="640" w:firstLineChars="200"/>
        <w:rPr>
          <w:rFonts w:ascii="方正仿宋_GBK" w:hAnsi="方正仿宋_GBK"/>
        </w:rPr>
      </w:pPr>
      <w:r>
        <w:rPr>
          <w:rFonts w:hint="eastAsia" w:ascii="方正仿宋_GBK" w:hAnsi="方正仿宋_GBK" w:eastAsia="方正仿宋_GBK"/>
          <w:sz w:val="32"/>
          <w:szCs w:val="32"/>
        </w:rPr>
        <w:t>按照“深绿城市”标准</w:t>
      </w:r>
      <w:r>
        <w:rPr>
          <w:rFonts w:ascii="方正仿宋_GBK" w:hAnsi="方正仿宋_GBK" w:eastAsia="方正仿宋_GBK"/>
          <w:kern w:val="0"/>
          <w:sz w:val="32"/>
          <w:szCs w:val="32"/>
        </w:rPr>
        <w:t>，</w:t>
      </w:r>
      <w:r>
        <w:rPr>
          <w:rFonts w:hint="eastAsia" w:ascii="方正仿宋_GBK" w:hAnsi="方正仿宋_GBK" w:eastAsia="方正仿宋_GBK"/>
          <w:kern w:val="0"/>
          <w:sz w:val="32"/>
          <w:szCs w:val="32"/>
        </w:rPr>
        <w:t>实施城区新建道路绿化。通过完善城市绿地系统，形成布局均衡、点线面结合、城绿相生的城市绿化网络，进一步提升建成区绿地总量，今年新增城市绿地面积达60万平方米</w:t>
      </w:r>
      <w:r>
        <w:rPr>
          <w:rFonts w:hint="eastAsia" w:ascii="方正仿宋_GBK" w:hAnsi="方正仿宋_GBK" w:eastAsia="方正仿宋_GBK"/>
          <w:sz w:val="32"/>
          <w:szCs w:val="32"/>
        </w:rPr>
        <w:t>。</w:t>
      </w:r>
      <w:r>
        <w:rPr>
          <w:rFonts w:hint="eastAsia" w:ascii="方正仿宋_GBK" w:hAnsi="方正仿宋_GBK" w:eastAsia="方正仿宋_GBK" w:cs="方正仿宋_GBK"/>
          <w:kern w:val="0"/>
          <w:sz w:val="32"/>
          <w:szCs w:val="32"/>
          <w:shd w:val="clear" w:color="auto" w:fill="FFFFFF"/>
        </w:rPr>
        <w:t>根据评价标准，该指标得100%权重分。</w:t>
      </w:r>
    </w:p>
    <w:p>
      <w:pPr>
        <w:pStyle w:val="9"/>
        <w:keepNext w:val="0"/>
        <w:keepLines w:val="0"/>
        <w:pageBreakBefore w:val="0"/>
        <w:widowControl/>
        <w:numPr>
          <w:ilvl w:val="0"/>
          <w:numId w:val="2"/>
        </w:numPr>
        <w:shd w:val="clear" w:color="auto" w:fill="FFFFFF"/>
        <w:kinsoku/>
        <w:wordWrap/>
        <w:overflowPunct/>
        <w:topLinePunct w:val="0"/>
        <w:bidi w:val="0"/>
        <w:spacing w:beforeAutospacing="0" w:afterAutospacing="0" w:line="578" w:lineRule="exact"/>
        <w:ind w:left="638" w:leftChars="304"/>
        <w:jc w:val="both"/>
        <w:rPr>
          <w:rFonts w:ascii="方正仿宋_GBK" w:hAnsi="方正仿宋_GBK" w:eastAsia="方正仿宋_GBK" w:cs="方正仿宋_GBK"/>
          <w:bCs/>
          <w:kern w:val="2"/>
          <w:sz w:val="32"/>
          <w:szCs w:val="32"/>
        </w:rPr>
      </w:pPr>
      <w:r>
        <w:rPr>
          <w:rFonts w:hint="eastAsia" w:ascii="方正仿宋_GBK" w:hAnsi="方正仿宋_GBK" w:eastAsia="方正仿宋_GBK" w:cs="方正仿宋_GBK"/>
          <w:bCs/>
          <w:kern w:val="2"/>
          <w:sz w:val="32"/>
          <w:szCs w:val="32"/>
        </w:rPr>
        <w:t>提高生活垃圾分类效率分析</w:t>
      </w:r>
    </w:p>
    <w:p>
      <w:pPr>
        <w:keepNext w:val="0"/>
        <w:keepLines w:val="0"/>
        <w:pageBreakBefore w:val="0"/>
        <w:widowControl/>
        <w:shd w:val="clear" w:color="auto" w:fill="FFFFFF"/>
        <w:kinsoku/>
        <w:wordWrap/>
        <w:overflowPunct/>
        <w:topLinePunct w:val="0"/>
        <w:bidi w:val="0"/>
        <w:adjustRightInd w:val="0"/>
        <w:snapToGrid w:val="0"/>
        <w:spacing w:line="578" w:lineRule="exact"/>
        <w:ind w:firstLine="640" w:firstLineChars="200"/>
        <w:rPr>
          <w:rFonts w:ascii="方正仿宋_GBK" w:hAnsi="方正仿宋_GBK" w:eastAsia="方正仿宋_GBK" w:cs="方正仿宋_GBK"/>
          <w:kern w:val="0"/>
          <w:sz w:val="32"/>
          <w:szCs w:val="32"/>
          <w:shd w:val="clear" w:color="auto" w:fill="FFFFFF"/>
        </w:rPr>
      </w:pPr>
      <w:r>
        <w:rPr>
          <w:rFonts w:hint="eastAsia" w:ascii="方正仿宋_GBK" w:hAnsi="方正仿宋_GBK" w:eastAsia="方正仿宋_GBK"/>
          <w:sz w:val="32"/>
          <w:szCs w:val="32"/>
        </w:rPr>
        <w:t>全年从四个方面持续且深入推进了璧山区生活垃圾分类：建立了一线垃圾分类指导员队伍，共招募分类指导员130名，于每日投放高峰时段，在小区分类投放点开展分类指导；推进了垃圾分类厢房和两网融合点建设，全年完成了48个厢房建设，其余2个主体已完工80%，两网融合点已完成100个建设任务；推进了垃圾分类积分兑奖制度，在示范小区内宣传垃圾分类积分制度并发放垃圾分类积分卡共计12000余份，积分达到标准就能兑换相应奖品；推进了分类设施建设，全区配置有害垃圾专用收运车2辆，其他垃圾收运车61辆，辖区环卫集团厨余垃圾收运车13辆，所有收运车标识和颜色均按照分类要求进行了统一规范，对辖区1000余块不符合标准的生活垃圾分类宣传设施进行了集中更换。但经走访发现，生活垃圾分类效率未达到预期提高率，</w:t>
      </w:r>
      <w:r>
        <w:rPr>
          <w:rFonts w:hint="eastAsia" w:ascii="方正仿宋_GBK" w:hAnsi="方正仿宋_GBK" w:eastAsia="方正仿宋_GBK" w:cs="方正仿宋_GBK"/>
          <w:kern w:val="0"/>
          <w:sz w:val="32"/>
          <w:szCs w:val="32"/>
          <w:shd w:val="clear" w:color="auto" w:fill="FFFFFF"/>
        </w:rPr>
        <w:t>根据评价标准，该指标得87.5%权重分。</w:t>
      </w:r>
    </w:p>
    <w:p>
      <w:pPr>
        <w:pStyle w:val="9"/>
        <w:keepNext w:val="0"/>
        <w:keepLines w:val="0"/>
        <w:pageBreakBefore w:val="0"/>
        <w:widowControl/>
        <w:numPr>
          <w:ilvl w:val="0"/>
          <w:numId w:val="2"/>
        </w:numPr>
        <w:shd w:val="clear" w:color="auto" w:fill="FFFFFF"/>
        <w:kinsoku/>
        <w:wordWrap/>
        <w:overflowPunct/>
        <w:topLinePunct w:val="0"/>
        <w:bidi w:val="0"/>
        <w:spacing w:beforeAutospacing="0" w:afterAutospacing="0" w:line="578" w:lineRule="exact"/>
        <w:ind w:left="638" w:leftChars="304"/>
        <w:jc w:val="both"/>
        <w:rPr>
          <w:rFonts w:ascii="方正仿宋_GBK" w:hAnsi="方正仿宋_GBK" w:eastAsia="方正仿宋_GBK" w:cs="方正仿宋_GBK"/>
          <w:bCs/>
          <w:kern w:val="2"/>
          <w:sz w:val="32"/>
          <w:szCs w:val="32"/>
        </w:rPr>
      </w:pPr>
      <w:r>
        <w:rPr>
          <w:rFonts w:hint="eastAsia" w:ascii="方正仿宋_GBK" w:hAnsi="方正仿宋_GBK" w:eastAsia="方正仿宋_GBK" w:cs="方正仿宋_GBK"/>
          <w:bCs/>
          <w:kern w:val="2"/>
          <w:sz w:val="32"/>
          <w:szCs w:val="32"/>
        </w:rPr>
        <w:t>发展绿色照明LED灯数量分析</w:t>
      </w:r>
    </w:p>
    <w:p>
      <w:pPr>
        <w:keepNext w:val="0"/>
        <w:keepLines w:val="0"/>
        <w:pageBreakBefore w:val="0"/>
        <w:widowControl/>
        <w:shd w:val="clear" w:color="auto" w:fill="FFFFFF"/>
        <w:kinsoku/>
        <w:wordWrap/>
        <w:overflowPunct/>
        <w:topLinePunct w:val="0"/>
        <w:bidi w:val="0"/>
        <w:adjustRightInd w:val="0"/>
        <w:snapToGrid w:val="0"/>
        <w:spacing w:line="578" w:lineRule="exact"/>
        <w:ind w:firstLine="640" w:firstLineChars="200"/>
        <w:rPr>
          <w:rFonts w:ascii="方正仿宋_GBK" w:hAnsi="方正仿宋_GBK" w:eastAsia="方正仿宋_GBK"/>
          <w:sz w:val="32"/>
          <w:szCs w:val="32"/>
        </w:rPr>
      </w:pPr>
      <w:r>
        <w:rPr>
          <w:rFonts w:hint="eastAsia" w:ascii="方正仿宋_GBK" w:hAnsi="方正仿宋_GBK" w:eastAsia="方正仿宋_GBK"/>
          <w:sz w:val="32"/>
          <w:szCs w:val="32"/>
        </w:rPr>
        <w:t>坚持美化全区照明环境，完成了2021年春节迎春灯饰氛围营造工作，完成1个重要节点、2个城市出入口、3个主要广场、4条主干道、5个主要公园的迎春灯饰氛围营造；新建了改造路灯4151盏；完成了13座休闲亭景观照明建设，3座仿古建筑5座桥梁的景观照明升级改造，全年共计发展绿色照明LED灯7000盏。</w:t>
      </w:r>
      <w:r>
        <w:rPr>
          <w:rFonts w:hint="eastAsia" w:ascii="方正仿宋_GBK" w:hAnsi="方正仿宋_GBK" w:eastAsia="方正仿宋_GBK" w:cs="方正仿宋_GBK"/>
          <w:kern w:val="0"/>
          <w:sz w:val="32"/>
          <w:szCs w:val="32"/>
          <w:shd w:val="clear" w:color="auto" w:fill="FFFFFF"/>
        </w:rPr>
        <w:t>根据评价标准，该指标得100%权重分。</w:t>
      </w:r>
    </w:p>
    <w:p>
      <w:pPr>
        <w:pStyle w:val="9"/>
        <w:keepNext w:val="0"/>
        <w:keepLines w:val="0"/>
        <w:pageBreakBefore w:val="0"/>
        <w:widowControl/>
        <w:numPr>
          <w:ilvl w:val="0"/>
          <w:numId w:val="2"/>
        </w:numPr>
        <w:shd w:val="clear" w:color="auto" w:fill="FFFFFF"/>
        <w:kinsoku/>
        <w:wordWrap/>
        <w:overflowPunct/>
        <w:topLinePunct w:val="0"/>
        <w:bidi w:val="0"/>
        <w:spacing w:beforeAutospacing="0" w:afterAutospacing="0" w:line="578" w:lineRule="exact"/>
        <w:ind w:left="638" w:leftChars="304"/>
        <w:jc w:val="both"/>
        <w:rPr>
          <w:rFonts w:ascii="方正仿宋_GBK" w:hAnsi="方正仿宋_GBK" w:eastAsia="方正仿宋_GBK" w:cs="方正仿宋_GBK"/>
          <w:bCs/>
          <w:kern w:val="2"/>
          <w:sz w:val="32"/>
          <w:szCs w:val="32"/>
        </w:rPr>
      </w:pPr>
      <w:r>
        <w:rPr>
          <w:rFonts w:hint="eastAsia" w:ascii="方正仿宋_GBK" w:hAnsi="方正仿宋_GBK" w:eastAsia="方正仿宋_GBK" w:cs="方正仿宋_GBK"/>
          <w:bCs/>
          <w:kern w:val="2"/>
          <w:sz w:val="32"/>
          <w:szCs w:val="32"/>
        </w:rPr>
        <w:t>市政设施完好率分析</w:t>
      </w:r>
    </w:p>
    <w:p>
      <w:pPr>
        <w:keepNext w:val="0"/>
        <w:keepLines w:val="0"/>
        <w:pageBreakBefore w:val="0"/>
        <w:widowControl/>
        <w:shd w:val="clear" w:color="auto" w:fill="FFFFFF"/>
        <w:kinsoku/>
        <w:wordWrap/>
        <w:overflowPunct/>
        <w:topLinePunct w:val="0"/>
        <w:bidi w:val="0"/>
        <w:adjustRightInd w:val="0"/>
        <w:snapToGrid w:val="0"/>
        <w:spacing w:line="578" w:lineRule="exact"/>
        <w:ind w:firstLine="640" w:firstLineChars="200"/>
        <w:rPr>
          <w:rFonts w:ascii="方正仿宋_GBK" w:hAnsi="方正仿宋_GBK" w:eastAsia="方正仿宋_GBK" w:cs="方正仿宋_GBK"/>
          <w:kern w:val="0"/>
          <w:sz w:val="32"/>
          <w:szCs w:val="32"/>
          <w:shd w:val="clear" w:color="auto" w:fill="FFFFFF"/>
        </w:rPr>
      </w:pPr>
      <w:r>
        <w:rPr>
          <w:rFonts w:hint="eastAsia" w:ascii="方正仿宋_GBK" w:hAnsi="方正仿宋_GBK" w:eastAsia="方正仿宋_GBK"/>
          <w:sz w:val="32"/>
          <w:szCs w:val="32"/>
        </w:rPr>
        <w:t>2021年，持续优化城市基础设施，进行市政基础设施建设，对面积约8225平方米的超宽人行道实施改造，对滨河步道约10公里的道路进行修缮，对沿河步道节点进行景观化改造20处；不断完善环卫设施，新建和改建公厕共计12座，新建了“劳动者港湾”6座。全区市政设施完好率达到了98.7%，</w:t>
      </w:r>
      <w:r>
        <w:rPr>
          <w:rFonts w:hint="eastAsia" w:ascii="方正仿宋_GBK" w:hAnsi="方正仿宋_GBK" w:eastAsia="方正仿宋_GBK" w:cs="方正仿宋_GBK"/>
          <w:kern w:val="0"/>
          <w:sz w:val="32"/>
          <w:szCs w:val="32"/>
          <w:shd w:val="clear" w:color="auto" w:fill="FFFFFF"/>
        </w:rPr>
        <w:t>根据评价标准，该指标得100%权重分。</w:t>
      </w:r>
    </w:p>
    <w:p>
      <w:pPr>
        <w:pStyle w:val="9"/>
        <w:keepNext w:val="0"/>
        <w:keepLines w:val="0"/>
        <w:pageBreakBefore w:val="0"/>
        <w:widowControl/>
        <w:numPr>
          <w:ilvl w:val="0"/>
          <w:numId w:val="2"/>
        </w:numPr>
        <w:shd w:val="clear" w:color="auto" w:fill="FFFFFF"/>
        <w:kinsoku/>
        <w:wordWrap/>
        <w:overflowPunct/>
        <w:topLinePunct w:val="0"/>
        <w:bidi w:val="0"/>
        <w:spacing w:beforeAutospacing="0" w:afterAutospacing="0" w:line="578" w:lineRule="exact"/>
        <w:ind w:left="638" w:leftChars="304"/>
        <w:jc w:val="both"/>
        <w:rPr>
          <w:rFonts w:ascii="方正仿宋_GBK" w:hAnsi="方正仿宋_GBK" w:eastAsia="方正仿宋_GBK" w:cs="方正仿宋_GBK"/>
          <w:bCs/>
          <w:kern w:val="2"/>
          <w:sz w:val="32"/>
          <w:szCs w:val="32"/>
        </w:rPr>
      </w:pPr>
      <w:r>
        <w:rPr>
          <w:rFonts w:hint="eastAsia" w:ascii="方正仿宋_GBK" w:hAnsi="方正仿宋_GBK" w:eastAsia="方正仿宋_GBK" w:cs="方正仿宋_GBK"/>
          <w:bCs/>
          <w:kern w:val="2"/>
          <w:sz w:val="32"/>
          <w:szCs w:val="32"/>
        </w:rPr>
        <w:t>项目绩效管理率分析</w:t>
      </w:r>
    </w:p>
    <w:p>
      <w:pPr>
        <w:keepNext w:val="0"/>
        <w:keepLines w:val="0"/>
        <w:pageBreakBefore w:val="0"/>
        <w:widowControl/>
        <w:shd w:val="clear" w:color="auto" w:fill="FFFFFF"/>
        <w:kinsoku/>
        <w:wordWrap/>
        <w:overflowPunct/>
        <w:topLinePunct w:val="0"/>
        <w:bidi w:val="0"/>
        <w:adjustRightInd w:val="0"/>
        <w:snapToGrid w:val="0"/>
        <w:spacing w:line="578" w:lineRule="exact"/>
        <w:ind w:firstLine="640" w:firstLineChars="200"/>
        <w:rPr>
          <w:rFonts w:ascii="方正仿宋_GBK" w:hAnsi="方正仿宋_GBK" w:eastAsia="方正仿宋_GBK"/>
          <w:sz w:val="32"/>
          <w:szCs w:val="32"/>
        </w:rPr>
      </w:pPr>
      <w:r>
        <w:rPr>
          <w:rFonts w:hint="eastAsia" w:ascii="方正仿宋_GBK" w:hAnsi="方正仿宋_GBK" w:eastAsia="方正仿宋_GBK"/>
          <w:sz w:val="32"/>
          <w:szCs w:val="32"/>
        </w:rPr>
        <w:t>2021年，部门项目在绩效申报并实施后，在产出、效益及满意度上完成了主要预定目标任务，取得了较好的绩效，</w:t>
      </w:r>
      <w:r>
        <w:rPr>
          <w:rFonts w:hint="eastAsia" w:ascii="方正仿宋_GBK" w:hAnsi="方正仿宋_GBK" w:eastAsia="仿宋_GB2312" w:cs="仿宋"/>
          <w:bCs/>
          <w:sz w:val="32"/>
          <w:szCs w:val="32"/>
        </w:rPr>
        <w:t>项目绩效管理率达到了100%，</w:t>
      </w:r>
      <w:r>
        <w:rPr>
          <w:rFonts w:hint="eastAsia" w:ascii="方正仿宋_GBK" w:hAnsi="方正仿宋_GBK" w:eastAsia="方正仿宋_GBK"/>
          <w:sz w:val="32"/>
          <w:szCs w:val="32"/>
        </w:rPr>
        <w:t>根据评价标准，该指标得100%权重分。</w:t>
      </w:r>
    </w:p>
    <w:p>
      <w:pPr>
        <w:pStyle w:val="9"/>
        <w:keepNext w:val="0"/>
        <w:keepLines w:val="0"/>
        <w:pageBreakBefore w:val="0"/>
        <w:widowControl/>
        <w:numPr>
          <w:ilvl w:val="0"/>
          <w:numId w:val="2"/>
        </w:numPr>
        <w:shd w:val="clear" w:color="auto" w:fill="FFFFFF"/>
        <w:kinsoku/>
        <w:wordWrap/>
        <w:overflowPunct/>
        <w:topLinePunct w:val="0"/>
        <w:bidi w:val="0"/>
        <w:spacing w:beforeAutospacing="0" w:afterAutospacing="0" w:line="578" w:lineRule="exact"/>
        <w:ind w:left="638" w:leftChars="304"/>
        <w:jc w:val="both"/>
        <w:rPr>
          <w:rFonts w:ascii="方正仿宋_GBK" w:hAnsi="方正仿宋_GBK" w:eastAsia="方正仿宋_GBK" w:cs="方正仿宋_GBK"/>
          <w:bCs/>
          <w:kern w:val="2"/>
          <w:sz w:val="32"/>
          <w:szCs w:val="32"/>
        </w:rPr>
      </w:pPr>
      <w:r>
        <w:rPr>
          <w:rFonts w:hint="eastAsia" w:ascii="方正仿宋_GBK" w:hAnsi="方正仿宋_GBK" w:eastAsia="方正仿宋_GBK" w:cs="方正仿宋_GBK"/>
          <w:bCs/>
          <w:kern w:val="2"/>
          <w:sz w:val="32"/>
          <w:szCs w:val="32"/>
        </w:rPr>
        <w:t>餐厨垃圾收运处置全覆盖分析</w:t>
      </w:r>
    </w:p>
    <w:p>
      <w:pPr>
        <w:keepNext w:val="0"/>
        <w:keepLines w:val="0"/>
        <w:pageBreakBefore w:val="0"/>
        <w:widowControl/>
        <w:shd w:val="clear" w:color="auto" w:fill="FFFFFF"/>
        <w:kinsoku/>
        <w:wordWrap/>
        <w:overflowPunct/>
        <w:topLinePunct w:val="0"/>
        <w:bidi w:val="0"/>
        <w:adjustRightInd w:val="0"/>
        <w:snapToGrid w:val="0"/>
        <w:spacing w:line="578" w:lineRule="exact"/>
        <w:ind w:firstLine="640" w:firstLineChars="200"/>
        <w:rPr>
          <w:rFonts w:ascii="方正仿宋_GBK" w:hAnsi="方正仿宋_GBK" w:eastAsia="方正仿宋_GBK"/>
          <w:sz w:val="32"/>
          <w:szCs w:val="32"/>
        </w:rPr>
      </w:pPr>
      <w:r>
        <w:rPr>
          <w:rFonts w:hint="eastAsia" w:ascii="方正仿宋_GBK" w:hAnsi="方正仿宋_GBK" w:eastAsia="方正仿宋_GBK"/>
          <w:sz w:val="32"/>
          <w:szCs w:val="32"/>
        </w:rPr>
        <w:t>2021年，对全区餐厨垃圾收运工作开展了常态化监督管理，进一步完善了设施设备和相关收运管理制度，全年共签订餐厨垃圾收运协议书3381份，收运餐厨垃圾38612.99吨，查处餐厨收运桶桶身脏污行为1858起，纠正未及时收回餐厨桶事件2221起，全区餐厨垃圾收运实现了日产日清，收运处置达到了全区覆盖。</w:t>
      </w:r>
      <w:r>
        <w:rPr>
          <w:rFonts w:hint="eastAsia" w:ascii="方正仿宋_GBK" w:hAnsi="方正仿宋_GBK" w:eastAsia="方正仿宋_GBK" w:cs="方正仿宋_GBK"/>
          <w:kern w:val="0"/>
          <w:sz w:val="32"/>
          <w:szCs w:val="32"/>
          <w:shd w:val="clear" w:color="auto" w:fill="FFFFFF"/>
        </w:rPr>
        <w:t>根据评价标准，该指标得100%权重分。</w:t>
      </w:r>
    </w:p>
    <w:p>
      <w:pPr>
        <w:pStyle w:val="9"/>
        <w:keepNext w:val="0"/>
        <w:keepLines w:val="0"/>
        <w:pageBreakBefore w:val="0"/>
        <w:widowControl/>
        <w:numPr>
          <w:ilvl w:val="0"/>
          <w:numId w:val="2"/>
        </w:numPr>
        <w:shd w:val="clear" w:color="auto" w:fill="FFFFFF"/>
        <w:kinsoku/>
        <w:wordWrap/>
        <w:overflowPunct/>
        <w:topLinePunct w:val="0"/>
        <w:bidi w:val="0"/>
        <w:spacing w:beforeAutospacing="0" w:afterAutospacing="0" w:line="578" w:lineRule="exact"/>
        <w:ind w:left="638" w:leftChars="304"/>
        <w:jc w:val="both"/>
        <w:rPr>
          <w:rFonts w:ascii="方正仿宋_GBK" w:hAnsi="方正仿宋_GBK" w:eastAsia="方正仿宋_GBK" w:cs="方正仿宋_GBK"/>
          <w:bCs/>
          <w:kern w:val="2"/>
          <w:sz w:val="32"/>
          <w:szCs w:val="32"/>
        </w:rPr>
      </w:pPr>
      <w:r>
        <w:rPr>
          <w:rFonts w:hint="eastAsia" w:ascii="方正仿宋_GBK" w:hAnsi="方正仿宋_GBK" w:eastAsia="方正仿宋_GBK" w:cs="方正仿宋_GBK"/>
          <w:bCs/>
          <w:kern w:val="2"/>
          <w:sz w:val="32"/>
          <w:szCs w:val="32"/>
        </w:rPr>
        <w:t>新增违法建筑实现零增长分析</w:t>
      </w:r>
    </w:p>
    <w:p>
      <w:pPr>
        <w:keepNext w:val="0"/>
        <w:keepLines w:val="0"/>
        <w:pageBreakBefore w:val="0"/>
        <w:widowControl/>
        <w:shd w:val="clear" w:color="auto" w:fill="FFFFFF"/>
        <w:kinsoku/>
        <w:wordWrap/>
        <w:overflowPunct/>
        <w:topLinePunct w:val="0"/>
        <w:bidi w:val="0"/>
        <w:adjustRightInd w:val="0"/>
        <w:snapToGrid w:val="0"/>
        <w:spacing w:line="578" w:lineRule="exact"/>
        <w:ind w:firstLine="640" w:firstLineChars="200"/>
        <w:rPr>
          <w:rFonts w:ascii="方正仿宋_GBK" w:hAnsi="方正仿宋_GBK" w:eastAsia="方正仿宋_GBK"/>
          <w:sz w:val="32"/>
          <w:szCs w:val="32"/>
        </w:rPr>
      </w:pPr>
      <w:r>
        <w:rPr>
          <w:rFonts w:hint="eastAsia" w:ascii="方正仿宋_GBK" w:hAnsi="方正仿宋_GBK" w:eastAsia="方正仿宋_GBK"/>
          <w:sz w:val="32"/>
          <w:szCs w:val="32"/>
        </w:rPr>
        <w:t>按照“减存量、控新增”的工作目标，2021年大力开展了城区违法建筑整治，约谈物业和业主单位以及当事人，工作重心前移，有效预防和减少新增违法建筑；常态开展违法建筑巡查执法，今年以来，立案查处各类违法建筑266件，包括新增违法建筑64件，新增违法建筑实现了零增长。根据评价标准，该指标得100%权重分</w:t>
      </w:r>
      <w:r>
        <w:rPr>
          <w:rFonts w:hint="eastAsia" w:ascii="方正仿宋_GBK" w:hAnsi="方正仿宋_GBK" w:eastAsia="方正仿宋_GBK" w:cs="方正仿宋_GBK"/>
          <w:kern w:val="0"/>
          <w:sz w:val="32"/>
          <w:szCs w:val="32"/>
          <w:shd w:val="clear" w:color="auto" w:fill="FFFFFF"/>
        </w:rPr>
        <w:t>。</w:t>
      </w:r>
    </w:p>
    <w:p>
      <w:pPr>
        <w:pStyle w:val="9"/>
        <w:keepNext w:val="0"/>
        <w:keepLines w:val="0"/>
        <w:pageBreakBefore w:val="0"/>
        <w:widowControl/>
        <w:numPr>
          <w:ilvl w:val="0"/>
          <w:numId w:val="2"/>
        </w:numPr>
        <w:shd w:val="clear" w:color="auto" w:fill="FFFFFF"/>
        <w:kinsoku/>
        <w:wordWrap/>
        <w:overflowPunct/>
        <w:topLinePunct w:val="0"/>
        <w:bidi w:val="0"/>
        <w:spacing w:beforeAutospacing="0" w:afterAutospacing="0" w:line="578" w:lineRule="exact"/>
        <w:ind w:left="638" w:leftChars="304"/>
        <w:jc w:val="both"/>
        <w:rPr>
          <w:rFonts w:ascii="方正仿宋_GBK" w:hAnsi="方正仿宋_GBK" w:eastAsia="方正仿宋_GBK" w:cs="方正仿宋_GBK"/>
          <w:bCs/>
          <w:kern w:val="2"/>
          <w:sz w:val="32"/>
          <w:szCs w:val="32"/>
        </w:rPr>
      </w:pPr>
      <w:r>
        <w:rPr>
          <w:rFonts w:hint="eastAsia" w:ascii="方正仿宋_GBK" w:hAnsi="方正仿宋_GBK" w:eastAsia="方正仿宋_GBK" w:cs="方正仿宋_GBK"/>
          <w:bCs/>
          <w:kern w:val="2"/>
          <w:sz w:val="32"/>
          <w:szCs w:val="32"/>
        </w:rPr>
        <w:t>群众对璧山区城市管理局综合服务工作的满意度分析</w:t>
      </w:r>
    </w:p>
    <w:p>
      <w:pPr>
        <w:keepNext w:val="0"/>
        <w:keepLines w:val="0"/>
        <w:pageBreakBefore w:val="0"/>
        <w:widowControl/>
        <w:shd w:val="clear" w:color="auto" w:fill="FFFFFF"/>
        <w:kinsoku/>
        <w:wordWrap/>
        <w:overflowPunct/>
        <w:topLinePunct w:val="0"/>
        <w:bidi w:val="0"/>
        <w:adjustRightInd w:val="0"/>
        <w:snapToGrid w:val="0"/>
        <w:spacing w:line="578" w:lineRule="exact"/>
        <w:ind w:firstLine="640" w:firstLineChars="200"/>
        <w:rPr>
          <w:rFonts w:ascii="方正仿宋_GBK" w:hAnsi="方正仿宋_GBK" w:eastAsia="方正黑体_GBK"/>
          <w:sz w:val="32"/>
          <w:szCs w:val="32"/>
        </w:rPr>
      </w:pPr>
      <w:r>
        <w:rPr>
          <w:rFonts w:hint="eastAsia" w:ascii="方正仿宋_GBK" w:hAnsi="方正仿宋_GBK" w:eastAsia="方正仿宋_GBK"/>
          <w:sz w:val="32"/>
          <w:szCs w:val="32"/>
        </w:rPr>
        <w:t>2021年经抽查统计，群众对璧山区城市管理局综合服务工作评价分值平均为93分，根据评价标准，该指标得100%权重分。</w:t>
      </w:r>
    </w:p>
    <w:p>
      <w:pPr>
        <w:keepNext w:val="0"/>
        <w:keepLines w:val="0"/>
        <w:pageBreakBefore w:val="0"/>
        <w:numPr>
          <w:ilvl w:val="0"/>
          <w:numId w:val="3"/>
        </w:numPr>
        <w:kinsoku/>
        <w:wordWrap/>
        <w:overflowPunct/>
        <w:topLinePunct w:val="0"/>
        <w:bidi w:val="0"/>
        <w:spacing w:line="578" w:lineRule="exact"/>
        <w:ind w:firstLine="640" w:firstLineChars="200"/>
        <w:outlineLvl w:val="0"/>
        <w:rPr>
          <w:rFonts w:ascii="方正仿宋_GBK" w:hAnsi="方正仿宋_GBK" w:eastAsia="方正黑体_GBK"/>
          <w:sz w:val="32"/>
          <w:szCs w:val="32"/>
        </w:rPr>
      </w:pPr>
      <w:bookmarkStart w:id="16" w:name="_Toc11860"/>
      <w:r>
        <w:rPr>
          <w:rFonts w:ascii="方正仿宋_GBK" w:hAnsi="方正仿宋_GBK" w:eastAsia="方正黑体_GBK"/>
          <w:sz w:val="32"/>
          <w:szCs w:val="32"/>
        </w:rPr>
        <w:t>主要经验及做法</w:t>
      </w:r>
      <w:bookmarkEnd w:id="16"/>
    </w:p>
    <w:p>
      <w:pPr>
        <w:pStyle w:val="9"/>
        <w:keepNext w:val="0"/>
        <w:keepLines w:val="0"/>
        <w:pageBreakBefore w:val="0"/>
        <w:widowControl/>
        <w:shd w:val="clear" w:color="auto" w:fill="FFFFFF"/>
        <w:kinsoku/>
        <w:wordWrap/>
        <w:overflowPunct/>
        <w:topLinePunct w:val="0"/>
        <w:bidi w:val="0"/>
        <w:spacing w:beforeAutospacing="0" w:afterAutospacing="0" w:line="578" w:lineRule="exact"/>
        <w:ind w:left="638" w:leftChars="304"/>
        <w:jc w:val="both"/>
        <w:rPr>
          <w:rFonts w:ascii="方正仿宋_GBK" w:hAnsi="方正仿宋_GBK" w:eastAsia="方正仿宋_GBK" w:cs="方正仿宋_GBK"/>
          <w:bCs/>
          <w:kern w:val="2"/>
          <w:sz w:val="32"/>
          <w:szCs w:val="32"/>
        </w:rPr>
      </w:pPr>
      <w:r>
        <w:rPr>
          <w:rFonts w:hint="eastAsia" w:ascii="方正仿宋_GBK" w:hAnsi="方正仿宋_GBK" w:eastAsia="方正仿宋_GBK" w:cs="方正仿宋_GBK"/>
          <w:bCs/>
          <w:kern w:val="2"/>
          <w:sz w:val="32"/>
          <w:szCs w:val="32"/>
        </w:rPr>
        <w:t>1、制定项目绩效管理制度明确项目绩效目标编制及审批</w:t>
      </w:r>
    </w:p>
    <w:p>
      <w:pPr>
        <w:pStyle w:val="9"/>
        <w:keepNext w:val="0"/>
        <w:keepLines w:val="0"/>
        <w:pageBreakBefore w:val="0"/>
        <w:widowControl/>
        <w:shd w:val="clear" w:color="auto" w:fill="FFFFFF"/>
        <w:kinsoku/>
        <w:wordWrap/>
        <w:overflowPunct/>
        <w:topLinePunct w:val="0"/>
        <w:bidi w:val="0"/>
        <w:spacing w:beforeAutospacing="0" w:afterAutospacing="0" w:line="578" w:lineRule="exact"/>
        <w:jc w:val="both"/>
        <w:rPr>
          <w:rFonts w:ascii="方正仿宋_GBK" w:hAnsi="方正仿宋_GBK" w:eastAsia="方正仿宋_GBK" w:cs="方正仿宋_GBK"/>
          <w:bCs/>
          <w:kern w:val="2"/>
          <w:sz w:val="32"/>
          <w:szCs w:val="32"/>
        </w:rPr>
      </w:pPr>
      <w:r>
        <w:rPr>
          <w:rFonts w:hint="eastAsia" w:ascii="方正仿宋_GBK" w:hAnsi="方正仿宋_GBK" w:eastAsia="方正仿宋_GBK" w:cs="方正仿宋_GBK"/>
          <w:bCs/>
          <w:kern w:val="2"/>
          <w:sz w:val="32"/>
          <w:szCs w:val="32"/>
        </w:rPr>
        <w:t>流程，规范绩效指标设置。</w:t>
      </w:r>
    </w:p>
    <w:p>
      <w:pPr>
        <w:pStyle w:val="9"/>
        <w:keepNext w:val="0"/>
        <w:keepLines w:val="0"/>
        <w:pageBreakBefore w:val="0"/>
        <w:widowControl/>
        <w:shd w:val="clear" w:color="auto" w:fill="FFFFFF"/>
        <w:kinsoku/>
        <w:wordWrap/>
        <w:overflowPunct/>
        <w:topLinePunct w:val="0"/>
        <w:bidi w:val="0"/>
        <w:spacing w:beforeAutospacing="0" w:afterAutospacing="0" w:line="578" w:lineRule="exact"/>
        <w:ind w:firstLine="640" w:firstLineChars="200"/>
        <w:jc w:val="both"/>
        <w:rPr>
          <w:rFonts w:ascii="方正仿宋_GBK" w:hAnsi="方正仿宋_GBK" w:eastAsia="仿宋_GB2312" w:cs="仿宋"/>
          <w:bCs/>
          <w:kern w:val="2"/>
          <w:sz w:val="32"/>
          <w:szCs w:val="32"/>
        </w:rPr>
      </w:pPr>
      <w:r>
        <w:rPr>
          <w:rFonts w:hint="eastAsia" w:ascii="方正仿宋_GBK" w:hAnsi="方正仿宋_GBK" w:eastAsia="方正仿宋_GBK" w:cs="方正仿宋_GBK"/>
          <w:bCs/>
          <w:kern w:val="2"/>
          <w:sz w:val="32"/>
          <w:szCs w:val="32"/>
        </w:rPr>
        <w:t>2、强化预算绩效双监控，从项目期中已实现的产出成果与效益；项目预算执行进度是否与当前期限相匹配；专项资金是否专款专用，是否存在截留、挤占、挪用资金等违纪违规问题，有无滞留、缓拨资金以及因管理不善造成资金损失、浪费；专项资金是否按照规定用途、开支范围、开支标准及其其他相关要求使用等方面进行绩效监控。</w:t>
      </w:r>
    </w:p>
    <w:p>
      <w:pPr>
        <w:pStyle w:val="9"/>
        <w:keepNext w:val="0"/>
        <w:keepLines w:val="0"/>
        <w:pageBreakBefore w:val="0"/>
        <w:widowControl/>
        <w:shd w:val="clear" w:color="auto" w:fill="FFFFFF"/>
        <w:kinsoku/>
        <w:wordWrap/>
        <w:overflowPunct/>
        <w:topLinePunct w:val="0"/>
        <w:bidi w:val="0"/>
        <w:spacing w:beforeAutospacing="0" w:afterAutospacing="0" w:line="578" w:lineRule="exact"/>
        <w:ind w:firstLine="640" w:firstLineChars="200"/>
        <w:jc w:val="both"/>
        <w:rPr>
          <w:rFonts w:ascii="方正仿宋_GBK" w:hAnsi="方正仿宋_GBK"/>
        </w:rPr>
      </w:pPr>
      <w:r>
        <w:rPr>
          <w:rFonts w:hint="eastAsia" w:ascii="方正仿宋_GBK" w:hAnsi="方正仿宋_GBK" w:eastAsia="方正仿宋_GBK" w:cs="方正仿宋_GBK"/>
          <w:bCs/>
          <w:kern w:val="2"/>
          <w:sz w:val="32"/>
          <w:szCs w:val="32"/>
        </w:rPr>
        <w:t>3、设置具有专业特征的预算绩效指标体系，按照财政项目类型制定了考核指标体系，相对共性类的指标分别设置了设备购置类、大型修缮类、基础建设类、信息化建设类、会议培训类、政策研究类等等绩效指标体系；偏向专业性质类的指标分别按照单位业务类型设置，如补助类、维修维护类、绿化建设类、基础设施建设类、次级河流清漂作业经费类等绩效指标体系，细化量化绩效目标服务的同时，增强了绩效评价结果的可比性。</w:t>
      </w:r>
    </w:p>
    <w:p>
      <w:pPr>
        <w:keepNext w:val="0"/>
        <w:keepLines w:val="0"/>
        <w:pageBreakBefore w:val="0"/>
        <w:kinsoku/>
        <w:wordWrap/>
        <w:overflowPunct/>
        <w:topLinePunct w:val="0"/>
        <w:bidi w:val="0"/>
        <w:spacing w:line="578" w:lineRule="exact"/>
        <w:ind w:firstLine="640" w:firstLineChars="200"/>
        <w:outlineLvl w:val="0"/>
        <w:rPr>
          <w:rFonts w:ascii="方正仿宋_GBK" w:hAnsi="方正仿宋_GBK" w:eastAsia="方正黑体_GBK"/>
          <w:sz w:val="32"/>
          <w:szCs w:val="32"/>
        </w:rPr>
      </w:pPr>
      <w:bookmarkStart w:id="17" w:name="_Toc19290"/>
      <w:r>
        <w:rPr>
          <w:rFonts w:hint="eastAsia" w:ascii="方正仿宋_GBK" w:hAnsi="方正仿宋_GBK" w:eastAsia="方正黑体_GBK"/>
          <w:sz w:val="32"/>
          <w:szCs w:val="32"/>
        </w:rPr>
        <w:t>五、</w:t>
      </w:r>
      <w:r>
        <w:rPr>
          <w:rFonts w:ascii="方正仿宋_GBK" w:hAnsi="方正仿宋_GBK" w:eastAsia="方正黑体_GBK"/>
          <w:sz w:val="32"/>
          <w:szCs w:val="32"/>
        </w:rPr>
        <w:t>存在的问题和建议</w:t>
      </w:r>
      <w:bookmarkEnd w:id="17"/>
    </w:p>
    <w:p>
      <w:pPr>
        <w:keepNext w:val="0"/>
        <w:keepLines w:val="0"/>
        <w:pageBreakBefore w:val="0"/>
        <w:kinsoku/>
        <w:wordWrap/>
        <w:overflowPunct/>
        <w:topLinePunct w:val="0"/>
        <w:bidi w:val="0"/>
        <w:spacing w:line="578" w:lineRule="exact"/>
        <w:ind w:firstLine="640" w:firstLineChars="200"/>
        <w:outlineLvl w:val="1"/>
        <w:rPr>
          <w:rFonts w:ascii="方正仿宋_GBK" w:hAnsi="方正仿宋_GBK" w:eastAsia="方正仿宋_GBK"/>
          <w:sz w:val="32"/>
          <w:szCs w:val="32"/>
        </w:rPr>
      </w:pPr>
      <w:bookmarkStart w:id="18" w:name="_Toc17714"/>
      <w:bookmarkStart w:id="19" w:name="_Toc27212"/>
      <w:r>
        <w:rPr>
          <w:rFonts w:ascii="方正仿宋_GBK" w:hAnsi="方正仿宋_GBK" w:eastAsia="方正仿宋_GBK"/>
          <w:sz w:val="32"/>
          <w:szCs w:val="32"/>
        </w:rPr>
        <w:t>（一）</w:t>
      </w:r>
      <w:r>
        <w:rPr>
          <w:rFonts w:hint="eastAsia" w:ascii="方正仿宋_GBK" w:hAnsi="方正仿宋_GBK" w:eastAsia="方正仿宋_GBK"/>
          <w:sz w:val="32"/>
          <w:szCs w:val="32"/>
        </w:rPr>
        <w:t>存在的问题</w:t>
      </w:r>
      <w:bookmarkEnd w:id="18"/>
      <w:bookmarkEnd w:id="19"/>
    </w:p>
    <w:p>
      <w:pPr>
        <w:pStyle w:val="9"/>
        <w:keepNext w:val="0"/>
        <w:keepLines w:val="0"/>
        <w:pageBreakBefore w:val="0"/>
        <w:widowControl/>
        <w:shd w:val="clear" w:color="auto" w:fill="FFFFFF"/>
        <w:kinsoku/>
        <w:wordWrap/>
        <w:overflowPunct/>
        <w:topLinePunct w:val="0"/>
        <w:bidi w:val="0"/>
        <w:spacing w:beforeAutospacing="0" w:afterAutospacing="0" w:line="578" w:lineRule="exact"/>
        <w:ind w:left="638" w:leftChars="304"/>
        <w:jc w:val="both"/>
        <w:rPr>
          <w:rFonts w:ascii="方正仿宋_GBK" w:hAnsi="方正仿宋_GBK" w:eastAsia="方正仿宋_GBK" w:cs="方正仿宋_GBK"/>
          <w:bCs/>
          <w:kern w:val="2"/>
          <w:sz w:val="32"/>
          <w:szCs w:val="32"/>
        </w:rPr>
      </w:pPr>
      <w:bookmarkStart w:id="20" w:name="_Toc16456"/>
      <w:bookmarkStart w:id="21" w:name="_Toc4640"/>
      <w:r>
        <w:rPr>
          <w:rFonts w:hint="eastAsia" w:ascii="方正仿宋_GBK" w:hAnsi="方正仿宋_GBK" w:eastAsia="方正仿宋_GBK" w:cs="方正仿宋_GBK"/>
          <w:bCs/>
          <w:kern w:val="2"/>
          <w:sz w:val="32"/>
          <w:szCs w:val="32"/>
        </w:rPr>
        <w:t>1、预算发生调整，预算执行与年初预算不匹配</w:t>
      </w:r>
      <w:bookmarkEnd w:id="20"/>
      <w:bookmarkEnd w:id="21"/>
    </w:p>
    <w:p>
      <w:pPr>
        <w:keepNext w:val="0"/>
        <w:keepLines w:val="0"/>
        <w:pageBreakBefore w:val="0"/>
        <w:widowControl/>
        <w:kinsoku/>
        <w:wordWrap/>
        <w:overflowPunct/>
        <w:topLinePunct w:val="0"/>
        <w:autoSpaceDE w:val="0"/>
        <w:autoSpaceDN w:val="0"/>
        <w:bidi w:val="0"/>
        <w:spacing w:line="578" w:lineRule="exact"/>
        <w:ind w:firstLine="640" w:firstLineChars="200"/>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单位在预算执行过程中，预算调整比例较高。是因为区级财政资金调度困难，未按预算进度拨款，财政资金到位及时率较低，导致单位财政资金拨付受影响。</w:t>
      </w:r>
    </w:p>
    <w:p>
      <w:pPr>
        <w:pStyle w:val="9"/>
        <w:keepNext w:val="0"/>
        <w:keepLines w:val="0"/>
        <w:pageBreakBefore w:val="0"/>
        <w:widowControl/>
        <w:shd w:val="clear" w:color="auto" w:fill="FFFFFF"/>
        <w:kinsoku/>
        <w:wordWrap/>
        <w:overflowPunct/>
        <w:topLinePunct w:val="0"/>
        <w:bidi w:val="0"/>
        <w:spacing w:beforeAutospacing="0" w:afterAutospacing="0" w:line="578" w:lineRule="exact"/>
        <w:ind w:left="638" w:leftChars="304"/>
        <w:jc w:val="both"/>
        <w:rPr>
          <w:rFonts w:ascii="方正仿宋_GBK" w:hAnsi="方正仿宋_GBK" w:eastAsia="方正仿宋_GBK" w:cs="方正仿宋_GBK"/>
          <w:bCs/>
          <w:kern w:val="2"/>
          <w:sz w:val="32"/>
          <w:szCs w:val="32"/>
        </w:rPr>
      </w:pPr>
      <w:r>
        <w:rPr>
          <w:rFonts w:hint="eastAsia" w:ascii="方正仿宋_GBK" w:hAnsi="方正仿宋_GBK" w:eastAsia="方正仿宋_GBK" w:cs="方正仿宋_GBK"/>
          <w:bCs/>
          <w:kern w:val="2"/>
          <w:sz w:val="32"/>
          <w:szCs w:val="32"/>
        </w:rPr>
        <w:t>2、绩效目标设置重产出轻效益</w:t>
      </w:r>
      <w:bookmarkStart w:id="24" w:name="_GoBack"/>
      <w:bookmarkEnd w:id="24"/>
    </w:p>
    <w:p>
      <w:pPr>
        <w:keepNext w:val="0"/>
        <w:keepLines w:val="0"/>
        <w:pageBreakBefore w:val="0"/>
        <w:widowControl/>
        <w:kinsoku/>
        <w:wordWrap/>
        <w:overflowPunct/>
        <w:topLinePunct w:val="0"/>
        <w:autoSpaceDE w:val="0"/>
        <w:autoSpaceDN w:val="0"/>
        <w:bidi w:val="0"/>
        <w:spacing w:line="578" w:lineRule="exact"/>
        <w:ind w:firstLine="640" w:firstLineChars="200"/>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单位在设置项目绩效目标时，存在着注重项目的产出，对项目影响效果方面的绩效目标关注不够，会导致绩效目标设置缺少科学性和合理性，完成情况难以把控。如生活垃圾治理（分类）项目，产出指标完成十分到位，但是效益类指标完成情况不理想，生活垃圾分类处置效率未提高到预期值。经实地抽查走访璧山区部分城镇的各个垃圾箱了解到，主要原因是：市民的垃圾分类意识提高率不够，分类知晓率低，分类投放准确率低，导致生活垃圾进入垃圾站后加大了垃圾站分类的任务量，间接性地降低了生活垃圾分类处置的效率。</w:t>
      </w:r>
    </w:p>
    <w:p>
      <w:pPr>
        <w:pStyle w:val="9"/>
        <w:keepNext w:val="0"/>
        <w:keepLines w:val="0"/>
        <w:pageBreakBefore w:val="0"/>
        <w:widowControl/>
        <w:shd w:val="clear" w:color="auto" w:fill="FFFFFF"/>
        <w:kinsoku/>
        <w:wordWrap/>
        <w:overflowPunct/>
        <w:topLinePunct w:val="0"/>
        <w:bidi w:val="0"/>
        <w:spacing w:beforeAutospacing="0" w:afterAutospacing="0" w:line="578" w:lineRule="exact"/>
        <w:ind w:left="638" w:leftChars="304"/>
        <w:jc w:val="both"/>
        <w:rPr>
          <w:rFonts w:ascii="方正仿宋_GBK" w:hAnsi="方正仿宋_GBK" w:eastAsia="方正仿宋_GBK" w:cs="方正仿宋_GBK"/>
          <w:bCs/>
          <w:kern w:val="2"/>
          <w:sz w:val="32"/>
          <w:szCs w:val="32"/>
        </w:rPr>
      </w:pPr>
      <w:r>
        <w:rPr>
          <w:rFonts w:hint="eastAsia" w:ascii="方正仿宋_GBK" w:hAnsi="方正仿宋_GBK" w:eastAsia="方正仿宋_GBK" w:cs="方正仿宋_GBK"/>
          <w:bCs/>
          <w:kern w:val="2"/>
          <w:sz w:val="32"/>
          <w:szCs w:val="32"/>
        </w:rPr>
        <w:t>3、预算绩效评价结果应用效力不够</w:t>
      </w:r>
    </w:p>
    <w:p>
      <w:pPr>
        <w:keepNext w:val="0"/>
        <w:keepLines w:val="0"/>
        <w:pageBreakBefore w:val="0"/>
        <w:widowControl/>
        <w:kinsoku/>
        <w:wordWrap/>
        <w:overflowPunct/>
        <w:topLinePunct w:val="0"/>
        <w:autoSpaceDE w:val="0"/>
        <w:autoSpaceDN w:val="0"/>
        <w:bidi w:val="0"/>
        <w:spacing w:line="578" w:lineRule="exact"/>
        <w:ind w:firstLine="640" w:firstLineChars="200"/>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单位部分财政资金用于公益性事项，其评价主要是从社会影响程度、服务对象满意度等方面进行，但社会效益不同于可以量化的经济指标，往往只能通过定性方式进行衡量，且需要很长一段时间才能逐步显现，评价难以推进，导致预算绩效评价结果对于下年项目绩效目标管理及应用效力不够。</w:t>
      </w:r>
    </w:p>
    <w:p>
      <w:pPr>
        <w:keepNext w:val="0"/>
        <w:keepLines w:val="0"/>
        <w:pageBreakBefore w:val="0"/>
        <w:kinsoku/>
        <w:wordWrap/>
        <w:overflowPunct/>
        <w:topLinePunct w:val="0"/>
        <w:bidi w:val="0"/>
        <w:spacing w:line="578" w:lineRule="exact"/>
        <w:ind w:firstLine="640" w:firstLineChars="200"/>
        <w:outlineLvl w:val="1"/>
        <w:rPr>
          <w:rFonts w:ascii="方正仿宋_GBK" w:hAnsi="方正仿宋_GBK" w:eastAsia="方正仿宋_GBK"/>
          <w:sz w:val="32"/>
          <w:szCs w:val="32"/>
        </w:rPr>
      </w:pPr>
      <w:bookmarkStart w:id="22" w:name="_Toc5205"/>
      <w:bookmarkStart w:id="23" w:name="_Toc10918"/>
      <w:r>
        <w:rPr>
          <w:rFonts w:ascii="方正仿宋_GBK" w:hAnsi="方正仿宋_GBK" w:eastAsia="方正仿宋_GBK"/>
          <w:sz w:val="32"/>
          <w:szCs w:val="32"/>
        </w:rPr>
        <w:t>（</w:t>
      </w:r>
      <w:r>
        <w:rPr>
          <w:rFonts w:hint="eastAsia" w:ascii="方正仿宋_GBK" w:hAnsi="方正仿宋_GBK" w:eastAsia="方正仿宋_GBK"/>
          <w:sz w:val="32"/>
          <w:szCs w:val="32"/>
        </w:rPr>
        <w:t>二</w:t>
      </w:r>
      <w:r>
        <w:rPr>
          <w:rFonts w:ascii="方正仿宋_GBK" w:hAnsi="方正仿宋_GBK" w:eastAsia="方正仿宋_GBK"/>
          <w:sz w:val="32"/>
          <w:szCs w:val="32"/>
        </w:rPr>
        <w:t>）</w:t>
      </w:r>
      <w:r>
        <w:rPr>
          <w:rFonts w:hint="eastAsia" w:ascii="方正仿宋_GBK" w:hAnsi="方正仿宋_GBK" w:eastAsia="方正仿宋_GBK"/>
          <w:sz w:val="32"/>
          <w:szCs w:val="32"/>
        </w:rPr>
        <w:t>建议</w:t>
      </w:r>
      <w:bookmarkEnd w:id="22"/>
      <w:bookmarkEnd w:id="23"/>
    </w:p>
    <w:p>
      <w:pPr>
        <w:keepNext w:val="0"/>
        <w:keepLines w:val="0"/>
        <w:pageBreakBefore w:val="0"/>
        <w:widowControl/>
        <w:kinsoku/>
        <w:wordWrap/>
        <w:overflowPunct/>
        <w:topLinePunct w:val="0"/>
        <w:autoSpaceDE w:val="0"/>
        <w:autoSpaceDN w:val="0"/>
        <w:bidi w:val="0"/>
        <w:spacing w:line="578" w:lineRule="exact"/>
        <w:ind w:firstLine="640" w:firstLineChars="200"/>
        <w:rPr>
          <w:rFonts w:ascii="方正仿宋_GBK" w:hAnsi="方正仿宋_GBK" w:eastAsia="方正仿宋_GBK" w:cs="方正仿宋_GBK"/>
          <w:kern w:val="0"/>
          <w:sz w:val="32"/>
          <w:szCs w:val="32"/>
          <w:shd w:val="clear" w:color="auto" w:fill="FFFFFF"/>
        </w:rPr>
      </w:pPr>
      <w:r>
        <w:rPr>
          <w:rFonts w:hint="eastAsia" w:ascii="方正仿宋_GBK" w:hAnsi="方正仿宋_GBK" w:eastAsia="方正仿宋_GBK" w:cs="方正仿宋_GBK"/>
          <w:kern w:val="0"/>
          <w:sz w:val="32"/>
          <w:szCs w:val="32"/>
          <w:shd w:val="clear" w:color="auto" w:fill="FFFFFF"/>
        </w:rPr>
        <w:t>1、建议财政部门建立与突发事件等级相匹配的支付机制，提高资金到位及时率，保障单位财政资金拨付的及时性。</w:t>
      </w:r>
    </w:p>
    <w:p>
      <w:pPr>
        <w:keepNext w:val="0"/>
        <w:keepLines w:val="0"/>
        <w:pageBreakBefore w:val="0"/>
        <w:widowControl/>
        <w:kinsoku/>
        <w:wordWrap/>
        <w:overflowPunct/>
        <w:topLinePunct w:val="0"/>
        <w:autoSpaceDE w:val="0"/>
        <w:autoSpaceDN w:val="0"/>
        <w:bidi w:val="0"/>
        <w:spacing w:line="578" w:lineRule="exact"/>
        <w:ind w:firstLine="640" w:firstLineChars="200"/>
        <w:rPr>
          <w:rFonts w:ascii="方正仿宋_GBK" w:hAnsi="方正仿宋_GBK" w:eastAsia="方正仿宋_GBK" w:cs="方正仿宋_GBK"/>
          <w:kern w:val="0"/>
          <w:sz w:val="32"/>
          <w:szCs w:val="32"/>
          <w:shd w:val="clear" w:color="auto" w:fill="FFFFFF"/>
        </w:rPr>
      </w:pPr>
      <w:r>
        <w:rPr>
          <w:rFonts w:hint="eastAsia" w:ascii="方正仿宋_GBK" w:hAnsi="方正仿宋_GBK" w:eastAsia="方正仿宋_GBK" w:cs="方正仿宋_GBK"/>
          <w:kern w:val="0"/>
          <w:sz w:val="32"/>
          <w:szCs w:val="32"/>
          <w:shd w:val="clear" w:color="auto" w:fill="FFFFFF"/>
        </w:rPr>
        <w:t>2、建议单位注重实地调研跟踪与原始资料相结合，掌握项目进展第一手资料，做好数据采集工作，依据项目性质将定量分析与定性分析相结合，关注项目产出的同时注重项目影响效果，多方面促进项目影响效果最大化。针对生活垃圾分类处置效率不够高的情况，从分类难的根源着手，设置有关生活垃圾分类政策保障率、垃圾分类知识知晓率、分类投放准确率等各个方面的绩效指标，层层促进璧山区生活垃圾分类处置效率的提高。</w:t>
      </w:r>
    </w:p>
    <w:p>
      <w:pPr>
        <w:keepNext w:val="0"/>
        <w:keepLines w:val="0"/>
        <w:pageBreakBefore w:val="0"/>
        <w:widowControl/>
        <w:kinsoku/>
        <w:wordWrap/>
        <w:overflowPunct/>
        <w:topLinePunct w:val="0"/>
        <w:autoSpaceDE w:val="0"/>
        <w:autoSpaceDN w:val="0"/>
        <w:bidi w:val="0"/>
        <w:spacing w:line="578" w:lineRule="exact"/>
        <w:ind w:firstLine="640" w:firstLineChars="200"/>
        <w:rPr>
          <w:rFonts w:ascii="方正仿宋_GBK" w:hAnsi="方正仿宋_GBK" w:eastAsia="方正仿宋_GBK"/>
          <w:sz w:val="32"/>
          <w:szCs w:val="32"/>
        </w:rPr>
      </w:pPr>
      <w:r>
        <w:rPr>
          <w:rFonts w:hint="eastAsia" w:ascii="方正仿宋_GBK" w:hAnsi="方正仿宋_GBK" w:eastAsia="方正仿宋_GBK" w:cs="方正仿宋_GBK"/>
          <w:kern w:val="0"/>
          <w:sz w:val="32"/>
          <w:szCs w:val="32"/>
          <w:shd w:val="clear" w:color="auto" w:fill="FFFFFF"/>
        </w:rPr>
        <w:t>3、建议单位依据评价结果进行报告反馈、信息公开，实地开通群众评价渠道，综合收集群众对单位的年度工作满意度相关资料；完善相关配套制度政策，加强单位在社会影响方面的佐证资料管理，增加社会效益的可衡量性，间接性加强项目绩效评价结果的应用效力。</w:t>
      </w:r>
    </w:p>
    <w:sectPr>
      <w:footerReference r:id="rId5" w:type="default"/>
      <w:pgSz w:w="11906" w:h="16838"/>
      <w:pgMar w:top="2098" w:right="1474" w:bottom="1984" w:left="1587" w:header="397" w:footer="1587"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隶书">
    <w:panose1 w:val="02010800040101010101"/>
    <w:charset w:val="86"/>
    <w:family w:val="auto"/>
    <w:pitch w:val="default"/>
    <w:sig w:usb0="00000001" w:usb1="080F0000" w:usb2="00000000" w:usb3="00000000" w:csb0="00040000" w:csb1="00000000"/>
  </w:font>
  <w:font w:name="方正姚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_x0000_s3073" o:spid="_x0000_s3073"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5"/>
                </w:pP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_x0000_s3074" o:spid="_x0000_s3074" o:spt="202" type="#_x0000_t202" style="position:absolute;left:0pt;margin-left:365.8pt;margin-top:0pt;height:144pt;width:76.45pt;mso-position-horizontal-relative:margin;z-index:251660288;mso-width-relative:page;mso-height-relative:page;" filled="f" stroked="f" coordsize="21600,21600">
          <v:path/>
          <v:fill on="f" focussize="0,0"/>
          <v:stroke on="f"/>
          <v:imagedata o:title=""/>
          <o:lock v:ext="edit" aspectratio="f"/>
          <v:textbox inset="0mm,0mm,0mm,0mm" style="mso-fit-shape-to-text:t;">
            <w:txbxContent>
              <w:p>
                <w:pPr>
                  <w:pStyle w:val="5"/>
                  <w:ind w:firstLine="280" w:firstLineChars="100"/>
                  <w:rPr>
                    <w:rFonts w:hint="default" w:eastAsia="宋体"/>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14</w:t>
                </w:r>
                <w:r>
                  <w:rPr>
                    <w:rFonts w:hint="eastAsia" w:ascii="宋体" w:hAnsi="宋体" w:eastAsia="宋体" w:cs="宋体"/>
                    <w:sz w:val="28"/>
                    <w:szCs w:val="28"/>
                  </w:rPr>
                  <w:fldChar w:fldCharType="end"/>
                </w:r>
                <w:r>
                  <w:rPr>
                    <w:rFonts w:hint="eastAsia" w:ascii="宋体" w:hAnsi="宋体" w:eastAsia="宋体" w:cs="宋体"/>
                    <w:sz w:val="28"/>
                    <w:szCs w:val="28"/>
                    <w:lang w:eastAsia="zh-CN"/>
                  </w:rPr>
                  <w:t>—</w:t>
                </w:r>
                <w:r>
                  <w:rPr>
                    <w:rFonts w:hint="eastAsia" w:ascii="宋体" w:hAnsi="宋体" w:cs="宋体"/>
                    <w:sz w:val="28"/>
                    <w:szCs w:val="28"/>
                    <w:lang w:val="en-US" w:eastAsia="zh-CN"/>
                  </w:rPr>
                  <w:t xml:space="preserve"> </w:t>
                </w:r>
                <w:r>
                  <w:rPr>
                    <w:rFonts w:hint="eastAsia"/>
                    <w:lang w:val="en-US" w:eastAsia="zh-CN"/>
                  </w:rPr>
                  <w:t xml:space="preserve">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top w:val="none" w:color="auto" w:sz="0" w:space="0"/>
        <w:left w:val="none" w:color="auto" w:sz="0" w:space="0"/>
        <w:bottom w:val="none" w:color="auto" w:sz="0" w:space="1"/>
        <w:right w:val="none" w:color="auto" w:sz="0" w:space="0"/>
        <w:between w:val="none" w:color="auto" w:sz="0" w:space="0"/>
      </w:pBdr>
      <w:tabs>
        <w:tab w:val="clear" w:pos="4153"/>
      </w:tabs>
      <w:jc w:val="center"/>
      <w:rPr>
        <w:strike w:val="0"/>
        <w:dstrike w:val="0"/>
        <w:u w:val="non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EB3AE5"/>
    <w:multiLevelType w:val="singleLevel"/>
    <w:tmpl w:val="C8EB3AE5"/>
    <w:lvl w:ilvl="0" w:tentative="0">
      <w:start w:val="3"/>
      <w:numFmt w:val="chineseCounting"/>
      <w:suff w:val="nothing"/>
      <w:lvlText w:val="（%1）"/>
      <w:lvlJc w:val="left"/>
      <w:rPr>
        <w:rFonts w:hint="eastAsia"/>
      </w:rPr>
    </w:lvl>
  </w:abstractNum>
  <w:abstractNum w:abstractNumId="1">
    <w:nsid w:val="EAA0978C"/>
    <w:multiLevelType w:val="singleLevel"/>
    <w:tmpl w:val="EAA0978C"/>
    <w:lvl w:ilvl="0" w:tentative="0">
      <w:start w:val="4"/>
      <w:numFmt w:val="chineseCounting"/>
      <w:suff w:val="nothing"/>
      <w:lvlText w:val="%1、"/>
      <w:lvlJc w:val="left"/>
      <w:rPr>
        <w:rFonts w:hint="eastAsia"/>
      </w:rPr>
    </w:lvl>
  </w:abstractNum>
  <w:abstractNum w:abstractNumId="2">
    <w:nsid w:val="F5E5D91B"/>
    <w:multiLevelType w:val="singleLevel"/>
    <w:tmpl w:val="F5E5D91B"/>
    <w:lvl w:ilvl="0" w:tentative="0">
      <w:start w:val="1"/>
      <w:numFmt w:val="decimal"/>
      <w:suff w:val="nothing"/>
      <w:lvlText w:val="%1、"/>
      <w:lvlJc w:val="left"/>
      <w:rPr>
        <w:rFonts w:hint="default" w:ascii="方正仿宋_GBK" w:hAnsi="方正仿宋_GBK" w:eastAsia="方正仿宋_GBK" w:cs="方正仿宋_GBK"/>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mZlNDRhNjZhYTI4ZTQ5NWM3NzM5NzY1M2U5Y2M3MmEifQ=="/>
  </w:docVars>
  <w:rsids>
    <w:rsidRoot w:val="00806865"/>
    <w:rsid w:val="00043A15"/>
    <w:rsid w:val="000575E2"/>
    <w:rsid w:val="00063B15"/>
    <w:rsid w:val="0009607E"/>
    <w:rsid w:val="000B5DB9"/>
    <w:rsid w:val="000C0972"/>
    <w:rsid w:val="00171AB3"/>
    <w:rsid w:val="001C3402"/>
    <w:rsid w:val="001C3D64"/>
    <w:rsid w:val="001C641A"/>
    <w:rsid w:val="001C6822"/>
    <w:rsid w:val="001E256D"/>
    <w:rsid w:val="001E2D5B"/>
    <w:rsid w:val="00247BB1"/>
    <w:rsid w:val="002571F7"/>
    <w:rsid w:val="002641A6"/>
    <w:rsid w:val="002834C5"/>
    <w:rsid w:val="00293914"/>
    <w:rsid w:val="002C141E"/>
    <w:rsid w:val="002C4177"/>
    <w:rsid w:val="002E1F6F"/>
    <w:rsid w:val="002F6627"/>
    <w:rsid w:val="00304656"/>
    <w:rsid w:val="00333D24"/>
    <w:rsid w:val="003532F1"/>
    <w:rsid w:val="00357647"/>
    <w:rsid w:val="00365C0E"/>
    <w:rsid w:val="00381982"/>
    <w:rsid w:val="00381F5B"/>
    <w:rsid w:val="00384864"/>
    <w:rsid w:val="003B01B9"/>
    <w:rsid w:val="003E4915"/>
    <w:rsid w:val="003E75C4"/>
    <w:rsid w:val="00401B11"/>
    <w:rsid w:val="00422429"/>
    <w:rsid w:val="0043034C"/>
    <w:rsid w:val="00443E03"/>
    <w:rsid w:val="00487348"/>
    <w:rsid w:val="00497B55"/>
    <w:rsid w:val="004A5F86"/>
    <w:rsid w:val="004C051C"/>
    <w:rsid w:val="004F189B"/>
    <w:rsid w:val="00516F77"/>
    <w:rsid w:val="005405BA"/>
    <w:rsid w:val="00547BAD"/>
    <w:rsid w:val="00550210"/>
    <w:rsid w:val="005516E1"/>
    <w:rsid w:val="00563118"/>
    <w:rsid w:val="005A221A"/>
    <w:rsid w:val="005B5ED1"/>
    <w:rsid w:val="00606BA5"/>
    <w:rsid w:val="006417E5"/>
    <w:rsid w:val="0064309B"/>
    <w:rsid w:val="00671BB5"/>
    <w:rsid w:val="006772C6"/>
    <w:rsid w:val="006C7720"/>
    <w:rsid w:val="006C793C"/>
    <w:rsid w:val="006D100A"/>
    <w:rsid w:val="006E6E29"/>
    <w:rsid w:val="00704B56"/>
    <w:rsid w:val="00725E01"/>
    <w:rsid w:val="00732DA5"/>
    <w:rsid w:val="00770339"/>
    <w:rsid w:val="0077453E"/>
    <w:rsid w:val="007B27A0"/>
    <w:rsid w:val="007C2693"/>
    <w:rsid w:val="007D04AB"/>
    <w:rsid w:val="007D7B0E"/>
    <w:rsid w:val="007E54DF"/>
    <w:rsid w:val="00806211"/>
    <w:rsid w:val="00806865"/>
    <w:rsid w:val="0081273A"/>
    <w:rsid w:val="0082343D"/>
    <w:rsid w:val="00831BF0"/>
    <w:rsid w:val="00837D1D"/>
    <w:rsid w:val="00844EE6"/>
    <w:rsid w:val="00871B89"/>
    <w:rsid w:val="00880010"/>
    <w:rsid w:val="008A7625"/>
    <w:rsid w:val="008D02AF"/>
    <w:rsid w:val="008D25A0"/>
    <w:rsid w:val="009108DF"/>
    <w:rsid w:val="00974291"/>
    <w:rsid w:val="009A23DE"/>
    <w:rsid w:val="009B6104"/>
    <w:rsid w:val="00A1196F"/>
    <w:rsid w:val="00A27343"/>
    <w:rsid w:val="00A3725D"/>
    <w:rsid w:val="00A45BE4"/>
    <w:rsid w:val="00AD0DAD"/>
    <w:rsid w:val="00AF31E0"/>
    <w:rsid w:val="00B07031"/>
    <w:rsid w:val="00B17BC3"/>
    <w:rsid w:val="00B34D05"/>
    <w:rsid w:val="00B85927"/>
    <w:rsid w:val="00BC3295"/>
    <w:rsid w:val="00BD1848"/>
    <w:rsid w:val="00BF6FF2"/>
    <w:rsid w:val="00C31CE4"/>
    <w:rsid w:val="00C77086"/>
    <w:rsid w:val="00C858DD"/>
    <w:rsid w:val="00CB58C3"/>
    <w:rsid w:val="00CD33CE"/>
    <w:rsid w:val="00CF26C3"/>
    <w:rsid w:val="00D610B4"/>
    <w:rsid w:val="00D86135"/>
    <w:rsid w:val="00DF3982"/>
    <w:rsid w:val="00E05A32"/>
    <w:rsid w:val="00E225F8"/>
    <w:rsid w:val="00E25A0F"/>
    <w:rsid w:val="00E27879"/>
    <w:rsid w:val="00E42BE7"/>
    <w:rsid w:val="00E55405"/>
    <w:rsid w:val="00E72086"/>
    <w:rsid w:val="00E91393"/>
    <w:rsid w:val="00EB0A75"/>
    <w:rsid w:val="00EF2A45"/>
    <w:rsid w:val="00EF7E34"/>
    <w:rsid w:val="00F52EB7"/>
    <w:rsid w:val="00F70C2E"/>
    <w:rsid w:val="00F9262E"/>
    <w:rsid w:val="00F93438"/>
    <w:rsid w:val="00FA41F0"/>
    <w:rsid w:val="00FD0041"/>
    <w:rsid w:val="00FE38F2"/>
    <w:rsid w:val="01317715"/>
    <w:rsid w:val="02331713"/>
    <w:rsid w:val="032540BF"/>
    <w:rsid w:val="03863E70"/>
    <w:rsid w:val="03A762C0"/>
    <w:rsid w:val="04FE63B4"/>
    <w:rsid w:val="05900FD6"/>
    <w:rsid w:val="06EC66E0"/>
    <w:rsid w:val="081D7AE0"/>
    <w:rsid w:val="089332B7"/>
    <w:rsid w:val="096D72FB"/>
    <w:rsid w:val="097C48A2"/>
    <w:rsid w:val="098E5CCC"/>
    <w:rsid w:val="09FA11E0"/>
    <w:rsid w:val="0A285C81"/>
    <w:rsid w:val="0B496D33"/>
    <w:rsid w:val="0B924F3C"/>
    <w:rsid w:val="0C152235"/>
    <w:rsid w:val="0C1C7A68"/>
    <w:rsid w:val="0CE47124"/>
    <w:rsid w:val="0E19580F"/>
    <w:rsid w:val="0E8B005B"/>
    <w:rsid w:val="0F063A26"/>
    <w:rsid w:val="0F2F6F71"/>
    <w:rsid w:val="11E92A7D"/>
    <w:rsid w:val="13041393"/>
    <w:rsid w:val="139D1335"/>
    <w:rsid w:val="13C14191"/>
    <w:rsid w:val="15821850"/>
    <w:rsid w:val="15EE7D7F"/>
    <w:rsid w:val="16683FED"/>
    <w:rsid w:val="16A77995"/>
    <w:rsid w:val="17B40B54"/>
    <w:rsid w:val="17C73B8D"/>
    <w:rsid w:val="181334AB"/>
    <w:rsid w:val="182F341E"/>
    <w:rsid w:val="187C59B7"/>
    <w:rsid w:val="188E75F7"/>
    <w:rsid w:val="19033B41"/>
    <w:rsid w:val="190E2B30"/>
    <w:rsid w:val="1ADF238C"/>
    <w:rsid w:val="1B9C545C"/>
    <w:rsid w:val="1BB95552"/>
    <w:rsid w:val="1BF57D3F"/>
    <w:rsid w:val="1C073948"/>
    <w:rsid w:val="1D953CF2"/>
    <w:rsid w:val="1EBB288A"/>
    <w:rsid w:val="1EE07F37"/>
    <w:rsid w:val="1F897A12"/>
    <w:rsid w:val="1FD843D6"/>
    <w:rsid w:val="20795D5C"/>
    <w:rsid w:val="21313470"/>
    <w:rsid w:val="21F93D33"/>
    <w:rsid w:val="21F97856"/>
    <w:rsid w:val="22622638"/>
    <w:rsid w:val="22644610"/>
    <w:rsid w:val="22EA36DF"/>
    <w:rsid w:val="24855D52"/>
    <w:rsid w:val="249C2A2E"/>
    <w:rsid w:val="249E0BC2"/>
    <w:rsid w:val="24F95020"/>
    <w:rsid w:val="25006DA5"/>
    <w:rsid w:val="26213859"/>
    <w:rsid w:val="26346325"/>
    <w:rsid w:val="26A67592"/>
    <w:rsid w:val="272B7A39"/>
    <w:rsid w:val="277061AF"/>
    <w:rsid w:val="27EB5D07"/>
    <w:rsid w:val="281C69CE"/>
    <w:rsid w:val="284D3120"/>
    <w:rsid w:val="29606AB5"/>
    <w:rsid w:val="297D44DC"/>
    <w:rsid w:val="2A144355"/>
    <w:rsid w:val="2A8D5E6A"/>
    <w:rsid w:val="2B7E3FCF"/>
    <w:rsid w:val="2D50520F"/>
    <w:rsid w:val="2DDD08C4"/>
    <w:rsid w:val="2E7D55D9"/>
    <w:rsid w:val="2F7E7464"/>
    <w:rsid w:val="2FDD1B7F"/>
    <w:rsid w:val="30B04157"/>
    <w:rsid w:val="31143F2C"/>
    <w:rsid w:val="31C37EBA"/>
    <w:rsid w:val="323636A9"/>
    <w:rsid w:val="324A3FB8"/>
    <w:rsid w:val="324F79A0"/>
    <w:rsid w:val="32891103"/>
    <w:rsid w:val="32DB1E15"/>
    <w:rsid w:val="32F825D4"/>
    <w:rsid w:val="33AB6E58"/>
    <w:rsid w:val="348712A1"/>
    <w:rsid w:val="34DB15D1"/>
    <w:rsid w:val="35246EC1"/>
    <w:rsid w:val="35531555"/>
    <w:rsid w:val="35A77AE8"/>
    <w:rsid w:val="35DF4A23"/>
    <w:rsid w:val="374750E9"/>
    <w:rsid w:val="3772660A"/>
    <w:rsid w:val="37CE1367"/>
    <w:rsid w:val="383B42A9"/>
    <w:rsid w:val="38606463"/>
    <w:rsid w:val="38C554D3"/>
    <w:rsid w:val="38D646EC"/>
    <w:rsid w:val="39D62CD1"/>
    <w:rsid w:val="3ACE6F07"/>
    <w:rsid w:val="3AD46C94"/>
    <w:rsid w:val="3AF92745"/>
    <w:rsid w:val="3BBE58FF"/>
    <w:rsid w:val="3C0269D0"/>
    <w:rsid w:val="3CB669F0"/>
    <w:rsid w:val="3CC64D02"/>
    <w:rsid w:val="3D764477"/>
    <w:rsid w:val="3D98044D"/>
    <w:rsid w:val="3E2671E9"/>
    <w:rsid w:val="3E32264F"/>
    <w:rsid w:val="3EDA7207"/>
    <w:rsid w:val="3F2521B4"/>
    <w:rsid w:val="4483265B"/>
    <w:rsid w:val="46776695"/>
    <w:rsid w:val="46EA7EDB"/>
    <w:rsid w:val="487D6BBD"/>
    <w:rsid w:val="48A57EC2"/>
    <w:rsid w:val="48F84495"/>
    <w:rsid w:val="4A72164F"/>
    <w:rsid w:val="4A85318A"/>
    <w:rsid w:val="4AE63E96"/>
    <w:rsid w:val="4B3610F2"/>
    <w:rsid w:val="4B416C8E"/>
    <w:rsid w:val="4BC863A1"/>
    <w:rsid w:val="4C717508"/>
    <w:rsid w:val="4C7D6B0F"/>
    <w:rsid w:val="4CE114E8"/>
    <w:rsid w:val="4D8D0E92"/>
    <w:rsid w:val="4DA52AC4"/>
    <w:rsid w:val="4DB210B7"/>
    <w:rsid w:val="4E465EC0"/>
    <w:rsid w:val="4E832A53"/>
    <w:rsid w:val="4E880069"/>
    <w:rsid w:val="4FC74BC1"/>
    <w:rsid w:val="50B60EBE"/>
    <w:rsid w:val="51196B7F"/>
    <w:rsid w:val="511B3686"/>
    <w:rsid w:val="51DB1DFE"/>
    <w:rsid w:val="524F33C7"/>
    <w:rsid w:val="528154FB"/>
    <w:rsid w:val="56120C9B"/>
    <w:rsid w:val="56E20D30"/>
    <w:rsid w:val="56FB68C8"/>
    <w:rsid w:val="571739F1"/>
    <w:rsid w:val="57EC1669"/>
    <w:rsid w:val="59387870"/>
    <w:rsid w:val="59F12F67"/>
    <w:rsid w:val="5A653687"/>
    <w:rsid w:val="5A7D0C9E"/>
    <w:rsid w:val="5B9C6768"/>
    <w:rsid w:val="5C401F83"/>
    <w:rsid w:val="5C652C7E"/>
    <w:rsid w:val="5D24133C"/>
    <w:rsid w:val="5DA12EF6"/>
    <w:rsid w:val="618844F9"/>
    <w:rsid w:val="61DA0784"/>
    <w:rsid w:val="625E2390"/>
    <w:rsid w:val="62BB0009"/>
    <w:rsid w:val="646F6B02"/>
    <w:rsid w:val="64B625E5"/>
    <w:rsid w:val="64DE058B"/>
    <w:rsid w:val="651422D8"/>
    <w:rsid w:val="6548383B"/>
    <w:rsid w:val="658E5B0E"/>
    <w:rsid w:val="6593618B"/>
    <w:rsid w:val="65F42C7B"/>
    <w:rsid w:val="65FC7E82"/>
    <w:rsid w:val="668F1B3D"/>
    <w:rsid w:val="66BB1E10"/>
    <w:rsid w:val="677B5E9F"/>
    <w:rsid w:val="683255FB"/>
    <w:rsid w:val="6A150CDB"/>
    <w:rsid w:val="6AA30543"/>
    <w:rsid w:val="6AA656A7"/>
    <w:rsid w:val="6B9C1DE0"/>
    <w:rsid w:val="6BF05860"/>
    <w:rsid w:val="6DEE031B"/>
    <w:rsid w:val="6E514E37"/>
    <w:rsid w:val="6E59232F"/>
    <w:rsid w:val="6E8421A4"/>
    <w:rsid w:val="6F5425A6"/>
    <w:rsid w:val="6F9C0BD2"/>
    <w:rsid w:val="6FDF52E9"/>
    <w:rsid w:val="722041D1"/>
    <w:rsid w:val="733A72D5"/>
    <w:rsid w:val="74CE7AAB"/>
    <w:rsid w:val="74F311C2"/>
    <w:rsid w:val="76C33D5F"/>
    <w:rsid w:val="76F65C09"/>
    <w:rsid w:val="77063A92"/>
    <w:rsid w:val="78173E5E"/>
    <w:rsid w:val="78843784"/>
    <w:rsid w:val="793747B8"/>
    <w:rsid w:val="79C83D9B"/>
    <w:rsid w:val="7A341A8C"/>
    <w:rsid w:val="7AA250E0"/>
    <w:rsid w:val="7AB34C3E"/>
    <w:rsid w:val="7AB50882"/>
    <w:rsid w:val="7DBA0F0B"/>
    <w:rsid w:val="7FE568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nhideWhenUsed="0"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6"/>
    <w:basedOn w:val="1"/>
    <w:next w:val="1"/>
    <w:qFormat/>
    <w:uiPriority w:val="9"/>
    <w:pPr>
      <w:keepNext/>
      <w:keepLines/>
      <w:spacing w:before="240" w:after="64" w:line="320" w:lineRule="auto"/>
      <w:outlineLvl w:val="5"/>
    </w:pPr>
    <w:rPr>
      <w:rFonts w:ascii="Cambria" w:hAnsi="Cambria"/>
      <w:b/>
      <w:bCs/>
      <w:sz w:val="28"/>
    </w:rPr>
  </w:style>
  <w:style w:type="character" w:default="1" w:styleId="11">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toc 3"/>
    <w:basedOn w:val="1"/>
    <w:next w:val="1"/>
    <w:semiHidden/>
    <w:unhideWhenUsed/>
    <w:qFormat/>
    <w:uiPriority w:val="39"/>
    <w:pPr>
      <w:ind w:left="840" w:leftChars="400"/>
    </w:pPr>
  </w:style>
  <w:style w:type="paragraph" w:styleId="4">
    <w:name w:val="Balloon Text"/>
    <w:basedOn w:val="1"/>
    <w:link w:val="20"/>
    <w:semiHidden/>
    <w:unhideWhenUsed/>
    <w:qFormat/>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semiHidden/>
    <w:unhideWhenUsed/>
    <w:qFormat/>
    <w:uiPriority w:val="39"/>
  </w:style>
  <w:style w:type="paragraph" w:styleId="8">
    <w:name w:val="toc 2"/>
    <w:basedOn w:val="1"/>
    <w:next w:val="1"/>
    <w:semiHidden/>
    <w:unhideWhenUsed/>
    <w:qFormat/>
    <w:uiPriority w:val="39"/>
    <w:pPr>
      <w:ind w:left="420" w:leftChars="200"/>
    </w:pPr>
  </w:style>
  <w:style w:type="paragraph" w:styleId="9">
    <w:name w:val="Normal (Web)"/>
    <w:basedOn w:val="1"/>
    <w:qFormat/>
    <w:uiPriority w:val="0"/>
    <w:pPr>
      <w:spacing w:beforeAutospacing="1" w:afterAutospacing="1"/>
      <w:jc w:val="left"/>
    </w:pPr>
    <w:rPr>
      <w:kern w:val="0"/>
      <w:sz w:val="24"/>
    </w:rPr>
  </w:style>
  <w:style w:type="paragraph" w:styleId="12">
    <w:name w:val="No Spacing"/>
    <w:qFormat/>
    <w:uiPriority w:val="99"/>
    <w:pPr>
      <w:widowControl w:val="0"/>
      <w:jc w:val="both"/>
    </w:pPr>
    <w:rPr>
      <w:rFonts w:asciiTheme="minorHAnsi" w:hAnsiTheme="minorHAnsi" w:eastAsiaTheme="minorEastAsia" w:cstheme="minorBidi"/>
      <w:kern w:val="2"/>
      <w:sz w:val="21"/>
      <w:szCs w:val="22"/>
      <w:lang w:val="en-US" w:eastAsia="zh-CN" w:bidi="ar-SA"/>
    </w:rPr>
  </w:style>
  <w:style w:type="character" w:customStyle="1" w:styleId="13">
    <w:name w:val="页眉 Char"/>
    <w:basedOn w:val="11"/>
    <w:link w:val="6"/>
    <w:qFormat/>
    <w:uiPriority w:val="99"/>
    <w:rPr>
      <w:rFonts w:ascii="Times New Roman" w:hAnsi="Times New Roman" w:eastAsia="宋体" w:cs="Times New Roman"/>
      <w:sz w:val="18"/>
      <w:szCs w:val="18"/>
    </w:rPr>
  </w:style>
  <w:style w:type="character" w:customStyle="1" w:styleId="14">
    <w:name w:val="页脚 Char"/>
    <w:basedOn w:val="11"/>
    <w:link w:val="5"/>
    <w:qFormat/>
    <w:uiPriority w:val="99"/>
    <w:rPr>
      <w:rFonts w:ascii="Times New Roman" w:hAnsi="Times New Roman" w:eastAsia="宋体" w:cs="Times New Roman"/>
      <w:sz w:val="18"/>
      <w:szCs w:val="18"/>
    </w:rPr>
  </w:style>
  <w:style w:type="paragraph" w:styleId="15">
    <w:name w:val="List Paragraph"/>
    <w:basedOn w:val="1"/>
    <w:qFormat/>
    <w:uiPriority w:val="34"/>
    <w:pPr>
      <w:ind w:firstLine="420" w:firstLineChars="200"/>
    </w:pPr>
  </w:style>
  <w:style w:type="paragraph" w:customStyle="1" w:styleId="1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7">
    <w:name w:val="WPSOffice手动目录 1"/>
    <w:qFormat/>
    <w:uiPriority w:val="0"/>
    <w:rPr>
      <w:rFonts w:ascii="Times New Roman" w:hAnsi="Times New Roman" w:eastAsia="宋体" w:cs="Times New Roman"/>
      <w:lang w:val="en-US" w:eastAsia="zh-CN" w:bidi="ar-SA"/>
    </w:rPr>
  </w:style>
  <w:style w:type="paragraph" w:customStyle="1" w:styleId="18">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19">
    <w:name w:val="WPSOffice手动目录 3"/>
    <w:qFormat/>
    <w:uiPriority w:val="0"/>
    <w:pPr>
      <w:ind w:left="400" w:leftChars="400"/>
    </w:pPr>
    <w:rPr>
      <w:rFonts w:ascii="Times New Roman" w:hAnsi="Times New Roman" w:eastAsia="宋体" w:cs="Times New Roman"/>
      <w:lang w:val="en-US" w:eastAsia="zh-CN" w:bidi="ar-SA"/>
    </w:rPr>
  </w:style>
  <w:style w:type="character" w:customStyle="1" w:styleId="20">
    <w:name w:val="批注框文本 Char"/>
    <w:basedOn w:val="11"/>
    <w:link w:val="4"/>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73"/>
    <customShpInfo spid="_x0000_s307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18</Pages>
  <Words>7626</Words>
  <Characters>7967</Characters>
  <Lines>65</Lines>
  <Paragraphs>18</Paragraphs>
  <TotalTime>64</TotalTime>
  <ScaleCrop>false</ScaleCrop>
  <LinksUpToDate>false</LinksUpToDate>
  <CharactersWithSpaces>8028</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2020-04-20T08:58:00Z</dcterms:created>
  <dc:creator>Administrator</dc:creator>
  <cp:lastModifiedBy>陈陈</cp:lastModifiedBy>
  <cp:lastPrinted>2022-10-10T07:39:51Z</cp:lastPrinted>
  <dcterms:modified xsi:type="dcterms:W3CDTF">2022-10-10T07:41:42Z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B1F7E4DD39334781A08366B91305DFFE</vt:lpwstr>
  </property>
</Properties>
</file>