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96" w:lineRule="exact"/>
        <w:ind w:left="359" w:leftChars="171" w:firstLine="1100" w:firstLineChars="250"/>
        <w:rPr>
          <w:rFonts w:hint="eastAsia" w:eastAsia="方正小标宋_GBK"/>
          <w:sz w:val="44"/>
          <w:szCs w:val="32"/>
          <w:lang w:val="en-US" w:eastAsia="zh-CN"/>
        </w:rPr>
      </w:pPr>
      <w:r>
        <w:rPr>
          <w:rFonts w:hint="eastAsia" w:eastAsia="方正小标宋_GBK"/>
          <w:sz w:val="44"/>
          <w:szCs w:val="32"/>
          <w:lang w:val="en-US" w:eastAsia="zh-CN"/>
        </w:rPr>
        <w:t>中共重庆市璧山区委政法委员会</w:t>
      </w:r>
    </w:p>
    <w:p>
      <w:pPr>
        <w:pStyle w:val="10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10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部门基本情况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委政法委下设办公室、政法队伍建设指导科、政治安全科、执法监督科及维稳指导科、基层指导科、平安建设科等6个内设机构，现实有行政在职人员11人，其中副书记3名，政治处主任1名，内设机构负责人4名；工勤人员1人；下属事业单位综治中心未独立核算，现实有编制人员7人，其中中心主任1名、副主任1名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hint="eastAsia" w:ascii="仿宋" w:hAnsi="仿宋" w:eastAsia="仿宋" w:cs="仿宋"/>
          <w:spacing w:val="6"/>
          <w:sz w:val="32"/>
          <w:lang w:val="en-US" w:eastAsia="zh-CN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6"/>
          <w:sz w:val="32"/>
          <w:lang w:val="en-US" w:eastAsia="zh-CN"/>
        </w:rPr>
        <w:t>2022年初预算751.07万元，其中项目预算16个，下达项目经费209.09万元，年中调减未执行项目1个，追加项目1个，追加项目经费11.7万元，全年调整预算项目资金65.34万元。2022年决算支出664.4万元，其中项目支出16个，支出项目经费143.75万元，上年结转综治经费2.38万元，今年无结转结余。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主要成效</w:t>
      </w:r>
    </w:p>
    <w:p>
      <w:pPr>
        <w:spacing w:line="596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3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全面建立单位内部控制制度建设，实现项目预算控制、项目资金使用控制、项目绩效目标控制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（二）绩效评价原则</w:t>
      </w:r>
    </w:p>
    <w:p>
      <w:pPr>
        <w:spacing w:line="596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>
      <w:pPr>
        <w:spacing w:line="596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" w:eastAsia="仿宋_GB2312"/>
          <w:sz w:val="32"/>
          <w:szCs w:val="32"/>
        </w:rPr>
        <w:t>，成立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区委政法委</w:t>
      </w:r>
      <w:r>
        <w:rPr>
          <w:rFonts w:hint="eastAsia" w:ascii="仿宋_GB2312" w:hAnsi="仿宋" w:eastAsia="仿宋_GB2312"/>
          <w:sz w:val="32"/>
          <w:szCs w:val="32"/>
        </w:rPr>
        <w:t>项目绩效评价工作组，负责绩效自评工作，工作组的主要成员及职责如下：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1.工作组成员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谢玉红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雷凤平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田小露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（1）组长职责：审批绩效自评方案，监督、检查、核实绩效自评结果；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（2）副组长职责：审核修改拟定的绩效自评方案，并提交考评工作组会议讨论通过；监督、部署、确认绩效自评过程及反馈意见的处理。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投入评价情况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投入</w:t>
      </w:r>
      <w:r>
        <w:rPr>
          <w:rFonts w:hint="eastAsia" w:ascii="仿宋_GB2312" w:hAnsi="仿宋" w:eastAsia="仿宋_GB2312"/>
          <w:sz w:val="32"/>
          <w:szCs w:val="32"/>
        </w:rPr>
        <w:t>项目资金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143.75</w:t>
      </w:r>
      <w:r>
        <w:rPr>
          <w:rFonts w:hint="eastAsia" w:ascii="仿宋_GB2312" w:hAnsi="仿宋" w:eastAsia="仿宋_GB2312"/>
          <w:sz w:val="32"/>
          <w:szCs w:val="32"/>
        </w:rPr>
        <w:t>万元，其中：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本年财政预算投入141.36万元，上年结转结余投入2.38万元，</w:t>
      </w:r>
      <w:r>
        <w:rPr>
          <w:rFonts w:hint="eastAsia" w:ascii="仿宋_GB2312" w:hAnsi="仿宋" w:eastAsia="仿宋_GB2312"/>
          <w:sz w:val="32"/>
          <w:szCs w:val="32"/>
        </w:rPr>
        <w:t>共计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143.75</w:t>
      </w:r>
      <w:r>
        <w:rPr>
          <w:rFonts w:hint="eastAsia" w:ascii="仿宋_GB2312" w:hAnsi="仿宋" w:eastAsia="仿宋_GB2312"/>
          <w:sz w:val="32"/>
          <w:szCs w:val="32"/>
        </w:rPr>
        <w:t>万元，分别投入到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个项目，投入资金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143.75</w:t>
      </w:r>
      <w:r>
        <w:rPr>
          <w:rFonts w:hint="eastAsia" w:ascii="仿宋_GB2312" w:hAnsi="仿宋" w:eastAsia="仿宋_GB2312"/>
          <w:sz w:val="32"/>
          <w:szCs w:val="32"/>
        </w:rPr>
        <w:t>万元，资金到位率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spacing w:line="596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过程评价情况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全面建立单位内部控制制度建设，实现项目预算控制、项目资金使用控制、项目绩效目标控制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产出评价情况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及时保障人员经费，推进社会治安综合治理、高铁护路、案件协调、干部培训、疫情社区排查、入境人员转运、市委民调三项指标考核、“三大攻坚战”防范化解重大风险先进个人表彰等工作。</w:t>
      </w:r>
    </w:p>
    <w:p>
      <w:pPr>
        <w:spacing w:line="596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效益评价情况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全区群众安全感、政法队伍满意度、司法公信力分别达到</w:t>
      </w:r>
      <w:r>
        <w:rPr>
          <w:rFonts w:hint="eastAsia" w:eastAsia="方正仿宋_GBK"/>
          <w:sz w:val="32"/>
          <w:szCs w:val="32"/>
          <w:lang w:val="en-US" w:eastAsia="zh-CN"/>
        </w:rPr>
        <w:t>98.82</w:t>
      </w:r>
      <w:r>
        <w:rPr>
          <w:rFonts w:hint="eastAsia" w:eastAsia="方正仿宋_GBK"/>
          <w:sz w:val="32"/>
          <w:szCs w:val="32"/>
        </w:rPr>
        <w:t>%、97.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分、97.94分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需重点关注的问题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一）严把预算关，预算精准化。</w:t>
      </w:r>
    </w:p>
    <w:p>
      <w:pPr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二）建立项目经费使用申报制度，加强经费审查。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缺少专业财务人才。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缺乏专业财务知识。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</w:rPr>
        <w:t>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意见或建议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加强专业培训，提升业务能力。</w:t>
      </w:r>
      <w:bookmarkStart w:id="0" w:name="_GoBack"/>
      <w:bookmarkEnd w:id="0"/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jNDE5ZmU1YzlhMDVkMWM1NzY4ODVkMTkzYTg3ZDQ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1A1459A8"/>
    <w:rsid w:val="1B9513DF"/>
    <w:rsid w:val="1F0568CA"/>
    <w:rsid w:val="5430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1022</Words>
  <Characters>1111</Characters>
  <Lines>1</Lines>
  <Paragraphs>1</Paragraphs>
  <TotalTime>0</TotalTime>
  <ScaleCrop>false</ScaleCrop>
  <LinksUpToDate>false</LinksUpToDate>
  <CharactersWithSpaces>1116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小露</cp:lastModifiedBy>
  <cp:lastPrinted>2020-04-20T08:58:00Z</cp:lastPrinted>
  <dcterms:modified xsi:type="dcterms:W3CDTF">2023-03-29T11:00:36Z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75A012C3B4724E8E8192699BBFB11085</vt:lpwstr>
  </property>
</Properties>
</file>