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E15" w:rsidRDefault="00AA52CF">
      <w:pPr>
        <w:spacing w:line="596" w:lineRule="exact"/>
        <w:jc w:val="left"/>
        <w:rPr>
          <w:rFonts w:ascii="方正仿宋_GBK" w:eastAsia="方正仿宋_GBK"/>
          <w:sz w:val="32"/>
          <w:szCs w:val="32"/>
        </w:rPr>
      </w:pPr>
      <w:r>
        <w:rPr>
          <w:rFonts w:ascii="方正仿宋_GBK" w:eastAsia="方正仿宋_GBK" w:hint="eastAsia"/>
          <w:sz w:val="32"/>
          <w:szCs w:val="32"/>
        </w:rPr>
        <w:t>附件</w:t>
      </w:r>
      <w:r w:rsidR="00653A16">
        <w:rPr>
          <w:rFonts w:ascii="方正仿宋_GBK" w:eastAsia="方正仿宋_GBK" w:hint="eastAsia"/>
          <w:sz w:val="32"/>
          <w:szCs w:val="32"/>
        </w:rPr>
        <w:t>3</w:t>
      </w:r>
      <w:bookmarkStart w:id="0" w:name="_GoBack"/>
      <w:bookmarkEnd w:id="0"/>
    </w:p>
    <w:p w:rsidR="00B83E15" w:rsidRDefault="00AA52CF">
      <w:pPr>
        <w:spacing w:line="596" w:lineRule="exact"/>
        <w:jc w:val="center"/>
        <w:rPr>
          <w:rFonts w:eastAsia="方正小标宋_GBK"/>
          <w:sz w:val="44"/>
          <w:szCs w:val="32"/>
        </w:rPr>
      </w:pPr>
      <w:r>
        <w:rPr>
          <w:rFonts w:eastAsia="方正小标宋_GBK" w:hint="eastAsia"/>
          <w:sz w:val="44"/>
          <w:szCs w:val="32"/>
        </w:rPr>
        <w:t>重庆市</w:t>
      </w:r>
      <w:proofErr w:type="gramStart"/>
      <w:r>
        <w:rPr>
          <w:rFonts w:eastAsia="方正小标宋_GBK" w:hint="eastAsia"/>
          <w:sz w:val="44"/>
          <w:szCs w:val="32"/>
        </w:rPr>
        <w:t>璧</w:t>
      </w:r>
      <w:proofErr w:type="gramEnd"/>
      <w:r>
        <w:rPr>
          <w:rFonts w:eastAsia="方正小标宋_GBK" w:hint="eastAsia"/>
          <w:sz w:val="44"/>
          <w:szCs w:val="32"/>
        </w:rPr>
        <w:t>山区住房和城乡建设委员会</w:t>
      </w:r>
    </w:p>
    <w:p w:rsidR="00B83E15" w:rsidRDefault="00AA52CF">
      <w:pPr>
        <w:pStyle w:val="a7"/>
        <w:spacing w:line="596" w:lineRule="exact"/>
        <w:ind w:leftChars="171" w:left="359" w:firstLineChars="250" w:firstLine="1100"/>
        <w:rPr>
          <w:rFonts w:eastAsia="方正小标宋_GBK"/>
          <w:sz w:val="44"/>
          <w:szCs w:val="32"/>
        </w:rPr>
      </w:pPr>
      <w:r>
        <w:rPr>
          <w:rFonts w:eastAsia="方正小标宋_GBK" w:hint="eastAsia"/>
          <w:sz w:val="44"/>
          <w:szCs w:val="32"/>
        </w:rPr>
        <w:t>2022</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B83E15" w:rsidRDefault="00B83E15">
      <w:pPr>
        <w:pStyle w:val="a7"/>
        <w:spacing w:line="596" w:lineRule="exact"/>
        <w:ind w:left="357" w:firstLine="640"/>
        <w:rPr>
          <w:rFonts w:eastAsia="方正仿宋_GBK"/>
          <w:sz w:val="32"/>
          <w:szCs w:val="32"/>
        </w:rPr>
      </w:pPr>
    </w:p>
    <w:p w:rsidR="00B83E15" w:rsidRDefault="00AA52CF">
      <w:pPr>
        <w:spacing w:line="596"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B83E15" w:rsidRDefault="00AA52CF">
      <w:pPr>
        <w:spacing w:line="596"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部门（单位）基本情况</w:t>
      </w:r>
      <w:r>
        <w:rPr>
          <w:rFonts w:eastAsia="方正仿宋_GBK"/>
          <w:sz w:val="32"/>
          <w:szCs w:val="32"/>
        </w:rPr>
        <w:t>。</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、部门（单位）职级</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山区住房和城乡建设委员会是区政府工作部门，为正处级。</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、内设机构及编制</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山区住房和城乡建设委员会</w:t>
      </w:r>
      <w:proofErr w:type="gramStart"/>
      <w:r>
        <w:rPr>
          <w:rFonts w:ascii="方正仿宋_GBK" w:eastAsia="方正仿宋_GBK" w:hAnsi="方正仿宋_GBK" w:cs="方正仿宋_GBK" w:hint="eastAsia"/>
          <w:sz w:val="32"/>
          <w:szCs w:val="32"/>
        </w:rPr>
        <w:t>设下列</w:t>
      </w:r>
      <w:proofErr w:type="gramEnd"/>
      <w:r>
        <w:rPr>
          <w:rFonts w:ascii="方正仿宋_GBK" w:eastAsia="方正仿宋_GBK" w:hAnsi="方正仿宋_GBK" w:cs="方正仿宋_GBK" w:hint="eastAsia"/>
          <w:sz w:val="32"/>
          <w:szCs w:val="32"/>
        </w:rPr>
        <w:t xml:space="preserve">内设机构：  </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办公室。负责机关日常运转、计划财务工作。承担文电、会务、机要、保密、档案、后勤等工作。承担电子政务、政务公开、政务信息、政务督查督办、绩效考核等工作。指导委系统网络安全工作。牵头筹集住房和城乡建设维护资金，监督管理住房和城乡建设财政性资金的使用，负责城乡建设维护、住房保障等重点专项资金的使用监督管理。参与城市基础设施项目投资控制管理工作。负责编制部门预算，实施预算绩效管理。监督直属单位财务、预算及国有资产管理工作。贯彻执行住房和城乡建设发展战略、改革方案、发展规划。牵头组织开展住房和城乡建设重大课题调查研究。承担综合性文稿起草工作。组织实施内部审计工作。负责综合统计及分析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（2）党建科。负责机关党建、党风廉政建设、宣传、意识形</w:t>
      </w:r>
      <w:r>
        <w:rPr>
          <w:rFonts w:ascii="方正仿宋_GBK" w:eastAsia="方正仿宋_GBK" w:hAnsi="方正仿宋_GBK" w:cs="方正仿宋_GBK" w:hint="eastAsia"/>
          <w:sz w:val="32"/>
          <w:szCs w:val="32"/>
        </w:rPr>
        <w:lastRenderedPageBreak/>
        <w:t>态、干部人事、机构编制、队伍建设、群团等工作。负责管理直属单位和</w:t>
      </w:r>
      <w:proofErr w:type="gramStart"/>
      <w:r>
        <w:rPr>
          <w:rFonts w:ascii="方正仿宋_GBK" w:eastAsia="方正仿宋_GBK" w:hAnsi="方正仿宋_GBK" w:cs="方正仿宋_GBK" w:hint="eastAsia"/>
          <w:sz w:val="32"/>
          <w:szCs w:val="32"/>
        </w:rPr>
        <w:t>行业党建</w:t>
      </w:r>
      <w:proofErr w:type="gramEnd"/>
      <w:r>
        <w:rPr>
          <w:rFonts w:ascii="方正仿宋_GBK" w:eastAsia="方正仿宋_GBK" w:hAnsi="方正仿宋_GBK" w:cs="方正仿宋_GBK" w:hint="eastAsia"/>
          <w:sz w:val="32"/>
          <w:szCs w:val="32"/>
        </w:rPr>
        <w:t>工作。承担委系统精神文明建设和统一战线工作。承担</w:t>
      </w:r>
      <w:proofErr w:type="gramStart"/>
      <w:r>
        <w:rPr>
          <w:rFonts w:ascii="方正仿宋_GBK" w:eastAsia="方正仿宋_GBK" w:hAnsi="方正仿宋_GBK" w:cs="方正仿宋_GBK" w:hint="eastAsia"/>
          <w:sz w:val="32"/>
          <w:szCs w:val="32"/>
        </w:rPr>
        <w:t>委党委</w:t>
      </w:r>
      <w:proofErr w:type="gramEnd"/>
      <w:r>
        <w:rPr>
          <w:rFonts w:ascii="方正仿宋_GBK" w:eastAsia="方正仿宋_GBK" w:hAnsi="方正仿宋_GBK" w:cs="方正仿宋_GBK" w:hint="eastAsia"/>
          <w:sz w:val="32"/>
          <w:szCs w:val="32"/>
        </w:rPr>
        <w:t>理论学习中心组学习服务工作。承担干部职工政治理论学习和教育培训工作。负责机关离退休人员管理工作，指导直属单位退休人员管理工作。其他有关工作。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法制信访科。拟订住房和城乡建设法制工作规划和年度计划并组织实施。承担规范性文件合法性审查工作，为机关重大决策提供法律意见。指导行政执法和行政应诉，指导机关管辖的行政处罚听证。负责重大行政执法决定法制审核工作。指导城乡建设法制宣传、法律服务。统筹人大代表建议、政协委员提案办理工作。统筹协调信访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（4）住房管理科。拟订住房保障发展规划、计划、标准并监督实施。会同有关部门做好保障性住房项目和资金安排并监督实施。协调推进保障性住房项目建设。指导</w:t>
      </w:r>
      <w:proofErr w:type="gramStart"/>
      <w:r>
        <w:rPr>
          <w:rFonts w:ascii="方正仿宋_GBK" w:eastAsia="方正仿宋_GBK" w:hAnsi="方正仿宋_GBK" w:cs="方正仿宋_GBK" w:hint="eastAsia"/>
          <w:sz w:val="32"/>
          <w:szCs w:val="32"/>
        </w:rPr>
        <w:t>全区保障</w:t>
      </w:r>
      <w:proofErr w:type="gramEnd"/>
      <w:r>
        <w:rPr>
          <w:rFonts w:ascii="方正仿宋_GBK" w:eastAsia="方正仿宋_GBK" w:hAnsi="方正仿宋_GBK" w:cs="方正仿宋_GBK" w:hint="eastAsia"/>
          <w:sz w:val="32"/>
          <w:szCs w:val="32"/>
        </w:rPr>
        <w:t>性住房的房源筹集、分配使用和后期管理。监督管理住房补贴发放。负责全区公有住房改革和管理。负责房改售房资金管理。负责培育和规范房地产开发建设市场，监督管理房地产开发建设行为。负责房地产开发企业资质管理。承担房地产开发建设方案备案、项目资本金监管、新建商品住宅交付使用规定等制度的监督执行职责。指导房地产开发项目转让及联合建设备案管理。组织编制全区房地产业发展规划并组织实施，会同有关部门组织编制全区住房建设规划和年度计划，并指导实施。牵头落实房地产调控政策，组织落实房地产交易市场监管政策。规范房地产交易市场秩序，监督房地产中介机构和租赁企业市场行为。依法负责房地产中介服</w:t>
      </w:r>
      <w:r>
        <w:rPr>
          <w:rFonts w:ascii="方正仿宋_GBK" w:eastAsia="方正仿宋_GBK" w:hAnsi="方正仿宋_GBK" w:cs="方正仿宋_GBK" w:hint="eastAsia"/>
          <w:sz w:val="32"/>
          <w:szCs w:val="32"/>
        </w:rPr>
        <w:lastRenderedPageBreak/>
        <w:t>务机构和服务人员资质的管理。承担房地产市场分析工作。承担房屋租赁合同备案管理。承担商品房销售管理，负责商品房预售许可和预售资金监管。承担房屋面积管理相关工作。推进行业诚信体系建设。组织实施全区国有土地上房屋征收与补偿工作，拟订年度征收计划。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物业监督管理科。指导城市既有建筑保留利用和更新改造、老旧功能片区和老旧小区改造提升工作。负责物业管理活动的监督管理，负责宣传和贯彻物业管理政策，推进行业诚信体系建设，组织协调处理物业管理中重大矛盾纠纷。依法管理物业服务企业。负责商品房物业维修资金和其他房屋维修资金管理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建筑管理科。拟订建筑业发展规划并监督实施。规范建筑市场秩序，推进行业诚信体系建设。负责建筑施工企业安全生产许可后管理。负责收集地方建设工程造价信息。负责建筑施工企业、工程设计企业、工程监理企业、工程质量检测机构、工程造价咨询单位及从业人员资质资格管理及培训，监督从业行为。负责监督指导各类建设标准定额的实施。负责监督管理房屋建筑和市政基础设施工程招投标活动。依法监督建筑工程招标代理行为。监督建筑工程合同。负责绿色建筑及建筑节能管理。指导公共建筑节能监管体系建设、既有建筑节能改造和可再生能源建筑应用。负责勘察设计行业监督管理和职权范围内的建设工程勘察设计企业及从业人员资质资格管理。负责房屋建筑和市政基础设施工程建设抗震设防的监督管理和城市地下空间的综合开发利用以及城市雕塑工作。拟订住房城乡建设科技发展规划并监督实</w:t>
      </w:r>
      <w:r>
        <w:rPr>
          <w:rFonts w:ascii="方正仿宋_GBK" w:eastAsia="方正仿宋_GBK" w:hAnsi="方正仿宋_GBK" w:cs="方正仿宋_GBK" w:hint="eastAsia"/>
          <w:sz w:val="32"/>
          <w:szCs w:val="32"/>
        </w:rPr>
        <w:lastRenderedPageBreak/>
        <w:t>施。承担行业信息化、智能化管理工作，推动实施智能建造。推进建筑产业现代化，推广装配式建筑。指导建设新技术示范、推广、应用。贯彻落实房屋建筑和市政基础设施工程施工质量、安全生产规章制度。监督管理房屋建筑和市政基础设施工程质量、安全及文明施工，指导镇（街道）建筑工程施工安全工作。负责本行业工程一般和较大质量安全事故的调查处理，承担住房和城乡建设安全应急调度职责。监督管理工程监理、工程保险、工程担保工作。指导新型建筑材料、建筑机械与设备的认证、研发及应用管理。负责建筑企业“三类”人员培训。承担河长制、扬尘治理工作等。指导墙</w:t>
      </w:r>
      <w:proofErr w:type="gramStart"/>
      <w:r>
        <w:rPr>
          <w:rFonts w:ascii="方正仿宋_GBK" w:eastAsia="方正仿宋_GBK" w:hAnsi="方正仿宋_GBK" w:cs="方正仿宋_GBK" w:hint="eastAsia"/>
          <w:sz w:val="32"/>
          <w:szCs w:val="32"/>
        </w:rPr>
        <w:t>体材</w:t>
      </w:r>
      <w:proofErr w:type="gramEnd"/>
      <w:r>
        <w:rPr>
          <w:rFonts w:ascii="方正仿宋_GBK" w:eastAsia="方正仿宋_GBK" w:hAnsi="方正仿宋_GBK" w:cs="方正仿宋_GBK" w:hint="eastAsia"/>
          <w:sz w:val="32"/>
          <w:szCs w:val="32"/>
        </w:rPr>
        <w:t>料革新工作。负责建筑领域“清欠”工作。负责房屋主体使用安全、房屋安全鉴定和白蚁防治的监督管理工作。指导住房和城建档案工作。其他有关工作。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城市基础设施建设科。统筹推进城市基础设施建设工作。拟订城市道路桥梁隧道及附属设施、慢行系统、公共停车场等建设计划并组织实施。承担城市道路桥梁隧道及附属设施等城市基础设施重大项目的储备、前期工作和协调推进。负责组织本部门牵头的市政基础设施建设项目的策划和实施、结算管理。贯彻落实城市轨道交通建设规划、计划。牵头开展城市轨道交通建设项目的前期工作。监督管理城市轨道交通控制保护区范围内项目建设。牵头推进城市轨道交通与高铁、市</w:t>
      </w:r>
      <w:proofErr w:type="gramStart"/>
      <w:r>
        <w:rPr>
          <w:rFonts w:ascii="方正仿宋_GBK" w:eastAsia="方正仿宋_GBK" w:hAnsi="方正仿宋_GBK" w:cs="方正仿宋_GBK" w:hint="eastAsia"/>
          <w:sz w:val="32"/>
          <w:szCs w:val="32"/>
        </w:rPr>
        <w:t>域铁路</w:t>
      </w:r>
      <w:proofErr w:type="gramEnd"/>
      <w:r>
        <w:rPr>
          <w:rFonts w:ascii="方正仿宋_GBK" w:eastAsia="方正仿宋_GBK" w:hAnsi="方正仿宋_GBK" w:cs="方正仿宋_GBK" w:hint="eastAsia"/>
          <w:sz w:val="32"/>
          <w:szCs w:val="32"/>
        </w:rPr>
        <w:t>融合发展。承担推进城市轨道交通和其他交通方式衔接的相关工作。指导城市轨道交通物业开发。牵头推进城市提升行动计划，统筹推进城市提升相关前期工作和项目协调。负责历史文化名城、街区和城市传统风貌区的保护建设管理，指导城市历史建筑、传统风貌建筑</w:t>
      </w:r>
      <w:r>
        <w:rPr>
          <w:rFonts w:ascii="方正仿宋_GBK" w:eastAsia="方正仿宋_GBK" w:hAnsi="方正仿宋_GBK" w:cs="方正仿宋_GBK" w:hint="eastAsia"/>
          <w:sz w:val="32"/>
          <w:szCs w:val="32"/>
        </w:rPr>
        <w:lastRenderedPageBreak/>
        <w:t>的修复建设。承担城市人居环境改善工作。牵头推进城市修补和有机更新。统筹推进全区城市棚户区改造，拟订城市棚户区改造计划并监督实施。牵头协调和推进海绵城市建设。负责城市管线综合管理工作。统筹城市综合管廊建设与管理。拟订城乡排水措施、标准、规划并监督实施。统筹协调督促城乡排水（雨水、污水）管网及泵站建设与管理。负责城区排水（雨水、污水）管网及泵站建设维护管理。负责城区污水处理厂建设。负责城乡污水处理费征收的管理工作。负责城乡排水监测的监督管理。承担城市排水防涝牵头工作。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村镇建设科。拟订村镇建设发展规划和年度计划并监督实施。负责指导村镇建设管理工作。组织村镇专项建设示范。承担历史文化名镇、名村和村镇传统风貌区的保护建设管理工作，指导村镇历史建筑、传统风貌建筑的修复建设，指导特色景观旅游名镇名村建设管理。指导农村住房建设和农村危房改造，推广农房建设适用技术。负责农村建筑工匠培训。其他有关工作。</w:t>
      </w:r>
    </w:p>
    <w:p w:rsidR="00B83E15" w:rsidRDefault="00AA52CF">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 w:val="32"/>
          <w:szCs w:val="32"/>
        </w:rPr>
        <w:t>（9）行政审批科（消防科）。牵头推进住房和城乡建设领域行政审批制度改革，负责管理全区住房和城乡建设行业的行政审批事项，牵头负责工程建设项目审批制度改革的相关工作。负责建筑工程四方责任单位人员备案，房屋建筑工程监理合同备案，直接发包登记。按照规定权限负责房地产开发企业资质办理、建筑施工企业资质办理。负责建设工程消防设计审查验收工作。承担绿色建筑、住宅生态小区和绿色建材评价及建筑能效测评标识管理。负责建设行政性收费。其他有关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山区住房和城乡建设委员会机关核定行政编制16</w:t>
      </w:r>
      <w:r>
        <w:rPr>
          <w:rFonts w:ascii="方正仿宋_GBK" w:eastAsia="方正仿宋_GBK" w:hAnsi="方正仿宋_GBK" w:cs="方正仿宋_GBK" w:hint="eastAsia"/>
          <w:sz w:val="32"/>
          <w:szCs w:val="32"/>
        </w:rPr>
        <w:lastRenderedPageBreak/>
        <w:t>名；设主任1名，副主任3名，科级领导职数10名（</w:t>
      </w:r>
      <w:proofErr w:type="gramStart"/>
      <w:r>
        <w:rPr>
          <w:rFonts w:ascii="方正仿宋_GBK" w:eastAsia="方正仿宋_GBK" w:hAnsi="方正仿宋_GBK" w:cs="方正仿宋_GBK" w:hint="eastAsia"/>
          <w:sz w:val="32"/>
          <w:szCs w:val="32"/>
        </w:rPr>
        <w:t>含行政</w:t>
      </w:r>
      <w:proofErr w:type="gramEnd"/>
      <w:r>
        <w:rPr>
          <w:rFonts w:ascii="方正仿宋_GBK" w:eastAsia="方正仿宋_GBK" w:hAnsi="方正仿宋_GBK" w:cs="方正仿宋_GBK" w:hint="eastAsia"/>
          <w:sz w:val="32"/>
          <w:szCs w:val="32"/>
        </w:rPr>
        <w:t>审批科副科长1名）。</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机关后勤服务人员事业编制2名。</w:t>
      </w:r>
    </w:p>
    <w:p w:rsidR="00B83E15" w:rsidRDefault="00AA52CF">
      <w:pPr>
        <w:spacing w:line="596" w:lineRule="exact"/>
        <w:ind w:firstLineChars="200" w:firstLine="640"/>
      </w:pPr>
      <w:r>
        <w:rPr>
          <w:rFonts w:eastAsia="方正仿宋_GBK" w:hint="eastAsia"/>
          <w:sz w:val="32"/>
          <w:szCs w:val="32"/>
        </w:rPr>
        <w:t>3</w:t>
      </w:r>
      <w:r>
        <w:rPr>
          <w:rFonts w:eastAsia="方正仿宋_GBK" w:hint="eastAsia"/>
          <w:sz w:val="32"/>
          <w:szCs w:val="32"/>
        </w:rPr>
        <w:t>、下属机构</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山区公共租赁住房管理中心、重庆市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山区房屋征收中心由重庆市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山区住房和城乡建设委员会管理，重庆市</w:t>
      </w:r>
      <w:proofErr w:type="gramStart"/>
      <w:r>
        <w:rPr>
          <w:rFonts w:ascii="方正仿宋_GBK" w:eastAsia="方正仿宋_GBK" w:hAnsi="方正仿宋_GBK" w:cs="方正仿宋_GBK" w:hint="eastAsia"/>
          <w:sz w:val="32"/>
          <w:szCs w:val="32"/>
        </w:rPr>
        <w:t>璧</w:t>
      </w:r>
      <w:proofErr w:type="gramEnd"/>
      <w:r>
        <w:rPr>
          <w:rFonts w:ascii="方正仿宋_GBK" w:eastAsia="方正仿宋_GBK" w:hAnsi="方正仿宋_GBK" w:cs="方正仿宋_GBK" w:hint="eastAsia"/>
          <w:sz w:val="32"/>
          <w:szCs w:val="32"/>
        </w:rPr>
        <w:t>山区住房和城乡建设委员会所属事业单位的设置、职责和编制事项另行规定。</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、部门（单位）职能职责</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（1）负责推进住房和城乡建设事业改革发展。贯彻执行住房和城乡建设法律、法规、规章和方针政策，拟订改革方案、发展规划、专项规划和年度计划并组织实施。负责规范城乡建设管理秩序。</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（2）负责住房和城乡建设财政性资金的监督管理。负责城市建设配套费等的征收和管理。会同财政部门筹集住房和城乡建设财政性资金，编制收支年度计划并下达。监督管理住房和城乡建设财政性资金的使用。</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房地产行业的监督管理。贯彻执行房地产调控政策，拟订全区房地产行业发展规划并组织实施，会同有关部门组织编制全区住房建设规划和年度计划，并指导实施。负责规范房地产开发建设市场秩序、房地产交易市场秩序。拟订房地产市场监管措施，监督执行房屋面积管理、房屋租赁管理、房地产估价与经纪管理、交易管理的规章制度。依法负责房地产中介服务机构和服务人员资质的管理，依法管理物业服务企业。负责权限范</w:t>
      </w:r>
      <w:r>
        <w:rPr>
          <w:rFonts w:ascii="方正仿宋_GBK" w:eastAsia="方正仿宋_GBK" w:hAnsi="方正仿宋_GBK" w:cs="方正仿宋_GBK" w:hint="eastAsia"/>
          <w:sz w:val="32"/>
          <w:szCs w:val="32"/>
        </w:rPr>
        <w:lastRenderedPageBreak/>
        <w:t>围内的房地产开发企业资质管理、房地产估价机构备案管理。</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（4）负责建筑行业的监督管理。负责规范建筑市场秩序。贯彻执行建筑工程施工相关的法律、法规，负责房屋建筑和市政基础设施工程质量、安全的监督管理，依法检查</w:t>
      </w:r>
      <w:proofErr w:type="gramStart"/>
      <w:r>
        <w:rPr>
          <w:rFonts w:ascii="方正仿宋_GBK" w:eastAsia="方正仿宋_GBK" w:hAnsi="方正仿宋_GBK" w:cs="方正仿宋_GBK" w:hint="eastAsia"/>
          <w:sz w:val="32"/>
          <w:szCs w:val="32"/>
        </w:rPr>
        <w:t>检测受</w:t>
      </w:r>
      <w:proofErr w:type="gramEnd"/>
      <w:r>
        <w:rPr>
          <w:rFonts w:ascii="方正仿宋_GBK" w:eastAsia="方正仿宋_GBK" w:hAnsi="方正仿宋_GBK" w:cs="方正仿宋_GBK" w:hint="eastAsia"/>
          <w:sz w:val="32"/>
          <w:szCs w:val="32"/>
        </w:rPr>
        <w:t>监工程建筑材料，指导镇街建筑工程施工安全工作。按照安全生产法规和有关强制性标准，负责对辖区内建筑工程施工企业的安全生产进行监督管理。负责本行业工程一般和较大质量安全事故的调查处理和突发事件应急处置，负责建筑企业及从业人员的资质资格管理。收集地方建设工程造价信息。负责新型建筑材料、建筑机械与设备的应用管理。</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（5）负责监督管理房屋建筑和市政基础设施工程招投标活动。依法监督建筑工程招标代理行为。监督建筑工程合同。管理建筑工程交易市场。</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勘察设计行业的监督管理。负责规范勘察设计市场秩序。负责职权范围内的建设工程勘察设计企业及从业人员资质资格管理。负责房屋建筑和市政基础设施工程建设抗震设防的监督管理、城市地下空间的综合开发利用和城市雕塑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负责住房保障工作。监督执行住房保障、住房改革政策。负责保障性住房建设的监督管理和协调推进。编制并组织实施住房保障发展规划和年度计划，负责保障性住房项目的管理，会同有关部门做好保障性住房项目和资金安排并监督实施。负责全区公有房屋改革和管理。</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（8）统筹推进城市基础设施建设相关工作。拟订城市道路桥梁隧道及其附属设施等城市基础设施建设规划并组织实施，负</w:t>
      </w:r>
      <w:r>
        <w:rPr>
          <w:rFonts w:ascii="方正仿宋_GBK" w:eastAsia="方正仿宋_GBK" w:hAnsi="方正仿宋_GBK" w:cs="方正仿宋_GBK" w:hint="eastAsia"/>
          <w:sz w:val="32"/>
          <w:szCs w:val="32"/>
        </w:rPr>
        <w:lastRenderedPageBreak/>
        <w:t>责项目的储备、前期工作和协调推进。负责历史文化名城、名镇、名村、街区和传统风貌区的保护建设管理工作。指导历史建筑、传统风貌建筑的修复建设。组织城乡建设重大问题研究。</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（9）负责城市轨道交通建设管理。负责城市轨道交通建设的监督协调。监督管理城市轨道交通控制保护区范围内项目建设。协调城市轨道交通和其他交通方式的衔接。指导城市轨道交通物业开发。</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（10）负责城市提升工作的全面统筹。贯彻实施城市提升相关政策、规范、标准。牵头推进城市提升行动计划。统筹推进城市提升相关前期工作和项目协调。</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（11）统筹城市人居环境改善工作。负责城市管线的综合管理，建立城市管线综合管理协调机制，统筹城市综合管廊建设与管理。牵头协调推进海绵城市建设。</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负责城乡排水的监督管理。拟订城乡排水措施、标准、规划并监督实施。统筹协调督促城乡排水（雨水、污水）管网及泵站建设与管理。负责城区排水（雨水、污水）管网及泵站建设维护管理。负责城区污水处理厂建设。负责城乡污水处理费征收的管理工作。负责城乡排水监测的监督管理。牵头负责城市排水防涝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负责推进城市修补和有机更新。指导城市老旧功能片区和老旧小区改造提升工作。统筹推进城市棚户区改造。监督指导城市既有建筑保留利用、更新改造工作。组织实施国有土地上房屋征收工作。负责房屋使用安全、物业管理活动的监督管理。</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（14）指导村镇建设。贯彻实施村镇建设政策。负责指导村</w:t>
      </w:r>
      <w:r>
        <w:rPr>
          <w:rFonts w:ascii="方正仿宋_GBK" w:eastAsia="方正仿宋_GBK" w:hAnsi="方正仿宋_GBK" w:cs="方正仿宋_GBK" w:hint="eastAsia"/>
          <w:sz w:val="32"/>
          <w:szCs w:val="32"/>
        </w:rPr>
        <w:lastRenderedPageBreak/>
        <w:t>镇建设管理工作，组织村镇专项建设示范。指导特色景观旅游名镇名村管理工作。指导农村住房建设和农村危房改造工作。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（15）负责建设科技推广应用。指导住房城乡建设新技术示范、推广、应用。承担行业信息化、智能化等管理工作。监督执行工程建设地方标准。推进建筑产业现代化，负责工程建设标准化工作。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负责绿色建筑与建筑节能管理。监督实施绿色建筑与建筑节能政策。承担绿色建筑评价及建筑能效测评标识管理。指导公共建筑节能监管体系建设，指导既有建筑节能改造和可再生能源建筑应用，推进建筑节能发展和绿色建筑工作。指导新型建材、环保建材和建筑机械与设备等的认证、研发和应用管理，指导墙</w:t>
      </w:r>
      <w:proofErr w:type="gramStart"/>
      <w:r>
        <w:rPr>
          <w:rFonts w:ascii="方正仿宋_GBK" w:eastAsia="方正仿宋_GBK" w:hAnsi="方正仿宋_GBK" w:cs="方正仿宋_GBK" w:hint="eastAsia"/>
          <w:sz w:val="32"/>
          <w:szCs w:val="32"/>
        </w:rPr>
        <w:t>体材</w:t>
      </w:r>
      <w:proofErr w:type="gramEnd"/>
      <w:r>
        <w:rPr>
          <w:rFonts w:ascii="方正仿宋_GBK" w:eastAsia="方正仿宋_GBK" w:hAnsi="方正仿宋_GBK" w:cs="方正仿宋_GBK" w:hint="eastAsia"/>
          <w:sz w:val="32"/>
          <w:szCs w:val="32"/>
        </w:rPr>
        <w:t>料革新工作。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（17）负责建设工程消防设计审查验收相关工作。监督执行建设工程消防设计审查验收政策。</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负责住房城乡建设领域综合行政执法，具体交由相关行政执法队伍承担，并以部门名义统一执法。将区住房城乡建委所属事业单位承担的行政决策、行政许可等行政职能划入机关。除综合行政执法机构外，区住房城乡建委所属事业单位不再承担行政职能。</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（19）负责住房和城建档案管理，指导行业人才队伍建设，承担建筑工程职业资格管理工作。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（20）负责机关、直属单位和</w:t>
      </w:r>
      <w:proofErr w:type="gramStart"/>
      <w:r>
        <w:rPr>
          <w:rFonts w:ascii="方正仿宋_GBK" w:eastAsia="方正仿宋_GBK" w:hAnsi="方正仿宋_GBK" w:cs="方正仿宋_GBK" w:hint="eastAsia"/>
          <w:sz w:val="32"/>
          <w:szCs w:val="32"/>
        </w:rPr>
        <w:t>行业党建</w:t>
      </w:r>
      <w:proofErr w:type="gramEnd"/>
      <w:r>
        <w:rPr>
          <w:rFonts w:ascii="方正仿宋_GBK" w:eastAsia="方正仿宋_GBK" w:hAnsi="方正仿宋_GBK" w:cs="方正仿宋_GBK" w:hint="eastAsia"/>
          <w:sz w:val="32"/>
          <w:szCs w:val="32"/>
        </w:rPr>
        <w:t>工作。</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（21）完成区委和区政府交办的其他任务。</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（22）有关职责分工。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①与市住房城乡建委的工作衔接的职责分工</w:t>
      </w:r>
    </w:p>
    <w:p w:rsidR="00B83E15" w:rsidRDefault="00AA52CF">
      <w:pPr>
        <w:spacing w:line="56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凡专业</w:t>
      </w:r>
      <w:proofErr w:type="gramEnd"/>
      <w:r>
        <w:rPr>
          <w:rFonts w:ascii="方正仿宋_GBK" w:eastAsia="方正仿宋_GBK" w:hAnsi="方正仿宋_GBK" w:cs="方正仿宋_GBK" w:hint="eastAsia"/>
          <w:sz w:val="32"/>
          <w:szCs w:val="32"/>
        </w:rPr>
        <w:t>性工作，由区政府有关部门按照各自分工与市住房城乡建委衔接，区住房城乡建委配合做好相关工作；综合性工作，区政府委托区住房城乡建委与市住房城乡建委衔接。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②城市轨道交通职责分工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区住房城乡建委负责城市轨道交通的建设管理，区交通局负责城市轨道交通的运营管理。两部门要加强协调配合，确保城市轨道交通与城市公共交通的有效衔接。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③公共资源交易监督管理职责分工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区发展改革委负责牵头承担公共资源交易监督管理职责，负责统一</w:t>
      </w:r>
      <w:proofErr w:type="gramStart"/>
      <w:r>
        <w:rPr>
          <w:rFonts w:ascii="方正仿宋_GBK" w:eastAsia="方正仿宋_GBK" w:hAnsi="方正仿宋_GBK" w:cs="方正仿宋_GBK" w:hint="eastAsia"/>
          <w:sz w:val="32"/>
          <w:szCs w:val="32"/>
        </w:rPr>
        <w:t>对接市</w:t>
      </w:r>
      <w:proofErr w:type="gramEnd"/>
      <w:r>
        <w:rPr>
          <w:rFonts w:ascii="方正仿宋_GBK" w:eastAsia="方正仿宋_GBK" w:hAnsi="方正仿宋_GBK" w:cs="方正仿宋_GBK" w:hint="eastAsia"/>
          <w:sz w:val="32"/>
          <w:szCs w:val="32"/>
        </w:rPr>
        <w:t>公共资源交易监督管理局；负责指导、协调和督促全区公共资源交易监督管理工作，其中，政府采购、国有产权交易、土地使用权和矿业权出让等公共资源交易活动的监督管理工作，仍分别由区财政局、区规划自然资源局承担；负责指导、协调和综合监督全区招标投标工作，对全区招标投标活动监督工作实施检查并督促整改，对无行业监督部门监督的招标投标活动实施监督。区经济信息委、区住房城乡建委、区城管局、区交通局、区水利局、区农业农村委、区商务委、区林业局等部门，按照规定，依法负责本行业工程建设项目招投标的监督管理。</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④城区市政基础设施建设管理职责分工</w:t>
      </w:r>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属于高新区范围的，由璧山高新区管委会负责市政基础设施建设；属于</w:t>
      </w:r>
      <w:proofErr w:type="gramStart"/>
      <w:r>
        <w:rPr>
          <w:rFonts w:ascii="方正仿宋_GBK" w:eastAsia="方正仿宋_GBK" w:hAnsi="方正仿宋_GBK" w:cs="方正仿宋_GBK" w:hint="eastAsia"/>
          <w:sz w:val="32"/>
          <w:szCs w:val="32"/>
        </w:rPr>
        <w:t>绿岛新区</w:t>
      </w:r>
      <w:proofErr w:type="gramEnd"/>
      <w:r>
        <w:rPr>
          <w:rFonts w:ascii="方正仿宋_GBK" w:eastAsia="方正仿宋_GBK" w:hAnsi="方正仿宋_GBK" w:cs="方正仿宋_GBK" w:hint="eastAsia"/>
          <w:sz w:val="32"/>
          <w:szCs w:val="32"/>
        </w:rPr>
        <w:t>范围的，由</w:t>
      </w:r>
      <w:proofErr w:type="gramStart"/>
      <w:r>
        <w:rPr>
          <w:rFonts w:ascii="方正仿宋_GBK" w:eastAsia="方正仿宋_GBK" w:hAnsi="方正仿宋_GBK" w:cs="方正仿宋_GBK" w:hint="eastAsia"/>
          <w:sz w:val="32"/>
          <w:szCs w:val="32"/>
        </w:rPr>
        <w:t>绿岛新区</w:t>
      </w:r>
      <w:proofErr w:type="gramEnd"/>
      <w:r>
        <w:rPr>
          <w:rFonts w:ascii="方正仿宋_GBK" w:eastAsia="方正仿宋_GBK" w:hAnsi="方正仿宋_GBK" w:cs="方正仿宋_GBK" w:hint="eastAsia"/>
          <w:sz w:val="32"/>
          <w:szCs w:val="32"/>
        </w:rPr>
        <w:t>管委会负责市政基础设施建设；城区其他区域的市政基础设施（除园林绿化、路灯、环卫设施外）建设由区住房城乡建委负责，园林绿化、路灯、环卫</w:t>
      </w:r>
      <w:r>
        <w:rPr>
          <w:rFonts w:ascii="方正仿宋_GBK" w:eastAsia="方正仿宋_GBK" w:hAnsi="方正仿宋_GBK" w:cs="方正仿宋_GBK" w:hint="eastAsia"/>
          <w:sz w:val="32"/>
          <w:szCs w:val="32"/>
        </w:rPr>
        <w:lastRenderedPageBreak/>
        <w:t>设施建设由区城管局负责。城区窨井及窨井盖的日常管理，城区的市政基础设施的日常维护和管理，由区城管局负责。</w:t>
      </w:r>
    </w:p>
    <w:p w:rsidR="00B83E15" w:rsidRDefault="00AA52CF">
      <w:pPr>
        <w:spacing w:line="596" w:lineRule="exact"/>
        <w:ind w:firstLineChars="200" w:firstLine="640"/>
        <w:outlineLvl w:val="1"/>
        <w:rPr>
          <w:rFonts w:ascii="方正仿宋_GBK" w:eastAsia="方正仿宋_GBK" w:hAnsi="方正仿宋_GBK" w:cs="方正仿宋_GBK"/>
          <w:sz w:val="32"/>
          <w:szCs w:val="32"/>
        </w:rPr>
      </w:pPr>
      <w:bookmarkStart w:id="1" w:name="_Toc8327"/>
      <w:r>
        <w:rPr>
          <w:rFonts w:ascii="方正仿宋_GBK" w:eastAsia="方正仿宋_GBK" w:hAnsi="方正仿宋_GBK" w:cs="方正仿宋_GBK" w:hint="eastAsia"/>
          <w:sz w:val="32"/>
          <w:szCs w:val="32"/>
        </w:rPr>
        <w:t>（二）预算及支出情况</w:t>
      </w:r>
      <w:bookmarkEnd w:id="1"/>
    </w:p>
    <w:p w:rsidR="00B83E15" w:rsidRDefault="00AA52C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2022年财政资金年初支出预算为179380616.79元，年中调整预算为344808650.01元，上年结转282926.41元，调整后支出预算为345091576.42元；年末支出决算为344609015.08元，年末结转和结余为482561.34元。</w:t>
      </w:r>
    </w:p>
    <w:p w:rsidR="00B83E15" w:rsidRDefault="00AA52CF">
      <w:pPr>
        <w:spacing w:line="596"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w:t>
      </w:r>
      <w:r>
        <w:rPr>
          <w:rFonts w:eastAsia="方正黑体_GBK" w:hint="eastAsia"/>
          <w:sz w:val="32"/>
          <w:szCs w:val="32"/>
        </w:rPr>
        <w:t>主要成效</w:t>
      </w:r>
    </w:p>
    <w:p w:rsidR="00B83E15" w:rsidRDefault="00AA52CF">
      <w:pPr>
        <w:spacing w:line="596" w:lineRule="exact"/>
        <w:ind w:firstLineChars="200" w:firstLine="640"/>
        <w:rPr>
          <w:rFonts w:eastAsia="方正仿宋_GBK"/>
          <w:bCs/>
          <w:sz w:val="32"/>
          <w:szCs w:val="32"/>
        </w:rPr>
      </w:pPr>
      <w:r>
        <w:rPr>
          <w:rFonts w:eastAsia="方正仿宋_GBK" w:hint="eastAsia"/>
          <w:sz w:val="32"/>
          <w:szCs w:val="32"/>
        </w:rPr>
        <w:t>2022</w:t>
      </w:r>
      <w:r>
        <w:rPr>
          <w:rFonts w:eastAsia="方正仿宋_GBK" w:hint="eastAsia"/>
          <w:sz w:val="32"/>
          <w:szCs w:val="32"/>
        </w:rPr>
        <w:t>年全力推动“外联”通道建设进度，轨道</w:t>
      </w:r>
      <w:r>
        <w:rPr>
          <w:rFonts w:eastAsia="方正仿宋_GBK" w:hint="eastAsia"/>
          <w:sz w:val="32"/>
          <w:szCs w:val="32"/>
        </w:rPr>
        <w:t>27</w:t>
      </w:r>
      <w:r>
        <w:rPr>
          <w:rFonts w:eastAsia="方正仿宋_GBK" w:hint="eastAsia"/>
          <w:sz w:val="32"/>
          <w:szCs w:val="32"/>
        </w:rPr>
        <w:t>号线、市郊铁路璧山至铜梁线均完成交地工作，金凤隧道全面贯通、虎溪隧道项目已完成一期隧道段初步设计并开展审查；</w:t>
      </w:r>
      <w:r>
        <w:rPr>
          <w:rFonts w:eastAsia="方正仿宋_GBK" w:hint="eastAsia"/>
          <w:sz w:val="32"/>
          <w:szCs w:val="32"/>
        </w:rPr>
        <w:t>3</w:t>
      </w:r>
      <w:r>
        <w:rPr>
          <w:rFonts w:eastAsia="方正仿宋_GBK" w:hint="eastAsia"/>
          <w:sz w:val="32"/>
          <w:szCs w:val="32"/>
        </w:rPr>
        <w:t>个海绵城市政府投资改造项目完成后城市建成区面积累计约</w:t>
      </w:r>
      <w:r>
        <w:rPr>
          <w:rFonts w:eastAsia="方正仿宋_GBK" w:hint="eastAsia"/>
          <w:sz w:val="32"/>
          <w:szCs w:val="32"/>
        </w:rPr>
        <w:t>45%</w:t>
      </w:r>
      <w:r>
        <w:rPr>
          <w:rFonts w:eastAsia="方正仿宋_GBK" w:hint="eastAsia"/>
          <w:sz w:val="32"/>
          <w:szCs w:val="32"/>
        </w:rPr>
        <w:t>、</w:t>
      </w:r>
      <w:r>
        <w:rPr>
          <w:rFonts w:eastAsia="方正仿宋_GBK" w:hint="eastAsia"/>
          <w:sz w:val="32"/>
          <w:szCs w:val="32"/>
        </w:rPr>
        <w:t>18.66</w:t>
      </w:r>
      <w:r>
        <w:rPr>
          <w:rFonts w:eastAsia="方正仿宋_GBK" w:hint="eastAsia"/>
          <w:sz w:val="32"/>
          <w:szCs w:val="32"/>
        </w:rPr>
        <w:t>平方公里达到海绵城市建设标准；持续扩大老旧小区改造覆盖面，大成广场片区、民主路片区、建设宾馆</w:t>
      </w:r>
      <w:r>
        <w:rPr>
          <w:rFonts w:eastAsia="方正仿宋_GBK" w:hint="eastAsia"/>
          <w:sz w:val="32"/>
          <w:szCs w:val="32"/>
        </w:rPr>
        <w:t>-</w:t>
      </w:r>
      <w:r>
        <w:rPr>
          <w:rFonts w:eastAsia="方正仿宋_GBK" w:hint="eastAsia"/>
          <w:sz w:val="32"/>
          <w:szCs w:val="32"/>
        </w:rPr>
        <w:t>天</w:t>
      </w:r>
      <w:proofErr w:type="gramStart"/>
      <w:r>
        <w:rPr>
          <w:rFonts w:eastAsia="方正仿宋_GBK" w:hint="eastAsia"/>
          <w:sz w:val="32"/>
          <w:szCs w:val="32"/>
        </w:rPr>
        <w:t>怡</w:t>
      </w:r>
      <w:proofErr w:type="gramEnd"/>
      <w:r>
        <w:rPr>
          <w:rFonts w:eastAsia="方正仿宋_GBK" w:hint="eastAsia"/>
          <w:sz w:val="32"/>
          <w:szCs w:val="32"/>
        </w:rPr>
        <w:t>街片区和红石片区</w:t>
      </w:r>
      <w:r>
        <w:rPr>
          <w:rFonts w:eastAsia="方正仿宋_GBK" w:hint="eastAsia"/>
          <w:sz w:val="32"/>
          <w:szCs w:val="32"/>
        </w:rPr>
        <w:t>4</w:t>
      </w:r>
      <w:r>
        <w:rPr>
          <w:rFonts w:eastAsia="方正仿宋_GBK" w:hint="eastAsia"/>
          <w:sz w:val="32"/>
          <w:szCs w:val="32"/>
        </w:rPr>
        <w:t>个改造项目正在开展小区管网工程建设；</w:t>
      </w:r>
      <w:r>
        <w:rPr>
          <w:rFonts w:ascii="方正仿宋_GBK" w:eastAsia="方正仿宋_GBK" w:hAnsi="宋体" w:hint="eastAsia"/>
          <w:sz w:val="32"/>
          <w:szCs w:val="32"/>
        </w:rPr>
        <w:t>拆除油田片区C、D级危房88户、城镇零星C、D级危房整治项目66户</w:t>
      </w:r>
      <w:r>
        <w:rPr>
          <w:rFonts w:ascii="方正仿宋_GBK" w:eastAsia="方正仿宋_GBK" w:hAnsi="方正仿宋_GBK" w:cs="方正仿宋_GBK" w:hint="eastAsia"/>
          <w:sz w:val="32"/>
          <w:szCs w:val="32"/>
        </w:rPr>
        <w:t>；</w:t>
      </w:r>
      <w:r>
        <w:rPr>
          <w:rFonts w:eastAsia="方正仿宋_GBK" w:hint="eastAsia"/>
          <w:bCs/>
          <w:sz w:val="32"/>
          <w:szCs w:val="32"/>
        </w:rPr>
        <w:t>全面开展</w:t>
      </w:r>
      <w:r>
        <w:rPr>
          <w:rFonts w:eastAsia="方正仿宋_GBK"/>
          <w:bCs/>
          <w:sz w:val="32"/>
          <w:szCs w:val="32"/>
        </w:rPr>
        <w:t>农村房屋安全隐患排查</w:t>
      </w:r>
      <w:r>
        <w:rPr>
          <w:rFonts w:eastAsia="方正仿宋_GBK" w:hint="eastAsia"/>
          <w:bCs/>
          <w:sz w:val="32"/>
          <w:szCs w:val="32"/>
        </w:rPr>
        <w:t>，共排查</w:t>
      </w:r>
      <w:r>
        <w:rPr>
          <w:rFonts w:eastAsia="方正仿宋_GBK"/>
          <w:bCs/>
          <w:sz w:val="32"/>
          <w:szCs w:val="32"/>
        </w:rPr>
        <w:t>117751</w:t>
      </w:r>
      <w:r>
        <w:rPr>
          <w:rFonts w:eastAsia="方正仿宋_GBK"/>
          <w:bCs/>
          <w:sz w:val="32"/>
          <w:szCs w:val="32"/>
        </w:rPr>
        <w:t>户，排查发现安全隐患房屋</w:t>
      </w:r>
      <w:r>
        <w:rPr>
          <w:rFonts w:eastAsia="方正仿宋_GBK"/>
          <w:bCs/>
          <w:sz w:val="32"/>
          <w:szCs w:val="32"/>
        </w:rPr>
        <w:t>3917</w:t>
      </w:r>
      <w:r>
        <w:rPr>
          <w:rFonts w:eastAsia="方正仿宋_GBK"/>
          <w:bCs/>
          <w:sz w:val="32"/>
          <w:szCs w:val="32"/>
        </w:rPr>
        <w:t>户已全部整治完成</w:t>
      </w:r>
      <w:r>
        <w:rPr>
          <w:rFonts w:eastAsia="方正仿宋_GBK" w:hint="eastAsia"/>
          <w:bCs/>
          <w:sz w:val="32"/>
          <w:szCs w:val="32"/>
        </w:rPr>
        <w:t>；</w:t>
      </w:r>
      <w:r>
        <w:rPr>
          <w:rFonts w:eastAsia="方正仿宋_GBK" w:hint="eastAsia"/>
          <w:sz w:val="32"/>
          <w:szCs w:val="32"/>
        </w:rPr>
        <w:t>推动设计下乡，建成</w:t>
      </w:r>
      <w:r>
        <w:rPr>
          <w:rFonts w:eastAsia="方正仿宋_GBK" w:hint="eastAsia"/>
          <w:sz w:val="32"/>
          <w:szCs w:val="32"/>
        </w:rPr>
        <w:t>4</w:t>
      </w:r>
      <w:r>
        <w:rPr>
          <w:rFonts w:eastAsia="方正仿宋_GBK" w:hint="eastAsia"/>
          <w:sz w:val="32"/>
          <w:szCs w:val="32"/>
        </w:rPr>
        <w:t>个专家工作站为我区改善农村人居环境提供顾问服务；坚决落实中央“保交楼、稳民生”工作要求，采取“</w:t>
      </w:r>
      <w:proofErr w:type="gramStart"/>
      <w:r>
        <w:rPr>
          <w:rFonts w:eastAsia="方正仿宋_GBK" w:hint="eastAsia"/>
          <w:sz w:val="32"/>
          <w:szCs w:val="32"/>
        </w:rPr>
        <w:t>一</w:t>
      </w:r>
      <w:proofErr w:type="gramEnd"/>
      <w:r>
        <w:rPr>
          <w:rFonts w:eastAsia="方正仿宋_GBK" w:hint="eastAsia"/>
          <w:sz w:val="32"/>
          <w:szCs w:val="32"/>
        </w:rPr>
        <w:t>项目、</w:t>
      </w:r>
      <w:proofErr w:type="gramStart"/>
      <w:r>
        <w:rPr>
          <w:rFonts w:eastAsia="方正仿宋_GBK" w:hint="eastAsia"/>
          <w:sz w:val="32"/>
          <w:szCs w:val="32"/>
        </w:rPr>
        <w:t>一</w:t>
      </w:r>
      <w:proofErr w:type="gramEnd"/>
      <w:r>
        <w:rPr>
          <w:rFonts w:eastAsia="方正仿宋_GBK" w:hint="eastAsia"/>
          <w:sz w:val="32"/>
          <w:szCs w:val="32"/>
        </w:rPr>
        <w:t>方案、一专班、</w:t>
      </w:r>
      <w:proofErr w:type="gramStart"/>
      <w:r>
        <w:rPr>
          <w:rFonts w:eastAsia="方正仿宋_GBK" w:hint="eastAsia"/>
          <w:sz w:val="32"/>
          <w:szCs w:val="32"/>
        </w:rPr>
        <w:t>一</w:t>
      </w:r>
      <w:proofErr w:type="gramEnd"/>
      <w:r>
        <w:rPr>
          <w:rFonts w:eastAsia="方正仿宋_GBK" w:hint="eastAsia"/>
          <w:sz w:val="32"/>
          <w:szCs w:val="32"/>
        </w:rPr>
        <w:t>账户”工作路径推进出险项目防范化解，帮助</w:t>
      </w:r>
      <w:r>
        <w:rPr>
          <w:rFonts w:eastAsia="方正仿宋_GBK" w:hint="eastAsia"/>
          <w:sz w:val="32"/>
          <w:szCs w:val="32"/>
        </w:rPr>
        <w:t>8440</w:t>
      </w:r>
      <w:r>
        <w:rPr>
          <w:rFonts w:eastAsia="方正仿宋_GBK" w:hint="eastAsia"/>
          <w:sz w:val="32"/>
          <w:szCs w:val="32"/>
        </w:rPr>
        <w:t>户业主走出房屋面临“烂尾”困境；</w:t>
      </w:r>
      <w:r>
        <w:rPr>
          <w:rFonts w:eastAsia="方正仿宋_GBK"/>
          <w:sz w:val="32"/>
        </w:rPr>
        <w:t>不断完善城市基础设施体系，加快推进城市更新和村镇建设，推动行业监督管理再强化、服务发展措施再优化、</w:t>
      </w:r>
      <w:r>
        <w:rPr>
          <w:rFonts w:eastAsia="方正仿宋_GBK"/>
          <w:sz w:val="32"/>
        </w:rPr>
        <w:lastRenderedPageBreak/>
        <w:t>基层治理能力再深化，为璧山经济社会发展持续</w:t>
      </w:r>
      <w:r>
        <w:rPr>
          <w:rFonts w:eastAsia="方正仿宋_GBK" w:hint="eastAsia"/>
          <w:sz w:val="32"/>
        </w:rPr>
        <w:t>助</w:t>
      </w:r>
      <w:r>
        <w:rPr>
          <w:rFonts w:eastAsia="方正仿宋_GBK"/>
          <w:sz w:val="32"/>
        </w:rPr>
        <w:t>力赋能。</w:t>
      </w:r>
    </w:p>
    <w:p w:rsidR="00B83E15" w:rsidRDefault="00AA52CF">
      <w:pPr>
        <w:spacing w:line="596" w:lineRule="exact"/>
        <w:ind w:firstLineChars="200" w:firstLine="640"/>
        <w:rPr>
          <w:rFonts w:eastAsia="方正黑体_GBK"/>
          <w:sz w:val="32"/>
          <w:szCs w:val="32"/>
        </w:rPr>
      </w:pPr>
      <w:r>
        <w:rPr>
          <w:rFonts w:eastAsia="方正黑体_GBK" w:hint="eastAsia"/>
          <w:sz w:val="32"/>
          <w:szCs w:val="32"/>
        </w:rPr>
        <w:t>三、绩效</w:t>
      </w:r>
      <w:r>
        <w:rPr>
          <w:rFonts w:eastAsia="方正黑体_GBK"/>
          <w:sz w:val="32"/>
          <w:szCs w:val="32"/>
        </w:rPr>
        <w:t>评价情况及结论</w:t>
      </w:r>
    </w:p>
    <w:p w:rsidR="00B83E15" w:rsidRDefault="00AA52CF">
      <w:pPr>
        <w:spacing w:line="596" w:lineRule="exact"/>
        <w:ind w:firstLineChars="200" w:firstLine="640"/>
        <w:jc w:val="center"/>
      </w:pPr>
      <w:r>
        <w:rPr>
          <w:rFonts w:eastAsia="方正仿宋_GBK" w:hint="eastAsia"/>
          <w:sz w:val="32"/>
          <w:szCs w:val="32"/>
        </w:rPr>
        <w:t>根据《重庆市璧山区住房和城乡建设委员会</w:t>
      </w:r>
      <w:r>
        <w:rPr>
          <w:rFonts w:eastAsia="方正仿宋_GBK" w:hint="eastAsia"/>
          <w:sz w:val="32"/>
          <w:szCs w:val="32"/>
        </w:rPr>
        <w:t>2022</w:t>
      </w:r>
      <w:r>
        <w:rPr>
          <w:rFonts w:eastAsia="方正仿宋_GBK" w:hint="eastAsia"/>
          <w:sz w:val="32"/>
          <w:szCs w:val="32"/>
        </w:rPr>
        <w:t>年度部门整体支出绩效自评表》中的指标体系分析情况，重庆市</w:t>
      </w:r>
      <w:proofErr w:type="gramStart"/>
      <w:r>
        <w:rPr>
          <w:rFonts w:eastAsia="方正仿宋_GBK" w:hint="eastAsia"/>
          <w:sz w:val="32"/>
          <w:szCs w:val="32"/>
        </w:rPr>
        <w:t>璧</w:t>
      </w:r>
      <w:proofErr w:type="gramEnd"/>
      <w:r>
        <w:rPr>
          <w:rFonts w:eastAsia="方正仿宋_GBK" w:hint="eastAsia"/>
          <w:sz w:val="32"/>
          <w:szCs w:val="32"/>
        </w:rPr>
        <w:t>山区住房和城乡建设委员会</w:t>
      </w:r>
      <w:r>
        <w:rPr>
          <w:rFonts w:eastAsia="方正仿宋_GBK" w:hint="eastAsia"/>
          <w:sz w:val="32"/>
          <w:szCs w:val="32"/>
        </w:rPr>
        <w:t>2022</w:t>
      </w:r>
      <w:r>
        <w:rPr>
          <w:rFonts w:eastAsia="方正仿宋_GBK" w:hint="eastAsia"/>
          <w:sz w:val="32"/>
          <w:szCs w:val="32"/>
        </w:rPr>
        <w:t>年度部门整体支出绩效自评总得分</w:t>
      </w:r>
      <w:r>
        <w:rPr>
          <w:rFonts w:eastAsia="方正仿宋_GBK" w:hint="eastAsia"/>
          <w:sz w:val="32"/>
          <w:szCs w:val="32"/>
        </w:rPr>
        <w:t>98.33</w:t>
      </w:r>
      <w:r>
        <w:rPr>
          <w:rFonts w:eastAsia="方正仿宋_GBK" w:hint="eastAsia"/>
          <w:sz w:val="32"/>
          <w:szCs w:val="32"/>
        </w:rPr>
        <w:t>分，等级为“优”。具体得分情况如表</w:t>
      </w:r>
      <w:r>
        <w:rPr>
          <w:rFonts w:eastAsia="方正仿宋_GBK" w:hint="eastAsia"/>
          <w:sz w:val="32"/>
          <w:szCs w:val="32"/>
        </w:rPr>
        <w:t>1</w:t>
      </w:r>
      <w:r>
        <w:rPr>
          <w:rFonts w:eastAsia="方正仿宋_GBK" w:hint="eastAsia"/>
          <w:sz w:val="32"/>
          <w:szCs w:val="32"/>
        </w:rPr>
        <w:t>所示。</w:t>
      </w:r>
    </w:p>
    <w:p w:rsidR="00B83E15" w:rsidRDefault="00AA52CF">
      <w:pPr>
        <w:widowControl/>
        <w:shd w:val="clear" w:color="auto" w:fill="FFFFFF"/>
        <w:adjustRightInd w:val="0"/>
        <w:snapToGrid w:val="0"/>
        <w:spacing w:line="600" w:lineRule="exact"/>
        <w:ind w:firstLineChars="200" w:firstLine="560"/>
        <w:jc w:val="center"/>
        <w:rPr>
          <w:rFonts w:eastAsia="方正仿宋_GBK" w:cs="方正仿宋_GBK"/>
          <w:kern w:val="0"/>
          <w:sz w:val="28"/>
          <w:szCs w:val="28"/>
          <w:shd w:val="clear" w:color="auto" w:fill="FFFFFF"/>
        </w:rPr>
      </w:pPr>
      <w:r>
        <w:rPr>
          <w:rFonts w:eastAsia="方正仿宋_GBK" w:cs="方正仿宋_GBK" w:hint="eastAsia"/>
          <w:kern w:val="0"/>
          <w:sz w:val="28"/>
          <w:szCs w:val="28"/>
          <w:shd w:val="clear" w:color="auto" w:fill="FFFFFF"/>
        </w:rPr>
        <w:t>表</w:t>
      </w:r>
      <w:r>
        <w:rPr>
          <w:rFonts w:eastAsia="方正仿宋_GBK" w:cs="方正仿宋_GBK" w:hint="eastAsia"/>
          <w:kern w:val="0"/>
          <w:sz w:val="28"/>
          <w:szCs w:val="28"/>
          <w:shd w:val="clear" w:color="auto" w:fill="FFFFFF"/>
        </w:rPr>
        <w:t xml:space="preserve"> 1</w:t>
      </w:r>
      <w:r>
        <w:rPr>
          <w:rFonts w:eastAsia="方正仿宋_GBK" w:cs="方正仿宋_GBK" w:hint="eastAsia"/>
          <w:kern w:val="0"/>
          <w:sz w:val="28"/>
          <w:szCs w:val="28"/>
          <w:shd w:val="clear" w:color="auto" w:fill="FFFFFF"/>
        </w:rPr>
        <w:t>：指标得分情况</w:t>
      </w:r>
    </w:p>
    <w:tbl>
      <w:tblPr>
        <w:tblW w:w="4413" w:type="pct"/>
        <w:jc w:val="center"/>
        <w:tblLayout w:type="fixed"/>
        <w:tblLook w:val="04A0" w:firstRow="1" w:lastRow="0" w:firstColumn="1" w:lastColumn="0" w:noHBand="0" w:noVBand="1"/>
      </w:tblPr>
      <w:tblGrid>
        <w:gridCol w:w="3724"/>
        <w:gridCol w:w="1457"/>
        <w:gridCol w:w="1457"/>
        <w:gridCol w:w="1459"/>
      </w:tblGrid>
      <w:tr w:rsidR="00B83E15">
        <w:trPr>
          <w:trHeight w:val="462"/>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指标名称</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权重</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方正仿宋_GBK" w:cs="方正仿宋_GBK"/>
                <w:sz w:val="24"/>
              </w:rPr>
            </w:pPr>
            <w:r>
              <w:rPr>
                <w:rFonts w:eastAsia="方正仿宋_GBK" w:cs="方正仿宋_GBK" w:hint="eastAsia"/>
                <w:kern w:val="0"/>
                <w:sz w:val="24"/>
                <w:lang w:bidi="ar"/>
              </w:rPr>
              <w:t>得分</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方正仿宋_GBK" w:cs="方正仿宋_GBK"/>
                <w:kern w:val="0"/>
                <w:sz w:val="24"/>
                <w:lang w:bidi="ar"/>
              </w:rPr>
            </w:pPr>
            <w:r>
              <w:rPr>
                <w:rFonts w:eastAsia="方正仿宋_GBK" w:cs="方正仿宋_GBK" w:hint="eastAsia"/>
                <w:kern w:val="0"/>
                <w:sz w:val="24"/>
                <w:lang w:bidi="ar"/>
              </w:rPr>
              <w:t>得分率</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非税收入征缴入库</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15</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15</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基础设施建设目标完成率</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15</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13.33</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88.89%</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农村危房改造率</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15</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15</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棚户区改造开工率</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kern w:val="0"/>
                <w:sz w:val="24"/>
                <w:lang w:bidi="ar"/>
              </w:rPr>
            </w:pPr>
            <w:r>
              <w:rPr>
                <w:rFonts w:ascii="仿宋" w:eastAsia="仿宋" w:hAnsi="仿宋" w:cs="仿宋" w:hint="eastAsia"/>
                <w:kern w:val="0"/>
                <w:sz w:val="24"/>
                <w:lang w:bidi="ar"/>
              </w:rPr>
              <w:t>启动老旧小区改造片区数</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海绵城市试点建设达标率</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服务群众满意度</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5</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预决算公开率（</w:t>
            </w:r>
            <w:proofErr w:type="gramStart"/>
            <w:r>
              <w:rPr>
                <w:rFonts w:ascii="仿宋" w:eastAsia="仿宋" w:hAnsi="仿宋" w:cs="仿宋" w:hint="eastAsia"/>
                <w:kern w:val="0"/>
                <w:sz w:val="24"/>
                <w:lang w:bidi="ar"/>
              </w:rPr>
              <w:t>涉秘信息</w:t>
            </w:r>
            <w:proofErr w:type="gramEnd"/>
            <w:r>
              <w:rPr>
                <w:rFonts w:ascii="仿宋" w:eastAsia="仿宋" w:hAnsi="仿宋" w:cs="仿宋" w:hint="eastAsia"/>
                <w:kern w:val="0"/>
                <w:sz w:val="24"/>
                <w:lang w:bidi="ar"/>
              </w:rPr>
              <w:t>除外）</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r w:rsidR="00B83E15">
        <w:trPr>
          <w:trHeight w:val="456"/>
          <w:jc w:val="center"/>
        </w:trPr>
        <w:tc>
          <w:tcPr>
            <w:tcW w:w="22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方正仿宋_GBK" w:cs="方正仿宋_GBK"/>
                <w:sz w:val="24"/>
              </w:rPr>
            </w:pPr>
            <w:r>
              <w:rPr>
                <w:rFonts w:ascii="仿宋" w:eastAsia="仿宋" w:hAnsi="仿宋" w:cs="仿宋" w:hint="eastAsia"/>
                <w:kern w:val="0"/>
                <w:sz w:val="24"/>
                <w:lang w:bidi="ar"/>
              </w:rPr>
              <w:t>预算执行率</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宋体" w:hAnsi="宋体" w:cs="宋体" w:hint="eastAsia"/>
                <w:kern w:val="0"/>
                <w:sz w:val="24"/>
                <w:lang w:bidi="ar"/>
              </w:rPr>
              <w:t>10</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jc w:val="center"/>
              <w:textAlignment w:val="center"/>
              <w:rPr>
                <w:rFonts w:eastAsia="仿宋" w:cs="仿宋"/>
                <w:sz w:val="24"/>
              </w:rPr>
            </w:pPr>
            <w:r>
              <w:rPr>
                <w:rFonts w:ascii="仿宋" w:eastAsia="仿宋" w:hAnsi="仿宋" w:cs="仿宋" w:hint="eastAsia"/>
                <w:kern w:val="0"/>
                <w:sz w:val="24"/>
                <w:lang w:bidi="ar"/>
              </w:rPr>
              <w:t>10</w:t>
            </w:r>
          </w:p>
        </w:tc>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3E15" w:rsidRDefault="00AA52CF">
            <w:pPr>
              <w:widowControl/>
              <w:spacing w:line="600" w:lineRule="exact"/>
              <w:jc w:val="center"/>
              <w:textAlignment w:val="center"/>
              <w:rPr>
                <w:rFonts w:eastAsia="仿宋" w:cs="仿宋"/>
                <w:kern w:val="0"/>
                <w:sz w:val="24"/>
                <w:lang w:bidi="ar"/>
              </w:rPr>
            </w:pPr>
            <w:r>
              <w:rPr>
                <w:rFonts w:eastAsia="仿宋" w:cs="仿宋" w:hint="eastAsia"/>
                <w:kern w:val="0"/>
                <w:sz w:val="24"/>
                <w:lang w:bidi="ar"/>
              </w:rPr>
              <w:t>100%</w:t>
            </w:r>
          </w:p>
        </w:tc>
      </w:tr>
    </w:tbl>
    <w:p w:rsidR="00B83E15" w:rsidRDefault="00AA52CF">
      <w:pPr>
        <w:spacing w:line="596"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、非税收入征缴入库分析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我单位</w:t>
      </w:r>
      <w:r>
        <w:rPr>
          <w:rFonts w:eastAsia="方正仿宋_GBK" w:hint="eastAsia"/>
          <w:sz w:val="32"/>
          <w:szCs w:val="32"/>
        </w:rPr>
        <w:t>2022</w:t>
      </w:r>
      <w:r>
        <w:rPr>
          <w:rFonts w:eastAsia="方正仿宋_GBK" w:hint="eastAsia"/>
          <w:sz w:val="32"/>
          <w:szCs w:val="32"/>
        </w:rPr>
        <w:t>年非税收入征缴入库共计</w:t>
      </w:r>
      <w:r>
        <w:rPr>
          <w:rFonts w:eastAsia="方正仿宋_GBK" w:hint="eastAsia"/>
          <w:sz w:val="32"/>
          <w:szCs w:val="32"/>
        </w:rPr>
        <w:t>242285568.84</w:t>
      </w:r>
      <w:r>
        <w:rPr>
          <w:rFonts w:eastAsia="方正仿宋_GBK" w:hint="eastAsia"/>
          <w:sz w:val="32"/>
          <w:szCs w:val="32"/>
        </w:rPr>
        <w:t>元，达到了非税收入征缴入库</w:t>
      </w:r>
      <w:r>
        <w:rPr>
          <w:rFonts w:eastAsia="方正仿宋_GBK" w:hint="eastAsia"/>
          <w:sz w:val="32"/>
          <w:szCs w:val="32"/>
        </w:rPr>
        <w:t>2</w:t>
      </w:r>
      <w:r>
        <w:rPr>
          <w:rFonts w:eastAsia="方正仿宋_GBK" w:hint="eastAsia"/>
          <w:sz w:val="32"/>
          <w:szCs w:val="32"/>
        </w:rPr>
        <w:t>亿元及以上的年度目标值。根据评价标准，该指标得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、基础设施建设目标完成率分析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lastRenderedPageBreak/>
        <w:t>单位多</w:t>
      </w:r>
      <w:proofErr w:type="gramStart"/>
      <w:r>
        <w:rPr>
          <w:rFonts w:eastAsia="方正仿宋_GBK" w:hint="eastAsia"/>
          <w:sz w:val="32"/>
          <w:szCs w:val="32"/>
        </w:rPr>
        <w:t>措</w:t>
      </w:r>
      <w:proofErr w:type="gramEnd"/>
      <w:r>
        <w:rPr>
          <w:rFonts w:eastAsia="方正仿宋_GBK" w:hint="eastAsia"/>
          <w:sz w:val="32"/>
          <w:szCs w:val="32"/>
        </w:rPr>
        <w:t>并举、持续发力，</w:t>
      </w:r>
      <w:r>
        <w:rPr>
          <w:rFonts w:eastAsia="方正仿宋_GBK"/>
          <w:sz w:val="32"/>
          <w:szCs w:val="32"/>
        </w:rPr>
        <w:t>持续完善城市基础功能设施</w:t>
      </w:r>
      <w:r>
        <w:rPr>
          <w:rFonts w:eastAsia="方正仿宋_GBK" w:hint="eastAsia"/>
          <w:sz w:val="32"/>
          <w:szCs w:val="32"/>
        </w:rPr>
        <w:t>，</w:t>
      </w:r>
      <w:r>
        <w:rPr>
          <w:rFonts w:eastAsia="方正仿宋_GBK" w:cs="方正仿宋_GBK" w:hint="eastAsia"/>
          <w:sz w:val="32"/>
          <w:szCs w:val="32"/>
        </w:rPr>
        <w:t>但由于疫情影响，</w:t>
      </w:r>
      <w:r>
        <w:rPr>
          <w:rFonts w:eastAsia="方正仿宋_GBK" w:hint="eastAsia"/>
          <w:sz w:val="32"/>
          <w:szCs w:val="32"/>
        </w:rPr>
        <w:t>基础设施建设目标完成率未达到年初设定目标。根据评价标准，该指标得</w:t>
      </w:r>
      <w:r>
        <w:rPr>
          <w:rFonts w:eastAsia="方正仿宋_GBK" w:hint="eastAsia"/>
          <w:sz w:val="32"/>
          <w:szCs w:val="32"/>
        </w:rPr>
        <w:t>88.89%</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、农村危房改造率分析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年，持续开展农村</w:t>
      </w:r>
      <w:r>
        <w:rPr>
          <w:rFonts w:eastAsia="方正仿宋_GBK" w:hint="eastAsia"/>
          <w:sz w:val="32"/>
          <w:szCs w:val="32"/>
        </w:rPr>
        <w:t>CD</w:t>
      </w:r>
      <w:r>
        <w:rPr>
          <w:rFonts w:eastAsia="方正仿宋_GBK" w:hint="eastAsia"/>
          <w:sz w:val="32"/>
          <w:szCs w:val="32"/>
        </w:rPr>
        <w:t>级危房改造工作，</w:t>
      </w:r>
      <w:r>
        <w:rPr>
          <w:rFonts w:ascii="方正仿宋_GBK" w:eastAsia="方正仿宋_GBK" w:hAnsi="宋体" w:hint="eastAsia"/>
          <w:sz w:val="32"/>
          <w:szCs w:val="32"/>
        </w:rPr>
        <w:t>拆除油田片区C、D级危房88户、城镇零星C、D级危房整治项目66户，</w:t>
      </w:r>
      <w:r>
        <w:rPr>
          <w:rFonts w:eastAsia="方正仿宋_GBK" w:hint="eastAsia"/>
          <w:sz w:val="32"/>
          <w:szCs w:val="32"/>
        </w:rPr>
        <w:t>农村危房改造率达到</w:t>
      </w:r>
      <w:r>
        <w:rPr>
          <w:rFonts w:eastAsia="方正仿宋_GBK" w:hint="eastAsia"/>
          <w:sz w:val="32"/>
          <w:szCs w:val="32"/>
        </w:rPr>
        <w:t>100%</w:t>
      </w:r>
      <w:r>
        <w:rPr>
          <w:rFonts w:eastAsia="方正仿宋_GBK" w:hint="eastAsia"/>
          <w:sz w:val="32"/>
          <w:szCs w:val="32"/>
        </w:rPr>
        <w:t>。根据评价标准，该指标得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、棚户区改造开工率分析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年，本单位</w:t>
      </w:r>
      <w:r>
        <w:rPr>
          <w:rFonts w:eastAsia="方正仿宋_GBK"/>
          <w:sz w:val="32"/>
          <w:szCs w:val="32"/>
        </w:rPr>
        <w:t>持续推进棚户区改造</w:t>
      </w:r>
      <w:r>
        <w:rPr>
          <w:rFonts w:eastAsia="方正仿宋_GBK" w:hint="eastAsia"/>
          <w:sz w:val="32"/>
          <w:szCs w:val="32"/>
        </w:rPr>
        <w:t>工作，</w:t>
      </w:r>
      <w:r>
        <w:rPr>
          <w:rFonts w:ascii="方正仿宋_GBK" w:eastAsia="方正仿宋_GBK" w:hAnsi="宋体" w:hint="eastAsia"/>
          <w:sz w:val="32"/>
          <w:szCs w:val="32"/>
        </w:rPr>
        <w:t>大兴镇兴隆片区、</w:t>
      </w:r>
      <w:proofErr w:type="gramStart"/>
      <w:r>
        <w:rPr>
          <w:rFonts w:ascii="方正仿宋_GBK" w:eastAsia="方正仿宋_GBK" w:hAnsi="宋体" w:hint="eastAsia"/>
          <w:sz w:val="32"/>
          <w:szCs w:val="32"/>
        </w:rPr>
        <w:t>璧</w:t>
      </w:r>
      <w:proofErr w:type="gramEnd"/>
      <w:r>
        <w:rPr>
          <w:rFonts w:ascii="方正仿宋_GBK" w:eastAsia="方正仿宋_GBK" w:hAnsi="宋体" w:hint="eastAsia"/>
          <w:sz w:val="32"/>
          <w:szCs w:val="32"/>
        </w:rPr>
        <w:t>城街道等基本完成棚改，</w:t>
      </w:r>
      <w:r>
        <w:rPr>
          <w:rFonts w:eastAsia="方正仿宋_GBK" w:hint="eastAsia"/>
          <w:sz w:val="32"/>
          <w:szCs w:val="32"/>
        </w:rPr>
        <w:t>棚户区改造开工率达到</w:t>
      </w:r>
      <w:r>
        <w:rPr>
          <w:rFonts w:eastAsia="方正仿宋_GBK" w:hint="eastAsia"/>
          <w:sz w:val="32"/>
          <w:szCs w:val="32"/>
        </w:rPr>
        <w:t>100%</w:t>
      </w:r>
      <w:r>
        <w:rPr>
          <w:rFonts w:eastAsia="方正仿宋_GBK" w:hint="eastAsia"/>
          <w:sz w:val="32"/>
          <w:szCs w:val="32"/>
        </w:rPr>
        <w:t>。根据评价标准，该指标得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、启动老旧小区改造片区数分析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年，新开工大成广场片区、民主路片区、建设宾馆</w:t>
      </w:r>
      <w:r>
        <w:rPr>
          <w:rFonts w:eastAsia="方正仿宋_GBK" w:hint="eastAsia"/>
          <w:sz w:val="32"/>
          <w:szCs w:val="32"/>
        </w:rPr>
        <w:t>-</w:t>
      </w:r>
      <w:r>
        <w:rPr>
          <w:rFonts w:eastAsia="方正仿宋_GBK" w:hint="eastAsia"/>
          <w:sz w:val="32"/>
          <w:szCs w:val="32"/>
        </w:rPr>
        <w:t>天</w:t>
      </w:r>
      <w:proofErr w:type="gramStart"/>
      <w:r>
        <w:rPr>
          <w:rFonts w:eastAsia="方正仿宋_GBK" w:hint="eastAsia"/>
          <w:sz w:val="32"/>
          <w:szCs w:val="32"/>
        </w:rPr>
        <w:t>怡</w:t>
      </w:r>
      <w:proofErr w:type="gramEnd"/>
      <w:r>
        <w:rPr>
          <w:rFonts w:eastAsia="方正仿宋_GBK" w:hint="eastAsia"/>
          <w:sz w:val="32"/>
          <w:szCs w:val="32"/>
        </w:rPr>
        <w:t>街片区和红石片区改造项目开展小区管网工程建设，</w:t>
      </w:r>
      <w:r>
        <w:rPr>
          <w:rFonts w:eastAsia="方正仿宋_GBK" w:hint="eastAsia"/>
          <w:sz w:val="32"/>
          <w:szCs w:val="32"/>
        </w:rPr>
        <w:t>4</w:t>
      </w:r>
      <w:r>
        <w:rPr>
          <w:rFonts w:eastAsia="方正仿宋_GBK" w:hint="eastAsia"/>
          <w:sz w:val="32"/>
          <w:szCs w:val="32"/>
        </w:rPr>
        <w:t>个老旧小区改造片区均已启动。根据评价标准，该指标得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、海绵城市试点建设达标率分析</w:t>
      </w:r>
    </w:p>
    <w:p w:rsidR="00B83E15" w:rsidRDefault="00AA52CF">
      <w:pPr>
        <w:spacing w:line="596" w:lineRule="exact"/>
        <w:ind w:firstLineChars="200" w:firstLine="640"/>
        <w:rPr>
          <w:rFonts w:eastAsia="方正仿宋_GBK"/>
          <w:sz w:val="32"/>
          <w:szCs w:val="32"/>
        </w:rPr>
      </w:pPr>
      <w:r>
        <w:rPr>
          <w:rFonts w:eastAsia="仿宋" w:hint="eastAsia"/>
          <w:sz w:val="32"/>
          <w:szCs w:val="32"/>
        </w:rPr>
        <w:t>22</w:t>
      </w:r>
      <w:r>
        <w:rPr>
          <w:rFonts w:eastAsia="仿宋" w:hint="eastAsia"/>
          <w:sz w:val="32"/>
          <w:szCs w:val="32"/>
        </w:rPr>
        <w:t>年</w:t>
      </w:r>
      <w:r>
        <w:rPr>
          <w:rFonts w:eastAsia="仿宋"/>
          <w:sz w:val="32"/>
          <w:szCs w:val="32"/>
        </w:rPr>
        <w:t>持续完善城市基础功能设施</w:t>
      </w:r>
      <w:r>
        <w:rPr>
          <w:rFonts w:eastAsia="仿宋" w:hint="eastAsia"/>
          <w:sz w:val="32"/>
          <w:szCs w:val="32"/>
        </w:rPr>
        <w:t>，</w:t>
      </w:r>
      <w:r>
        <w:rPr>
          <w:rFonts w:eastAsia="仿宋"/>
          <w:sz w:val="32"/>
          <w:szCs w:val="32"/>
        </w:rPr>
        <w:t>3</w:t>
      </w:r>
      <w:r>
        <w:rPr>
          <w:rFonts w:eastAsia="仿宋"/>
          <w:sz w:val="32"/>
          <w:szCs w:val="32"/>
        </w:rPr>
        <w:t>个海绵城市政府投资改造项目完成</w:t>
      </w:r>
      <w:r>
        <w:rPr>
          <w:rFonts w:eastAsia="仿宋" w:hint="eastAsia"/>
          <w:sz w:val="32"/>
          <w:szCs w:val="32"/>
        </w:rPr>
        <w:t>，</w:t>
      </w:r>
      <w:r>
        <w:rPr>
          <w:rFonts w:eastAsia="仿宋"/>
          <w:sz w:val="32"/>
          <w:szCs w:val="32"/>
        </w:rPr>
        <w:t>城市建成区面积累计约</w:t>
      </w:r>
      <w:r>
        <w:rPr>
          <w:rFonts w:eastAsia="仿宋"/>
          <w:sz w:val="32"/>
          <w:szCs w:val="32"/>
        </w:rPr>
        <w:t>45%</w:t>
      </w:r>
      <w:r>
        <w:rPr>
          <w:rFonts w:eastAsia="仿宋"/>
          <w:sz w:val="32"/>
          <w:szCs w:val="32"/>
        </w:rPr>
        <w:t>、</w:t>
      </w:r>
      <w:r>
        <w:rPr>
          <w:rFonts w:eastAsia="仿宋"/>
          <w:sz w:val="32"/>
          <w:szCs w:val="32"/>
        </w:rPr>
        <w:t>18.66</w:t>
      </w:r>
      <w:r>
        <w:rPr>
          <w:rFonts w:eastAsia="仿宋"/>
          <w:sz w:val="32"/>
          <w:szCs w:val="32"/>
        </w:rPr>
        <w:t>平方公里达到海绵城市建设标准</w:t>
      </w:r>
      <w:r>
        <w:rPr>
          <w:rFonts w:eastAsia="仿宋" w:hint="eastAsia"/>
          <w:sz w:val="32"/>
          <w:szCs w:val="32"/>
        </w:rPr>
        <w:t>，试点建设达标率</w:t>
      </w:r>
      <w:r>
        <w:rPr>
          <w:rFonts w:eastAsia="仿宋" w:hint="eastAsia"/>
          <w:sz w:val="32"/>
          <w:szCs w:val="32"/>
        </w:rPr>
        <w:t>97%</w:t>
      </w:r>
      <w:r>
        <w:rPr>
          <w:rFonts w:eastAsia="仿宋" w:hint="eastAsia"/>
          <w:sz w:val="32"/>
          <w:szCs w:val="32"/>
        </w:rPr>
        <w:t>，</w:t>
      </w:r>
      <w:r>
        <w:rPr>
          <w:rFonts w:eastAsia="方正仿宋_GBK" w:hint="eastAsia"/>
          <w:sz w:val="32"/>
          <w:szCs w:val="32"/>
        </w:rPr>
        <w:t>完成年初绩效目标。根据评价标准，该指标得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、服务群众满意度分析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年重庆市</w:t>
      </w:r>
      <w:proofErr w:type="gramStart"/>
      <w:r>
        <w:rPr>
          <w:rFonts w:eastAsia="方正仿宋_GBK" w:hint="eastAsia"/>
          <w:sz w:val="32"/>
          <w:szCs w:val="32"/>
        </w:rPr>
        <w:t>璧</w:t>
      </w:r>
      <w:proofErr w:type="gramEnd"/>
      <w:r>
        <w:rPr>
          <w:rFonts w:eastAsia="方正仿宋_GBK" w:hint="eastAsia"/>
          <w:sz w:val="32"/>
          <w:szCs w:val="32"/>
        </w:rPr>
        <w:t>山区住房和城乡建设委员会</w:t>
      </w:r>
      <w:r>
        <w:rPr>
          <w:rFonts w:eastAsia="方正仿宋_GBK"/>
          <w:sz w:val="32"/>
        </w:rPr>
        <w:t>紧紧围绕我区</w:t>
      </w:r>
      <w:r>
        <w:rPr>
          <w:rFonts w:eastAsia="方正仿宋_GBK"/>
          <w:sz w:val="32"/>
        </w:rPr>
        <w:lastRenderedPageBreak/>
        <w:t>“</w:t>
      </w:r>
      <w:r>
        <w:rPr>
          <w:rFonts w:eastAsia="方正仿宋_GBK"/>
          <w:sz w:val="32"/>
        </w:rPr>
        <w:t>建设高质量发展样板区、打造高品质生活示范区</w:t>
      </w:r>
      <w:r>
        <w:rPr>
          <w:rFonts w:eastAsia="方正仿宋_GBK"/>
          <w:sz w:val="32"/>
        </w:rPr>
        <w:t>”</w:t>
      </w:r>
      <w:r>
        <w:rPr>
          <w:rFonts w:eastAsia="方正仿宋_GBK"/>
          <w:sz w:val="32"/>
        </w:rPr>
        <w:t>目标定位和</w:t>
      </w:r>
      <w:r>
        <w:rPr>
          <w:rFonts w:eastAsia="方正仿宋_GBK"/>
          <w:sz w:val="32"/>
        </w:rPr>
        <w:t>“</w:t>
      </w:r>
      <w:r>
        <w:rPr>
          <w:rFonts w:eastAsia="方正仿宋_GBK"/>
          <w:sz w:val="32"/>
        </w:rPr>
        <w:t>五新四城</w:t>
      </w:r>
      <w:r>
        <w:rPr>
          <w:rFonts w:eastAsia="方正仿宋_GBK"/>
          <w:sz w:val="32"/>
        </w:rPr>
        <w:t>”</w:t>
      </w:r>
      <w:r>
        <w:rPr>
          <w:rFonts w:eastAsia="方正仿宋_GBK"/>
          <w:sz w:val="32"/>
        </w:rPr>
        <w:t>主要任务，不断完善城市基础设施体系，加快推进城市更新和村镇建设，</w:t>
      </w:r>
      <w:r>
        <w:rPr>
          <w:rFonts w:eastAsia="方正仿宋_GBK" w:hint="eastAsia"/>
          <w:sz w:val="32"/>
          <w:szCs w:val="32"/>
        </w:rPr>
        <w:t>服务群众满意度达到</w:t>
      </w:r>
      <w:r>
        <w:rPr>
          <w:rFonts w:eastAsia="方正仿宋_GBK" w:hint="eastAsia"/>
          <w:sz w:val="32"/>
          <w:szCs w:val="32"/>
        </w:rPr>
        <w:t>96%</w:t>
      </w:r>
      <w:r>
        <w:rPr>
          <w:rFonts w:eastAsia="方正仿宋_GBK" w:hint="eastAsia"/>
          <w:sz w:val="32"/>
          <w:szCs w:val="32"/>
        </w:rPr>
        <w:t>。根据评价标准，该指标得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、预决算公开率（</w:t>
      </w:r>
      <w:proofErr w:type="gramStart"/>
      <w:r>
        <w:rPr>
          <w:rFonts w:eastAsia="方正仿宋_GBK" w:hint="eastAsia"/>
          <w:sz w:val="32"/>
          <w:szCs w:val="32"/>
        </w:rPr>
        <w:t>涉秘信息</w:t>
      </w:r>
      <w:proofErr w:type="gramEnd"/>
      <w:r>
        <w:rPr>
          <w:rFonts w:eastAsia="方正仿宋_GBK" w:hint="eastAsia"/>
          <w:sz w:val="32"/>
          <w:szCs w:val="32"/>
        </w:rPr>
        <w:t>除外）分析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按照相关文件规定，单位预决算信息需严格按照要求进行公开，</w:t>
      </w:r>
      <w:r>
        <w:rPr>
          <w:rFonts w:eastAsia="方正仿宋_GBK" w:hint="eastAsia"/>
          <w:sz w:val="32"/>
          <w:szCs w:val="32"/>
        </w:rPr>
        <w:t>2022</w:t>
      </w:r>
      <w:r>
        <w:rPr>
          <w:rFonts w:eastAsia="方正仿宋_GBK" w:hint="eastAsia"/>
          <w:sz w:val="32"/>
          <w:szCs w:val="32"/>
        </w:rPr>
        <w:t>年我单位按时完成了预决算公开，除涉密信息外，</w:t>
      </w:r>
      <w:r>
        <w:rPr>
          <w:rFonts w:ascii="方正仿宋_GBK" w:eastAsia="方正仿宋_GBK" w:hAnsi="方正仿宋_GBK" w:cs="方正仿宋_GBK" w:hint="eastAsia"/>
          <w:kern w:val="0"/>
          <w:sz w:val="32"/>
          <w:szCs w:val="32"/>
          <w:shd w:val="clear" w:color="auto" w:fill="FFFFFF"/>
        </w:rPr>
        <w:t>2022年所有事项均已公开，</w:t>
      </w:r>
      <w:r>
        <w:rPr>
          <w:rFonts w:eastAsia="方正仿宋_GBK" w:hint="eastAsia"/>
          <w:sz w:val="32"/>
          <w:szCs w:val="32"/>
        </w:rPr>
        <w:t>财政资金使用情况公开透明。根据评价标准，该指标得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9</w:t>
      </w:r>
      <w:r>
        <w:rPr>
          <w:rFonts w:eastAsia="方正仿宋_GBK" w:hint="eastAsia"/>
          <w:sz w:val="32"/>
          <w:szCs w:val="32"/>
        </w:rPr>
        <w:t>、预算执行率分析</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按照年初设定绩效目标预算执行率不得低于</w:t>
      </w:r>
      <w:r>
        <w:rPr>
          <w:rFonts w:eastAsia="方正仿宋_GBK" w:hint="eastAsia"/>
          <w:sz w:val="32"/>
          <w:szCs w:val="32"/>
        </w:rPr>
        <w:t>80%</w:t>
      </w:r>
      <w:r>
        <w:rPr>
          <w:rFonts w:eastAsia="方正仿宋_GBK" w:hint="eastAsia"/>
          <w:sz w:val="32"/>
          <w:szCs w:val="32"/>
        </w:rPr>
        <w:t>，</w:t>
      </w:r>
      <w:r>
        <w:rPr>
          <w:rFonts w:eastAsia="方正仿宋_GBK" w:hint="eastAsia"/>
          <w:sz w:val="32"/>
          <w:szCs w:val="32"/>
        </w:rPr>
        <w:t>2022</w:t>
      </w:r>
      <w:r>
        <w:rPr>
          <w:rFonts w:eastAsia="方正仿宋_GBK" w:hint="eastAsia"/>
          <w:sz w:val="32"/>
          <w:szCs w:val="32"/>
        </w:rPr>
        <w:t>年执行支出数</w:t>
      </w:r>
      <w:r>
        <w:rPr>
          <w:rFonts w:eastAsia="方正仿宋_GBK" w:hint="eastAsia"/>
          <w:sz w:val="32"/>
          <w:szCs w:val="32"/>
        </w:rPr>
        <w:t>344609015.08</w:t>
      </w:r>
      <w:r>
        <w:rPr>
          <w:rFonts w:eastAsia="方正仿宋_GBK" w:hint="eastAsia"/>
          <w:sz w:val="32"/>
          <w:szCs w:val="32"/>
        </w:rPr>
        <w:t>元，完成预算执行率为</w:t>
      </w:r>
      <w:r>
        <w:rPr>
          <w:rFonts w:eastAsia="方正仿宋_GBK" w:hint="eastAsia"/>
          <w:sz w:val="32"/>
          <w:szCs w:val="32"/>
        </w:rPr>
        <w:t>99.86%</w:t>
      </w:r>
      <w:r>
        <w:rPr>
          <w:rFonts w:eastAsia="方正仿宋_GBK" w:hint="eastAsia"/>
          <w:sz w:val="32"/>
          <w:szCs w:val="32"/>
        </w:rPr>
        <w:t>，项目执行情况良好，及时发放了人员经费、公用经费，保障了单位正常运转，体现了预算编制的准确性及科学性。根据评价标准，该指标得</w:t>
      </w:r>
      <w:r>
        <w:rPr>
          <w:rFonts w:eastAsia="方正仿宋_GBK" w:hint="eastAsia"/>
          <w:sz w:val="32"/>
          <w:szCs w:val="32"/>
        </w:rPr>
        <w:t>100%</w:t>
      </w:r>
      <w:r>
        <w:rPr>
          <w:rFonts w:eastAsia="方正仿宋_GBK" w:hint="eastAsia"/>
          <w:sz w:val="32"/>
          <w:szCs w:val="32"/>
        </w:rPr>
        <w:t>权重分。</w:t>
      </w:r>
    </w:p>
    <w:p w:rsidR="00B83E15" w:rsidRDefault="00AA52CF">
      <w:pPr>
        <w:spacing w:line="596"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w:t>
      </w:r>
      <w:r>
        <w:rPr>
          <w:rFonts w:eastAsia="方正黑体_GBK" w:hint="eastAsia"/>
          <w:sz w:val="32"/>
          <w:szCs w:val="32"/>
        </w:rPr>
        <w:t>需重点关注的问题</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目标设置不严谨</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基础设施建设目标完成率数年初设置目标为大于</w:t>
      </w:r>
      <w:r>
        <w:rPr>
          <w:rFonts w:eastAsia="方正仿宋_GBK" w:hint="eastAsia"/>
          <w:sz w:val="32"/>
          <w:szCs w:val="32"/>
        </w:rPr>
        <w:t>90%</w:t>
      </w:r>
      <w:r>
        <w:rPr>
          <w:rFonts w:eastAsia="方正仿宋_GBK" w:hint="eastAsia"/>
          <w:sz w:val="32"/>
          <w:szCs w:val="32"/>
        </w:rPr>
        <w:t>，但未考虑在疫情的影响下，当年基础设施建设指标未达到既定目标。</w:t>
      </w:r>
    </w:p>
    <w:p w:rsidR="00B83E15" w:rsidRDefault="00AA52CF">
      <w:pPr>
        <w:spacing w:line="596" w:lineRule="exact"/>
        <w:ind w:firstLineChars="200" w:firstLine="640"/>
        <w:rPr>
          <w:rFonts w:eastAsia="方正黑体_GBK"/>
          <w:sz w:val="32"/>
          <w:szCs w:val="32"/>
        </w:rPr>
      </w:pPr>
      <w:r>
        <w:rPr>
          <w:rFonts w:eastAsia="方正黑体_GBK" w:hint="eastAsia"/>
          <w:sz w:val="32"/>
          <w:szCs w:val="32"/>
        </w:rPr>
        <w:t>五、有关建议</w:t>
      </w:r>
    </w:p>
    <w:p w:rsidR="00B83E15" w:rsidRDefault="00AA52CF">
      <w:pPr>
        <w:spacing w:line="596" w:lineRule="exact"/>
        <w:ind w:firstLineChars="200" w:firstLine="640"/>
        <w:rPr>
          <w:rFonts w:eastAsia="方正仿宋_GBK"/>
          <w:sz w:val="32"/>
          <w:szCs w:val="32"/>
        </w:rPr>
      </w:pPr>
      <w:r>
        <w:rPr>
          <w:rFonts w:eastAsia="方正仿宋_GBK" w:hint="eastAsia"/>
          <w:sz w:val="32"/>
          <w:szCs w:val="32"/>
        </w:rPr>
        <w:t>考虑到疫情反复等不可控问题，在年初指标及目标设置时，结合已有数据，综合指标的合理性及可完成性，对时效指标进行</w:t>
      </w:r>
      <w:r>
        <w:rPr>
          <w:rFonts w:eastAsia="方正仿宋_GBK" w:hint="eastAsia"/>
          <w:sz w:val="32"/>
          <w:szCs w:val="32"/>
        </w:rPr>
        <w:lastRenderedPageBreak/>
        <w:t>多方面</w:t>
      </w:r>
      <w:proofErr w:type="gramStart"/>
      <w:r>
        <w:rPr>
          <w:rFonts w:eastAsia="方正仿宋_GBK" w:hint="eastAsia"/>
          <w:sz w:val="32"/>
          <w:szCs w:val="32"/>
        </w:rPr>
        <w:t>考量</w:t>
      </w:r>
      <w:proofErr w:type="gramEnd"/>
      <w:r>
        <w:rPr>
          <w:rFonts w:eastAsia="方正仿宋_GBK" w:hint="eastAsia"/>
          <w:sz w:val="32"/>
          <w:szCs w:val="32"/>
        </w:rPr>
        <w:t>，在符合统计调查制度要求的前提下，提高目标设置严谨性，适当调整完成期限，提高绩效管理效率及绩效管理意识。</w:t>
      </w:r>
    </w:p>
    <w:sectPr w:rsidR="00B83E15">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CF" w:rsidRDefault="00AA52CF" w:rsidP="000E65DB">
      <w:r>
        <w:separator/>
      </w:r>
    </w:p>
  </w:endnote>
  <w:endnote w:type="continuationSeparator" w:id="0">
    <w:p w:rsidR="00AA52CF" w:rsidRDefault="00AA52CF" w:rsidP="000E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CF" w:rsidRDefault="00AA52CF" w:rsidP="000E65DB">
      <w:r>
        <w:separator/>
      </w:r>
    </w:p>
  </w:footnote>
  <w:footnote w:type="continuationSeparator" w:id="0">
    <w:p w:rsidR="00AA52CF" w:rsidRDefault="00AA52CF" w:rsidP="000E6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zODY1MWI2OTA5YTAzZTA5NmZiMzljZmYzNjEyZTEifQ=="/>
    <w:docVar w:name="KSO_WPS_MARK_KEY" w:val="00e543a2-18b1-43e5-b994-b394a15e0224"/>
  </w:docVars>
  <w:rsids>
    <w:rsidRoot w:val="00806865"/>
    <w:rsid w:val="00043A15"/>
    <w:rsid w:val="000575E2"/>
    <w:rsid w:val="00063B15"/>
    <w:rsid w:val="0009607E"/>
    <w:rsid w:val="000B5DB9"/>
    <w:rsid w:val="000C0972"/>
    <w:rsid w:val="000E65DB"/>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105A3"/>
    <w:rsid w:val="006417E5"/>
    <w:rsid w:val="0064309B"/>
    <w:rsid w:val="00653A16"/>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A52CF"/>
    <w:rsid w:val="00AD0DAD"/>
    <w:rsid w:val="00AF31E0"/>
    <w:rsid w:val="00B07031"/>
    <w:rsid w:val="00B17BC3"/>
    <w:rsid w:val="00B34D05"/>
    <w:rsid w:val="00B83E1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3084CFA"/>
    <w:rsid w:val="05B42F17"/>
    <w:rsid w:val="062D4F56"/>
    <w:rsid w:val="08D61C33"/>
    <w:rsid w:val="09371E95"/>
    <w:rsid w:val="0BDD7AB9"/>
    <w:rsid w:val="0C7B586A"/>
    <w:rsid w:val="0D8B0A01"/>
    <w:rsid w:val="0FB81855"/>
    <w:rsid w:val="12B207DE"/>
    <w:rsid w:val="137B21E9"/>
    <w:rsid w:val="1A9F789A"/>
    <w:rsid w:val="1DAF6F6C"/>
    <w:rsid w:val="26E825C8"/>
    <w:rsid w:val="272730F1"/>
    <w:rsid w:val="27A209C9"/>
    <w:rsid w:val="2A047719"/>
    <w:rsid w:val="2F1E548D"/>
    <w:rsid w:val="33727FFC"/>
    <w:rsid w:val="401F4E55"/>
    <w:rsid w:val="41A76EB0"/>
    <w:rsid w:val="42A258CA"/>
    <w:rsid w:val="45007FA4"/>
    <w:rsid w:val="475D6446"/>
    <w:rsid w:val="4E3E294A"/>
    <w:rsid w:val="51024103"/>
    <w:rsid w:val="5167040A"/>
    <w:rsid w:val="52E822A5"/>
    <w:rsid w:val="532946DA"/>
    <w:rsid w:val="55596E28"/>
    <w:rsid w:val="587E1490"/>
    <w:rsid w:val="5C142F3C"/>
    <w:rsid w:val="61D05B58"/>
    <w:rsid w:val="620677CB"/>
    <w:rsid w:val="624C12E0"/>
    <w:rsid w:val="62FA10DE"/>
    <w:rsid w:val="63A96660"/>
    <w:rsid w:val="6881195A"/>
    <w:rsid w:val="6A7D43A3"/>
    <w:rsid w:val="6F12155D"/>
    <w:rsid w:val="6F9A4BBD"/>
    <w:rsid w:val="70A24B63"/>
    <w:rsid w:val="72BF37AA"/>
    <w:rsid w:val="74A7099A"/>
    <w:rsid w:val="782B18E2"/>
    <w:rsid w:val="796031E2"/>
    <w:rsid w:val="7C64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pPr>
      <w:widowControl w:val="0"/>
      <w:jc w:val="both"/>
    </w:pPr>
    <w:rPr>
      <w:kern w:val="2"/>
      <w:sz w:val="21"/>
      <w:szCs w:val="24"/>
    </w:rPr>
  </w:style>
  <w:style w:type="paragraph" w:styleId="6">
    <w:name w:val="heading 6"/>
    <w:basedOn w:val="a"/>
    <w:next w:val="a"/>
    <w:uiPriority w:val="9"/>
    <w:qFormat/>
    <w:pPr>
      <w:keepNext/>
      <w:keepLines/>
      <w:spacing w:before="240" w:after="64" w:line="320" w:lineRule="auto"/>
      <w:outlineLvl w:val="5"/>
    </w:pPr>
    <w:rPr>
      <w:rFonts w:ascii="Cambria" w:hAnsi="Cambr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 Spacing"/>
    <w:uiPriority w:val="99"/>
    <w:qFormat/>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0"/>
    <w:link w:val="a5"/>
    <w:uiPriority w:val="99"/>
    <w:qFormat/>
    <w:rPr>
      <w:rFonts w:ascii="Times New Roman" w:eastAsia="宋体" w:hAnsi="Times New Roman" w:cs="Times New Roman"/>
      <w:sz w:val="18"/>
      <w:szCs w:val="18"/>
    </w:rPr>
  </w:style>
  <w:style w:type="character" w:customStyle="1" w:styleId="Char">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9E4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1221</Words>
  <Characters>6961</Characters>
  <Application>Microsoft Office Word</Application>
  <DocSecurity>0</DocSecurity>
  <Lines>58</Lines>
  <Paragraphs>16</Paragraphs>
  <ScaleCrop>false</ScaleCrop>
  <Company>微软中国</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zhangchenglin[张成林]</cp:lastModifiedBy>
  <cp:revision>69</cp:revision>
  <cp:lastPrinted>2020-04-20T08:58:00Z</cp:lastPrinted>
  <dcterms:created xsi:type="dcterms:W3CDTF">2020-04-20T08:58:00Z</dcterms:created>
  <dcterms:modified xsi:type="dcterms:W3CDTF">2023-09-18T09:42:00Z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ECB59C6144234ED6840E3DA4DDBBE844</vt:lpwstr>
  </property>
</Properties>
</file>