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方正仿宋_GBK" w:eastAsia="方正仿宋_GBK"/>
          <w:sz w:val="32"/>
          <w:szCs w:val="32"/>
        </w:rPr>
      </w:pPr>
      <w:r>
        <w:rPr>
          <w:rFonts w:hint="eastAsia" w:ascii="方正仿宋_GBK" w:eastAsia="方正仿宋_GBK"/>
          <w:sz w:val="32"/>
          <w:szCs w:val="32"/>
        </w:rPr>
        <w:t>附件3</w:t>
      </w:r>
    </w:p>
    <w:p>
      <w:pPr>
        <w:spacing w:line="596" w:lineRule="exact"/>
        <w:jc w:val="center"/>
        <w:rPr>
          <w:rFonts w:eastAsia="方正小标宋_GBK"/>
          <w:sz w:val="44"/>
          <w:szCs w:val="32"/>
        </w:rPr>
      </w:pPr>
      <w:r>
        <w:rPr>
          <w:rFonts w:hint="eastAsia" w:eastAsia="方正小标宋_GBK"/>
          <w:sz w:val="44"/>
          <w:szCs w:val="32"/>
        </w:rPr>
        <w:t>璧山</w:t>
      </w:r>
      <w:r>
        <w:rPr>
          <w:rFonts w:eastAsia="方正小标宋_GBK"/>
          <w:sz w:val="44"/>
          <w:szCs w:val="32"/>
        </w:rPr>
        <w:t>区</w:t>
      </w:r>
      <w:r>
        <w:rPr>
          <w:rFonts w:hint="eastAsia" w:eastAsia="方正小标宋_GBK"/>
          <w:sz w:val="44"/>
          <w:szCs w:val="32"/>
        </w:rPr>
        <w:t>管网运维服务中心</w:t>
      </w:r>
    </w:p>
    <w:p>
      <w:pPr>
        <w:pStyle w:val="15"/>
        <w:spacing w:line="596" w:lineRule="exact"/>
        <w:ind w:left="359" w:leftChars="171" w:firstLine="1100" w:firstLineChars="250"/>
        <w:rPr>
          <w:rFonts w:eastAsia="方正小标宋_GBK"/>
          <w:sz w:val="44"/>
          <w:szCs w:val="32"/>
        </w:rPr>
      </w:pPr>
      <w:r>
        <w:rPr>
          <w:rFonts w:hint="eastAsia" w:eastAsia="方正小标宋_GBK"/>
          <w:sz w:val="44"/>
          <w:szCs w:val="32"/>
        </w:rPr>
        <w:t>2022</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5"/>
        <w:spacing w:line="596" w:lineRule="exact"/>
        <w:ind w:left="357" w:firstLine="640"/>
        <w:rPr>
          <w:rFonts w:eastAsia="方正仿宋_GBK"/>
          <w:sz w:val="32"/>
          <w:szCs w:val="32"/>
        </w:rPr>
      </w:pPr>
    </w:p>
    <w:p>
      <w:pPr>
        <w:spacing w:line="596" w:lineRule="exact"/>
        <w:ind w:firstLine="640" w:firstLineChars="200"/>
        <w:outlineLvl w:val="0"/>
        <w:rPr>
          <w:rFonts w:eastAsia="方正黑体_GBK"/>
          <w:sz w:val="32"/>
          <w:szCs w:val="32"/>
        </w:rPr>
      </w:pPr>
      <w:bookmarkStart w:id="0" w:name="_Toc6861"/>
      <w:r>
        <w:rPr>
          <w:rFonts w:eastAsia="方正黑体_GBK"/>
          <w:sz w:val="32"/>
          <w:szCs w:val="32"/>
        </w:rPr>
        <w:t>一、基本</w:t>
      </w:r>
      <w:r>
        <w:rPr>
          <w:rFonts w:hint="eastAsia" w:eastAsia="方正黑体_GBK"/>
          <w:sz w:val="32"/>
          <w:szCs w:val="32"/>
        </w:rPr>
        <w:t>情况</w:t>
      </w:r>
      <w:bookmarkEnd w:id="0"/>
    </w:p>
    <w:p>
      <w:pPr>
        <w:spacing w:line="596" w:lineRule="exact"/>
        <w:ind w:firstLine="640" w:firstLineChars="200"/>
        <w:outlineLvl w:val="1"/>
        <w:rPr>
          <w:rFonts w:eastAsia="方正仿宋_GBK"/>
          <w:sz w:val="32"/>
          <w:szCs w:val="32"/>
        </w:rPr>
      </w:pPr>
      <w:bookmarkStart w:id="1" w:name="_Toc19483"/>
      <w:r>
        <w:rPr>
          <w:rFonts w:eastAsia="方正仿宋_GBK"/>
          <w:sz w:val="32"/>
          <w:szCs w:val="32"/>
        </w:rPr>
        <w:t>（一）</w:t>
      </w:r>
      <w:r>
        <w:rPr>
          <w:rFonts w:hint="eastAsia" w:eastAsia="方正仿宋_GBK"/>
          <w:color w:val="000000" w:themeColor="text1"/>
          <w:sz w:val="32"/>
          <w:szCs w:val="32"/>
        </w:rPr>
        <w:t>部门（单位）</w:t>
      </w:r>
      <w:r>
        <w:rPr>
          <w:rFonts w:hint="eastAsia" w:eastAsia="方正仿宋_GBK"/>
          <w:sz w:val="32"/>
          <w:szCs w:val="32"/>
        </w:rPr>
        <w:t>基本情况</w:t>
      </w:r>
      <w:bookmarkEnd w:id="1"/>
    </w:p>
    <w:p>
      <w:pPr>
        <w:spacing w:line="596" w:lineRule="exact"/>
        <w:ind w:firstLine="640" w:firstLineChars="200"/>
        <w:rPr>
          <w:rFonts w:eastAsia="方正仿宋_GBK"/>
          <w:sz w:val="32"/>
          <w:szCs w:val="32"/>
        </w:rPr>
      </w:pPr>
      <w:r>
        <w:rPr>
          <w:rFonts w:hint="eastAsia" w:eastAsia="方正仿宋_GBK"/>
          <w:sz w:val="32"/>
          <w:szCs w:val="32"/>
        </w:rPr>
        <w:t>1、部门</w:t>
      </w:r>
      <w:r>
        <w:rPr>
          <w:rFonts w:hint="eastAsia" w:eastAsia="方正仿宋_GBK"/>
          <w:color w:val="000000" w:themeColor="text1"/>
          <w:sz w:val="32"/>
          <w:szCs w:val="32"/>
        </w:rPr>
        <w:t>（单位）</w:t>
      </w:r>
      <w:r>
        <w:rPr>
          <w:rFonts w:hint="eastAsia" w:eastAsia="方正仿宋_GBK"/>
          <w:sz w:val="32"/>
          <w:szCs w:val="32"/>
        </w:rPr>
        <w:t>职级</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重庆市璧山区管网运维服务中心为区住房城乡建委管理的财政全额补助公益一类正科级事业单位。</w:t>
      </w:r>
    </w:p>
    <w:p>
      <w:pPr>
        <w:spacing w:line="596" w:lineRule="exact"/>
        <w:ind w:firstLine="640" w:firstLineChars="200"/>
        <w:rPr>
          <w:rFonts w:eastAsia="方正仿宋_GBK"/>
          <w:sz w:val="32"/>
          <w:szCs w:val="32"/>
        </w:rPr>
      </w:pPr>
      <w:r>
        <w:rPr>
          <w:rFonts w:hint="eastAsia" w:eastAsia="方正仿宋_GBK"/>
          <w:sz w:val="32"/>
          <w:szCs w:val="32"/>
        </w:rPr>
        <w:t>2、内设机构及编制</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重庆市璧山区管网运维服务中心无内设机构，</w:t>
      </w:r>
      <w:r>
        <w:rPr>
          <w:rFonts w:ascii="方正仿宋_GBK" w:hAnsi="方正仿宋_GBK" w:eastAsia="方正仿宋_GBK" w:cs="方正仿宋_GBK"/>
          <w:sz w:val="32"/>
          <w:szCs w:val="32"/>
        </w:rPr>
        <w:t>核定事业编制6名，随职能划转事业编制2名，实际核编8名</w:t>
      </w:r>
      <w:r>
        <w:rPr>
          <w:rFonts w:hint="eastAsia" w:ascii="方正仿宋_GBK" w:hAnsi="方正仿宋_GBK" w:eastAsia="方正仿宋_GBK" w:cs="方正仿宋_GBK"/>
          <w:sz w:val="32"/>
          <w:szCs w:val="32"/>
        </w:rPr>
        <w:t>。</w:t>
      </w:r>
    </w:p>
    <w:p>
      <w:pPr>
        <w:spacing w:line="596" w:lineRule="exact"/>
        <w:ind w:firstLine="640" w:firstLineChars="200"/>
        <w:rPr>
          <w:rFonts w:eastAsia="方正仿宋_GBK"/>
          <w:sz w:val="32"/>
          <w:szCs w:val="32"/>
        </w:rPr>
      </w:pPr>
      <w:r>
        <w:rPr>
          <w:rFonts w:hint="eastAsia" w:eastAsia="方正仿宋_GBK"/>
          <w:sz w:val="32"/>
          <w:szCs w:val="32"/>
        </w:rPr>
        <w:t>4、部门</w:t>
      </w:r>
      <w:r>
        <w:rPr>
          <w:rFonts w:hint="eastAsia" w:eastAsia="方正仿宋_GBK"/>
          <w:color w:val="000000" w:themeColor="text1"/>
          <w:sz w:val="32"/>
          <w:szCs w:val="32"/>
        </w:rPr>
        <w:t>（单位）</w:t>
      </w:r>
      <w:r>
        <w:rPr>
          <w:rFonts w:hint="eastAsia" w:eastAsia="方正仿宋_GBK"/>
          <w:sz w:val="32"/>
          <w:szCs w:val="32"/>
        </w:rPr>
        <w:t>职能职责</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（1）协助主管部门做好城乡管线的综合管理和相关协调服务工作。</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（2）协助主管部门做好城市综合管廊建设、城乡雨污管网建设、海绵城市建设、黑臭水体整治、市政消火栓建设、泵站监管等相关事务性工作。</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协助主管部门进行城乡管线工程的方案设计，初步设计、施工图设计的技术审查，为开展相关的地下市政交通设施，综合管廊、城市排水（雨水、污水）管网，海绵城市等功能设施综合开发建设提供技术性服务。</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（4）为城市管线工程档案信息化提供服务，推进城市管线、相关地下设施、综合管廊、海绵城市等设施管线档案信息化建设。</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（5）协助主管部门做好城乡管线档案管理工作。</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（6）组织开展相关培训与工作交流等。</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（7）承办主管部门交办的其他事项。</w:t>
      </w:r>
    </w:p>
    <w:p>
      <w:pPr>
        <w:spacing w:line="596" w:lineRule="exact"/>
        <w:ind w:firstLine="640" w:firstLineChars="200"/>
        <w:outlineLvl w:val="1"/>
        <w:rPr>
          <w:rFonts w:eastAsia="方正仿宋_GBK"/>
          <w:sz w:val="32"/>
          <w:szCs w:val="32"/>
        </w:rPr>
      </w:pPr>
      <w:bookmarkStart w:id="2" w:name="_Toc17138"/>
      <w:r>
        <w:rPr>
          <w:rFonts w:eastAsia="方正仿宋_GBK"/>
          <w:sz w:val="32"/>
          <w:szCs w:val="32"/>
        </w:rPr>
        <w:t>（二）</w:t>
      </w:r>
      <w:r>
        <w:rPr>
          <w:rFonts w:hint="eastAsia" w:eastAsia="方正仿宋_GBK"/>
          <w:sz w:val="32"/>
          <w:szCs w:val="32"/>
        </w:rPr>
        <w:t>预算及支出情况</w:t>
      </w:r>
      <w:bookmarkEnd w:id="2"/>
    </w:p>
    <w:p>
      <w:pPr>
        <w:spacing w:line="560" w:lineRule="exact"/>
        <w:ind w:firstLine="640" w:firstLineChars="200"/>
        <w:rPr>
          <w:rFonts w:ascii="方正仿宋_GBK" w:hAnsi="方正仿宋_GBK" w:eastAsia="方正仿宋_GBK" w:cs="方正仿宋_GBK"/>
          <w:sz w:val="32"/>
          <w:szCs w:val="32"/>
        </w:rPr>
      </w:pPr>
      <w:bookmarkStart w:id="3" w:name="_Toc12629"/>
      <w:r>
        <w:rPr>
          <w:rFonts w:hint="eastAsia" w:hAnsi="方正仿宋_GBK" w:eastAsia="方正仿宋_GBK" w:cs="方正仿宋_GBK"/>
          <w:sz w:val="32"/>
          <w:szCs w:val="32"/>
          <w:lang w:bidi="ar"/>
        </w:rPr>
        <w:t>2022年财政资金年初支出预算为14509.71万元，调整后支出预算为8782.30万元；年末支出决算为8782.30万元。</w:t>
      </w:r>
    </w:p>
    <w:p>
      <w:pPr>
        <w:spacing w:line="596" w:lineRule="exact"/>
        <w:ind w:firstLine="640" w:firstLineChars="200"/>
        <w:outlineLvl w:val="0"/>
        <w:rPr>
          <w:rFonts w:eastAsia="方正黑体_GBK"/>
          <w:sz w:val="32"/>
          <w:szCs w:val="32"/>
        </w:rPr>
      </w:pPr>
      <w:r>
        <w:rPr>
          <w:rFonts w:hint="eastAsia" w:eastAsia="方正黑体_GBK"/>
          <w:sz w:val="32"/>
          <w:szCs w:val="32"/>
        </w:rPr>
        <w:t>二</w:t>
      </w:r>
      <w:r>
        <w:rPr>
          <w:rFonts w:eastAsia="方正黑体_GBK"/>
          <w:sz w:val="32"/>
          <w:szCs w:val="32"/>
        </w:rPr>
        <w:t>、</w:t>
      </w:r>
      <w:r>
        <w:rPr>
          <w:rFonts w:hint="eastAsia" w:eastAsia="方正黑体_GBK"/>
          <w:sz w:val="32"/>
          <w:szCs w:val="32"/>
        </w:rPr>
        <w:t>主要成效</w:t>
      </w:r>
      <w:bookmarkEnd w:id="3"/>
    </w:p>
    <w:p>
      <w:pPr>
        <w:ind w:firstLine="640" w:firstLineChars="200"/>
        <w:rPr>
          <w:rFonts w:ascii="方正仿宋_GBK" w:hAnsi="方正仿宋_GBK" w:eastAsia="方正仿宋_GBK" w:cs="方正仿宋_GBK"/>
          <w:sz w:val="32"/>
          <w:szCs w:val="32"/>
        </w:rPr>
      </w:pPr>
      <w:bookmarkStart w:id="4" w:name="_Toc21478"/>
      <w:r>
        <w:rPr>
          <w:rFonts w:hint="eastAsia" w:ascii="方正仿宋_GBK" w:hAnsi="方正仿宋_GBK" w:eastAsia="方正仿宋_GBK" w:cs="方正仿宋_GBK"/>
          <w:sz w:val="32"/>
          <w:szCs w:val="32"/>
        </w:rPr>
        <w:t>管网中心承担的重点工作任务14项，对标工作任务时间节点，截</w:t>
      </w:r>
      <w:r>
        <w:rPr>
          <w:rFonts w:hint="eastAsia" w:ascii="方正仿宋_GBK" w:hAnsi="方正仿宋_GBK" w:eastAsia="方正仿宋_GBK" w:cs="方正仿宋_GBK"/>
          <w:sz w:val="32"/>
          <w:szCs w:val="32"/>
          <w:lang w:eastAsia="zh-CN"/>
        </w:rPr>
        <w:t>至</w:t>
      </w:r>
      <w:bookmarkStart w:id="7" w:name="_GoBack"/>
      <w:bookmarkEnd w:id="7"/>
      <w:r>
        <w:rPr>
          <w:rFonts w:hint="eastAsia" w:ascii="方正仿宋_GBK" w:hAnsi="方正仿宋_GBK" w:eastAsia="方正仿宋_GBK" w:cs="方正仿宋_GBK"/>
          <w:sz w:val="32"/>
          <w:szCs w:val="32"/>
        </w:rPr>
        <w:t>目前，完成5项。排水管网整治工程（秀湖公园片区）。施工单位已于10月份进场施工。城市排水防涝工作。对高新区、服务业发展区及15个镇街印发了</w:t>
      </w:r>
      <w:r>
        <w:rPr>
          <w:rFonts w:hint="eastAsia" w:eastAsia="方正仿宋_GBK"/>
          <w:sz w:val="32"/>
          <w:szCs w:val="32"/>
        </w:rPr>
        <w:t>《关于收集城镇易涝点情况的通知》、《关于做好2022年城市排水防涝工作的通知》等文件。</w:t>
      </w:r>
      <w:r>
        <w:rPr>
          <w:rFonts w:hint="eastAsia" w:ascii="方正仿宋_GBK" w:eastAsia="方正仿宋_GBK"/>
          <w:sz w:val="32"/>
          <w:szCs w:val="32"/>
        </w:rPr>
        <w:t>组织各镇街及相关部门开展了全区2022年城市排水防涝实战演练。</w:t>
      </w:r>
      <w:r>
        <w:rPr>
          <w:rFonts w:hint="eastAsia" w:eastAsia="方正仿宋_GBK"/>
          <w:sz w:val="32"/>
          <w:szCs w:val="32"/>
        </w:rPr>
        <w:t>组织人员对城区易涝点水篦子和管网等进行了清掏，保障排水通畅，成功应对今年汛期的多次强降雨。</w:t>
      </w:r>
      <w:r>
        <w:rPr>
          <w:rFonts w:hint="eastAsia" w:ascii="方正仿宋_GBK" w:eastAsia="方正仿宋_GBK"/>
          <w:sz w:val="32"/>
          <w:szCs w:val="32"/>
        </w:rPr>
        <w:t>《“十四五”排水专项规划》、《</w:t>
      </w:r>
      <w:r>
        <w:rPr>
          <w:rFonts w:hint="eastAsia" w:ascii="方正仿宋_GBK" w:hAnsi="方正仿宋_GBK" w:eastAsia="方正仿宋_GBK" w:cs="方正仿宋_GBK"/>
          <w:sz w:val="32"/>
          <w:szCs w:val="32"/>
        </w:rPr>
        <w:t>再生水利用系统</w:t>
      </w:r>
      <w:r>
        <w:rPr>
          <w:rFonts w:hint="eastAsia" w:ascii="方正仿宋_GBK" w:eastAsia="方正仿宋_GBK"/>
          <w:sz w:val="32"/>
          <w:szCs w:val="32"/>
        </w:rPr>
        <w:t>》、《</w:t>
      </w:r>
      <w:r>
        <w:rPr>
          <w:rFonts w:hint="eastAsia" w:ascii="方正仿宋_GBK" w:hAnsi="方正仿宋_GBK" w:eastAsia="方正仿宋_GBK" w:cs="方正仿宋_GBK"/>
          <w:sz w:val="32"/>
          <w:szCs w:val="32"/>
        </w:rPr>
        <w:t>城市内涝治理等专项方案</w:t>
      </w:r>
      <w:r>
        <w:rPr>
          <w:rFonts w:hint="eastAsia" w:ascii="方正仿宋_GBK" w:eastAsia="方正仿宋_GBK"/>
          <w:sz w:val="32"/>
          <w:szCs w:val="32"/>
        </w:rPr>
        <w:t>》编制工作。</w:t>
      </w:r>
      <w:r>
        <w:rPr>
          <w:rFonts w:hint="eastAsia" w:ascii="方正仿宋_GBK" w:hAnsi="方正仿宋_GBK" w:eastAsia="方正仿宋_GBK" w:cs="方正仿宋_GBK"/>
          <w:sz w:val="32"/>
          <w:szCs w:val="32"/>
        </w:rPr>
        <w:t>《“十四五”排水专项规划》已组织专家完成了验收，现已报区府。《璧山区再生水利用系统专项规划》、《城市内涝治理系统化实施方案》编制工作已组织相关单位进行了意见的收集和修改。渗滤液调节池扩建项目。该项目已于5月底完工并投入使用。开展排水户监督性监测工作。已完成了检测单位的采购</w:t>
      </w:r>
      <w:r>
        <w:rPr>
          <w:rFonts w:hint="eastAsia" w:eastAsia="方正仿宋_GBK"/>
          <w:sz w:val="32"/>
          <w:szCs w:val="32"/>
        </w:rPr>
        <w:t>。</w:t>
      </w:r>
    </w:p>
    <w:p>
      <w:pPr>
        <w:spacing w:line="596" w:lineRule="exact"/>
        <w:ind w:firstLine="640" w:firstLineChars="200"/>
        <w:outlineLvl w:val="0"/>
        <w:rPr>
          <w:rFonts w:eastAsia="方正黑体_GBK"/>
          <w:sz w:val="32"/>
          <w:szCs w:val="32"/>
        </w:rPr>
      </w:pPr>
      <w:r>
        <w:rPr>
          <w:rFonts w:hint="eastAsia" w:eastAsia="方正黑体_GBK"/>
          <w:sz w:val="32"/>
          <w:szCs w:val="32"/>
        </w:rPr>
        <w:t>三、绩效</w:t>
      </w:r>
      <w:r>
        <w:rPr>
          <w:rFonts w:eastAsia="方正黑体_GBK"/>
          <w:sz w:val="32"/>
          <w:szCs w:val="32"/>
        </w:rPr>
        <w:t>评价情况及结论</w:t>
      </w:r>
      <w:bookmarkEnd w:id="4"/>
    </w:p>
    <w:p>
      <w:pPr>
        <w:spacing w:line="596" w:lineRule="exact"/>
        <w:ind w:firstLine="640" w:firstLineChars="200"/>
        <w:rPr>
          <w:rFonts w:eastAsia="方正仿宋_GBK"/>
          <w:sz w:val="32"/>
          <w:szCs w:val="32"/>
        </w:rPr>
      </w:pPr>
      <w:r>
        <w:rPr>
          <w:rFonts w:hint="eastAsia" w:eastAsia="方正仿宋_GBK"/>
          <w:sz w:val="32"/>
          <w:szCs w:val="32"/>
        </w:rPr>
        <w:t>根据《</w:t>
      </w:r>
      <w:r>
        <w:rPr>
          <w:rFonts w:hint="eastAsia" w:ascii="方正仿宋_GBK" w:hAnsi="方正仿宋_GBK" w:eastAsia="方正仿宋_GBK" w:cs="方正仿宋_GBK"/>
          <w:sz w:val="32"/>
          <w:szCs w:val="32"/>
        </w:rPr>
        <w:t>重庆市璧山区管网运维服务中心</w:t>
      </w:r>
      <w:r>
        <w:rPr>
          <w:rFonts w:hint="eastAsia" w:eastAsia="方正仿宋_GBK"/>
          <w:sz w:val="32"/>
          <w:szCs w:val="32"/>
        </w:rPr>
        <w:t>2022年度部门整体支出绩效自评表》中的指标体系分析情况，</w:t>
      </w:r>
      <w:r>
        <w:rPr>
          <w:rFonts w:hint="eastAsia" w:ascii="方正仿宋_GBK" w:hAnsi="方正仿宋_GBK" w:eastAsia="方正仿宋_GBK" w:cs="方正仿宋_GBK"/>
          <w:sz w:val="32"/>
          <w:szCs w:val="32"/>
        </w:rPr>
        <w:t>重庆市璧山区管网运维服务中心</w:t>
      </w:r>
      <w:r>
        <w:rPr>
          <w:rFonts w:hint="eastAsia" w:eastAsia="方正仿宋_GBK"/>
          <w:sz w:val="32"/>
          <w:szCs w:val="32"/>
        </w:rPr>
        <w:t>2022年度部门整体支出绩效自评总得分99.25分，等级为“优”。具体得分情况如表1所示。</w:t>
      </w:r>
    </w:p>
    <w:p>
      <w:pPr>
        <w:widowControl/>
        <w:shd w:val="clear" w:color="auto" w:fill="FFFFFF"/>
        <w:adjustRightInd w:val="0"/>
        <w:snapToGrid w:val="0"/>
        <w:spacing w:line="600" w:lineRule="exact"/>
        <w:ind w:firstLine="560" w:firstLineChars="200"/>
        <w:jc w:val="center"/>
        <w:rPr>
          <w:rFonts w:eastAsia="方正仿宋_GBK" w:cs="方正仿宋_GBK"/>
          <w:kern w:val="0"/>
          <w:sz w:val="28"/>
          <w:szCs w:val="28"/>
          <w:shd w:val="clear" w:color="auto" w:fill="FFFFFF"/>
        </w:rPr>
      </w:pPr>
      <w:r>
        <w:rPr>
          <w:rFonts w:hint="eastAsia" w:eastAsia="方正仿宋_GBK" w:cs="方正仿宋_GBK"/>
          <w:kern w:val="0"/>
          <w:sz w:val="28"/>
          <w:szCs w:val="28"/>
          <w:shd w:val="clear" w:color="auto" w:fill="FFFFFF"/>
        </w:rPr>
        <w:t>表 1：指标得分情况</w:t>
      </w:r>
    </w:p>
    <w:tbl>
      <w:tblPr>
        <w:tblStyle w:val="11"/>
        <w:tblW w:w="8095" w:type="dxa"/>
        <w:jc w:val="center"/>
        <w:tblInd w:w="0" w:type="dxa"/>
        <w:tblLayout w:type="fixed"/>
        <w:tblCellMar>
          <w:top w:w="0" w:type="dxa"/>
          <w:left w:w="108" w:type="dxa"/>
          <w:bottom w:w="0" w:type="dxa"/>
          <w:right w:w="108" w:type="dxa"/>
        </w:tblCellMar>
      </w:tblPr>
      <w:tblGrid>
        <w:gridCol w:w="3821"/>
        <w:gridCol w:w="1358"/>
        <w:gridCol w:w="1457"/>
        <w:gridCol w:w="1459"/>
      </w:tblGrid>
      <w:tr>
        <w:tblPrEx>
          <w:tblLayout w:type="fixed"/>
          <w:tblCellMar>
            <w:top w:w="0" w:type="dxa"/>
            <w:left w:w="108" w:type="dxa"/>
            <w:bottom w:w="0" w:type="dxa"/>
            <w:right w:w="108" w:type="dxa"/>
          </w:tblCellMar>
        </w:tblPrEx>
        <w:trPr>
          <w:trHeight w:val="462" w:hRule="atLeast"/>
          <w:jc w:val="center"/>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sz w:val="24"/>
              </w:rPr>
            </w:pPr>
            <w:r>
              <w:rPr>
                <w:rFonts w:hint="eastAsia" w:eastAsia="方正仿宋_GBK" w:cs="方正仿宋_GBK"/>
                <w:kern w:val="0"/>
                <w:sz w:val="24"/>
                <w:lang w:bidi="ar"/>
              </w:rPr>
              <w:t>指标名称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sz w:val="24"/>
              </w:rPr>
            </w:pPr>
            <w:r>
              <w:rPr>
                <w:rFonts w:hint="eastAsia" w:eastAsia="方正仿宋_GBK" w:cs="方正仿宋_GBK"/>
                <w:kern w:val="0"/>
                <w:sz w:val="24"/>
                <w:lang w:bidi="ar"/>
              </w:rPr>
              <w:t>权重</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sz w:val="24"/>
              </w:rPr>
            </w:pPr>
            <w:r>
              <w:rPr>
                <w:rFonts w:hint="eastAsia" w:eastAsia="方正仿宋_GBK" w:cs="方正仿宋_GBK"/>
                <w:kern w:val="0"/>
                <w:sz w:val="24"/>
                <w:lang w:bidi="ar"/>
              </w:rPr>
              <w:t>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得分率</w:t>
            </w:r>
          </w:p>
        </w:tc>
      </w:tr>
      <w:tr>
        <w:tblPrEx>
          <w:tblLayout w:type="fixed"/>
          <w:tblCellMar>
            <w:top w:w="0" w:type="dxa"/>
            <w:left w:w="108" w:type="dxa"/>
            <w:bottom w:w="0" w:type="dxa"/>
            <w:right w:w="108" w:type="dxa"/>
          </w:tblCellMar>
        </w:tblPrEx>
        <w:trPr>
          <w:trHeight w:val="456" w:hRule="atLeast"/>
          <w:jc w:val="center"/>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s="方正仿宋_GBK"/>
                <w:kern w:val="0"/>
                <w:sz w:val="24"/>
                <w:lang w:bidi="ar"/>
              </w:rPr>
            </w:pPr>
            <w:r>
              <w:rPr>
                <w:rFonts w:hint="eastAsia" w:eastAsia="方正仿宋_GBK" w:cs="方正仿宋_GBK"/>
                <w:kern w:val="0"/>
                <w:sz w:val="24"/>
                <w:lang w:bidi="ar"/>
              </w:rPr>
              <w:t>预算执行率</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100%</w:t>
            </w:r>
          </w:p>
        </w:tc>
      </w:tr>
      <w:tr>
        <w:tblPrEx>
          <w:tblLayout w:type="fixed"/>
          <w:tblCellMar>
            <w:top w:w="0" w:type="dxa"/>
            <w:left w:w="108" w:type="dxa"/>
            <w:bottom w:w="0" w:type="dxa"/>
            <w:right w:w="108" w:type="dxa"/>
          </w:tblCellMar>
        </w:tblPrEx>
        <w:trPr>
          <w:trHeight w:val="456" w:hRule="atLeast"/>
          <w:jc w:val="center"/>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s="方正仿宋_GBK"/>
                <w:kern w:val="0"/>
                <w:sz w:val="24"/>
                <w:lang w:bidi="ar"/>
              </w:rPr>
            </w:pPr>
            <w:r>
              <w:rPr>
                <w:rFonts w:hint="eastAsia" w:eastAsia="方正仿宋_GBK" w:cs="方正仿宋_GBK"/>
                <w:kern w:val="0"/>
                <w:sz w:val="24"/>
                <w:lang w:bidi="ar"/>
              </w:rPr>
              <w:t>预决算公开率（涉秘信息除外）</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100%</w:t>
            </w:r>
          </w:p>
        </w:tc>
      </w:tr>
      <w:tr>
        <w:tblPrEx>
          <w:tblLayout w:type="fixed"/>
          <w:tblCellMar>
            <w:top w:w="0" w:type="dxa"/>
            <w:left w:w="108" w:type="dxa"/>
            <w:bottom w:w="0" w:type="dxa"/>
            <w:right w:w="108" w:type="dxa"/>
          </w:tblCellMar>
        </w:tblPrEx>
        <w:trPr>
          <w:trHeight w:val="456" w:hRule="atLeast"/>
          <w:jc w:val="center"/>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s="方正仿宋_GBK"/>
                <w:kern w:val="0"/>
                <w:sz w:val="24"/>
                <w:lang w:bidi="ar"/>
              </w:rPr>
            </w:pPr>
            <w:r>
              <w:rPr>
                <w:rFonts w:hint="eastAsia" w:eastAsia="方正仿宋_GBK" w:cs="方正仿宋_GBK"/>
                <w:kern w:val="0"/>
                <w:sz w:val="24"/>
                <w:lang w:bidi="ar"/>
              </w:rPr>
              <w:t>污泥无害化处置总量</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30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100%</w:t>
            </w:r>
          </w:p>
        </w:tc>
      </w:tr>
      <w:tr>
        <w:tblPrEx>
          <w:tblLayout w:type="fixed"/>
          <w:tblCellMar>
            <w:top w:w="0" w:type="dxa"/>
            <w:left w:w="108" w:type="dxa"/>
            <w:bottom w:w="0" w:type="dxa"/>
            <w:right w:w="108" w:type="dxa"/>
          </w:tblCellMar>
        </w:tblPrEx>
        <w:trPr>
          <w:trHeight w:val="911" w:hRule="atLeast"/>
          <w:jc w:val="center"/>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s="方正仿宋_GBK"/>
                <w:kern w:val="0"/>
                <w:sz w:val="24"/>
                <w:lang w:bidi="ar"/>
              </w:rPr>
            </w:pPr>
            <w:r>
              <w:rPr>
                <w:rFonts w:hint="eastAsia" w:eastAsia="方正仿宋_GBK" w:cs="方正仿宋_GBK"/>
                <w:kern w:val="0"/>
                <w:sz w:val="24"/>
                <w:lang w:bidi="ar"/>
              </w:rPr>
              <w:t>太和生活垃圾填埋场渗滤液浓缩液处理总量</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100%</w:t>
            </w:r>
          </w:p>
        </w:tc>
      </w:tr>
      <w:tr>
        <w:tblPrEx>
          <w:tblLayout w:type="fixed"/>
          <w:tblCellMar>
            <w:top w:w="0" w:type="dxa"/>
            <w:left w:w="108" w:type="dxa"/>
            <w:bottom w:w="0" w:type="dxa"/>
            <w:right w:w="108" w:type="dxa"/>
          </w:tblCellMar>
        </w:tblPrEx>
        <w:trPr>
          <w:trHeight w:val="456" w:hRule="atLeast"/>
          <w:jc w:val="center"/>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s="方正仿宋_GBK"/>
                <w:kern w:val="0"/>
                <w:sz w:val="24"/>
                <w:lang w:bidi="ar"/>
              </w:rPr>
            </w:pPr>
            <w:r>
              <w:rPr>
                <w:rFonts w:hint="eastAsia" w:eastAsia="方正仿宋_GBK" w:cs="方正仿宋_GBK"/>
                <w:kern w:val="0"/>
                <w:sz w:val="24"/>
                <w:lang w:bidi="ar"/>
              </w:rPr>
              <w:t>太和生活垃圾填埋场MVR蒸发器处理渗滤液浓缩液总量</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100%</w:t>
            </w:r>
          </w:p>
        </w:tc>
      </w:tr>
      <w:tr>
        <w:tblPrEx>
          <w:tblLayout w:type="fixed"/>
          <w:tblCellMar>
            <w:top w:w="0" w:type="dxa"/>
            <w:left w:w="108" w:type="dxa"/>
            <w:bottom w:w="0" w:type="dxa"/>
            <w:right w:w="108" w:type="dxa"/>
          </w:tblCellMar>
        </w:tblPrEx>
        <w:trPr>
          <w:trHeight w:val="456" w:hRule="atLeast"/>
          <w:jc w:val="center"/>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s="方正仿宋_GBK"/>
                <w:kern w:val="0"/>
                <w:sz w:val="24"/>
                <w:lang w:bidi="ar"/>
              </w:rPr>
            </w:pPr>
            <w:r>
              <w:rPr>
                <w:rFonts w:hint="eastAsia" w:eastAsia="方正仿宋_GBK" w:cs="方正仿宋_GBK"/>
                <w:kern w:val="0"/>
                <w:sz w:val="24"/>
                <w:lang w:bidi="ar"/>
              </w:rPr>
              <w:t>璧山区排水许可颁证委托办理户数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15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15</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100%</w:t>
            </w:r>
          </w:p>
        </w:tc>
      </w:tr>
      <w:tr>
        <w:tblPrEx>
          <w:tblLayout w:type="fixed"/>
          <w:tblCellMar>
            <w:top w:w="0" w:type="dxa"/>
            <w:left w:w="108" w:type="dxa"/>
            <w:bottom w:w="0" w:type="dxa"/>
            <w:right w:w="108" w:type="dxa"/>
          </w:tblCellMar>
        </w:tblPrEx>
        <w:trPr>
          <w:trHeight w:val="456" w:hRule="atLeast"/>
          <w:jc w:val="center"/>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s="方正仿宋_GBK"/>
                <w:kern w:val="0"/>
                <w:sz w:val="24"/>
                <w:lang w:bidi="ar"/>
              </w:rPr>
            </w:pPr>
            <w:r>
              <w:rPr>
                <w:rFonts w:hint="eastAsia" w:eastAsia="方正仿宋_GBK" w:cs="方正仿宋_GBK"/>
                <w:kern w:val="0"/>
                <w:sz w:val="24"/>
                <w:lang w:bidi="ar"/>
              </w:rPr>
              <w:t>璧山区排水管网档案信息化管理完成量</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100%</w:t>
            </w:r>
          </w:p>
        </w:tc>
      </w:tr>
      <w:tr>
        <w:tblPrEx>
          <w:tblLayout w:type="fixed"/>
          <w:tblCellMar>
            <w:top w:w="0" w:type="dxa"/>
            <w:left w:w="108" w:type="dxa"/>
            <w:bottom w:w="0" w:type="dxa"/>
            <w:right w:w="108" w:type="dxa"/>
          </w:tblCellMar>
        </w:tblPrEx>
        <w:trPr>
          <w:trHeight w:val="456" w:hRule="atLeast"/>
          <w:jc w:val="center"/>
        </w:trPr>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s="方正仿宋_GBK"/>
                <w:kern w:val="0"/>
                <w:sz w:val="24"/>
                <w:lang w:bidi="ar"/>
              </w:rPr>
            </w:pPr>
            <w:r>
              <w:rPr>
                <w:rFonts w:hint="eastAsia" w:eastAsia="方正仿宋_GBK" w:cs="方正仿宋_GBK"/>
                <w:kern w:val="0"/>
                <w:sz w:val="24"/>
                <w:lang w:bidi="ar"/>
              </w:rPr>
              <w:t>提高工作管理水平</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4.25</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85%</w:t>
            </w:r>
          </w:p>
        </w:tc>
      </w:tr>
    </w:tbl>
    <w:p>
      <w:pPr>
        <w:spacing w:line="596" w:lineRule="exact"/>
        <w:ind w:firstLine="640" w:firstLineChars="200"/>
        <w:rPr>
          <w:rFonts w:eastAsia="方正仿宋_GBK"/>
          <w:sz w:val="32"/>
          <w:szCs w:val="32"/>
        </w:rPr>
      </w:pPr>
      <w:r>
        <w:rPr>
          <w:rFonts w:hint="eastAsia" w:eastAsia="方正仿宋_GBK"/>
          <w:sz w:val="32"/>
          <w:szCs w:val="32"/>
        </w:rPr>
        <w:t>1、预算执行率分析</w:t>
      </w:r>
    </w:p>
    <w:p>
      <w:pPr>
        <w:widowControl/>
        <w:shd w:val="clear" w:color="auto" w:fill="FFFFFF"/>
        <w:adjustRightInd w:val="0"/>
        <w:snapToGrid w:val="0"/>
        <w:spacing w:line="560" w:lineRule="exact"/>
        <w:ind w:firstLine="640" w:firstLineChars="200"/>
        <w:rPr>
          <w:rFonts w:eastAsia="方正仿宋_GBK"/>
          <w:sz w:val="32"/>
          <w:szCs w:val="32"/>
        </w:rPr>
      </w:pPr>
      <w:r>
        <w:rPr>
          <w:rFonts w:hint="eastAsia" w:hAnsi="方正仿宋_GBK" w:eastAsia="方正仿宋_GBK" w:cs="方正仿宋_GBK"/>
          <w:sz w:val="32"/>
          <w:szCs w:val="32"/>
          <w:lang w:bidi="ar"/>
        </w:rPr>
        <w:t>年初预算数为14509.71万元，全年调整数为8782.29万元，预算执行数为8782.29万元，预算执行率为100%。根据评价标准，该指标得</w:t>
      </w:r>
      <w:r>
        <w:rPr>
          <w:rFonts w:hAnsi="方正仿宋_GBK" w:eastAsia="方正仿宋_GBK" w:cs="方正仿宋_GBK"/>
          <w:sz w:val="32"/>
          <w:szCs w:val="32"/>
          <w:lang w:bidi="ar"/>
        </w:rPr>
        <w:t>100</w:t>
      </w:r>
      <w:r>
        <w:rPr>
          <w:rFonts w:hint="eastAsia" w:hAnsi="方正仿宋_GBK" w:eastAsia="方正仿宋_GBK" w:cs="方正仿宋_GBK"/>
          <w:sz w:val="32"/>
          <w:szCs w:val="32"/>
          <w:lang w:bidi="ar"/>
        </w:rPr>
        <w:t>%权重分。</w:t>
      </w:r>
    </w:p>
    <w:p>
      <w:pPr>
        <w:spacing w:line="596" w:lineRule="exact"/>
        <w:ind w:firstLine="640" w:firstLineChars="200"/>
        <w:rPr>
          <w:rFonts w:eastAsia="方正仿宋_GBK"/>
          <w:sz w:val="32"/>
          <w:szCs w:val="32"/>
        </w:rPr>
      </w:pPr>
      <w:r>
        <w:rPr>
          <w:rFonts w:hint="eastAsia" w:eastAsia="方正仿宋_GBK"/>
          <w:sz w:val="32"/>
          <w:szCs w:val="32"/>
        </w:rPr>
        <w:t>2、预决算公开率（涉秘信息除外）分析</w:t>
      </w:r>
    </w:p>
    <w:p>
      <w:pPr>
        <w:spacing w:line="596" w:lineRule="exact"/>
        <w:ind w:firstLine="640" w:firstLineChars="200"/>
        <w:rPr>
          <w:rFonts w:eastAsia="方正仿宋_GBK"/>
          <w:sz w:val="32"/>
          <w:szCs w:val="32"/>
        </w:rPr>
      </w:pPr>
      <w:r>
        <w:rPr>
          <w:rFonts w:hint="eastAsia" w:eastAsia="方正仿宋_GBK"/>
          <w:sz w:val="32"/>
          <w:szCs w:val="32"/>
        </w:rPr>
        <w:t>按照相关文件规定，单位预决算信息需严格按照要求进行公开，2022年单位按时完成了预决算公开，财政资金使用情况公开透明。根据评价标准，该指标得100%权重分。</w:t>
      </w:r>
    </w:p>
    <w:p>
      <w:pPr>
        <w:widowControl/>
        <w:shd w:val="clear" w:color="auto" w:fill="FFFFFF"/>
        <w:adjustRightInd w:val="0"/>
        <w:snapToGrid w:val="0"/>
        <w:spacing w:line="560" w:lineRule="exact"/>
        <w:ind w:firstLine="640" w:firstLineChars="200"/>
        <w:rPr>
          <w:rFonts w:eastAsia="方正仿宋_GBK"/>
          <w:sz w:val="32"/>
          <w:szCs w:val="32"/>
          <w:lang w:bidi="ar"/>
        </w:rPr>
      </w:pPr>
      <w:r>
        <w:rPr>
          <w:rFonts w:hint="eastAsia" w:eastAsia="方正仿宋_GBK"/>
          <w:sz w:val="32"/>
          <w:szCs w:val="32"/>
          <w:lang w:bidi="ar"/>
        </w:rPr>
        <w:t>3、污泥无害化处置总量分析</w:t>
      </w:r>
    </w:p>
    <w:p>
      <w:pPr>
        <w:widowControl/>
        <w:shd w:val="clear" w:color="auto" w:fill="FFFFFF"/>
        <w:adjustRightInd w:val="0"/>
        <w:snapToGrid w:val="0"/>
        <w:spacing w:line="560" w:lineRule="exact"/>
        <w:ind w:firstLine="640" w:firstLineChars="200"/>
        <w:rPr>
          <w:rFonts w:eastAsia="方正仿宋_GBK"/>
          <w:sz w:val="32"/>
          <w:szCs w:val="32"/>
          <w:lang w:bidi="ar"/>
        </w:rPr>
      </w:pPr>
      <w:r>
        <w:rPr>
          <w:rFonts w:hint="eastAsia" w:eastAsia="方正仿宋_GBK"/>
          <w:sz w:val="32"/>
          <w:szCs w:val="32"/>
          <w:lang w:bidi="ar"/>
        </w:rPr>
        <w:t>污泥无害化处置总量年初指标值为不少于44000吨，全年完成值为44000吨，完成目标值。根据评价标准，该指标得100%权重分。</w:t>
      </w:r>
    </w:p>
    <w:p>
      <w:pPr>
        <w:widowControl/>
        <w:shd w:val="clear" w:color="auto" w:fill="FFFFFF"/>
        <w:adjustRightInd w:val="0"/>
        <w:snapToGrid w:val="0"/>
        <w:spacing w:line="560" w:lineRule="exact"/>
        <w:ind w:firstLine="640" w:firstLineChars="200"/>
        <w:rPr>
          <w:rFonts w:eastAsia="方正仿宋_GBK"/>
          <w:sz w:val="32"/>
          <w:szCs w:val="32"/>
          <w:lang w:bidi="ar"/>
        </w:rPr>
      </w:pPr>
      <w:r>
        <w:rPr>
          <w:rFonts w:hint="eastAsia" w:eastAsia="方正仿宋_GBK"/>
          <w:sz w:val="32"/>
          <w:szCs w:val="32"/>
          <w:lang w:bidi="ar"/>
        </w:rPr>
        <w:t>4、太和生活垃圾填埋场渗滤液浓缩液处理总量分析</w:t>
      </w:r>
    </w:p>
    <w:p>
      <w:pPr>
        <w:widowControl/>
        <w:shd w:val="clear" w:color="auto" w:fill="FFFFFF"/>
        <w:adjustRightInd w:val="0"/>
        <w:snapToGrid w:val="0"/>
        <w:spacing w:line="560" w:lineRule="exact"/>
        <w:ind w:firstLine="640" w:firstLineChars="200"/>
        <w:rPr>
          <w:rFonts w:eastAsia="方正仿宋_GBK"/>
          <w:sz w:val="32"/>
          <w:szCs w:val="32"/>
          <w:lang w:bidi="ar"/>
        </w:rPr>
      </w:pPr>
      <w:r>
        <w:rPr>
          <w:rFonts w:hint="eastAsia" w:eastAsia="方正仿宋_GBK"/>
          <w:sz w:val="32"/>
          <w:szCs w:val="32"/>
          <w:lang w:bidi="ar"/>
        </w:rPr>
        <w:t>太和生活垃圾填埋场渗滤液浓缩液处理总量年初指标值为不少于120000吨，全年完成值为120000吨，完成目标值。根据评价标准，该指标得100%权重分。</w:t>
      </w:r>
    </w:p>
    <w:p>
      <w:pPr>
        <w:spacing w:line="596" w:lineRule="exact"/>
        <w:ind w:firstLine="640" w:firstLineChars="200"/>
        <w:rPr>
          <w:rFonts w:eastAsia="方正仿宋_GBK"/>
          <w:sz w:val="32"/>
          <w:szCs w:val="32"/>
        </w:rPr>
      </w:pPr>
      <w:r>
        <w:rPr>
          <w:rFonts w:hint="eastAsia" w:eastAsia="方正仿宋_GBK"/>
          <w:sz w:val="32"/>
          <w:szCs w:val="32"/>
        </w:rPr>
        <w:t>5、太和生活垃圾填埋场MVR蒸发器处理渗滤液浓缩液总量分析</w:t>
      </w:r>
    </w:p>
    <w:p>
      <w:pPr>
        <w:widowControl/>
        <w:shd w:val="clear" w:color="auto" w:fill="FFFFFF"/>
        <w:adjustRightInd w:val="0"/>
        <w:snapToGrid w:val="0"/>
        <w:spacing w:line="560" w:lineRule="exact"/>
        <w:ind w:firstLine="640" w:firstLineChars="200"/>
        <w:rPr>
          <w:rFonts w:eastAsia="方正仿宋_GBK"/>
          <w:sz w:val="32"/>
          <w:szCs w:val="32"/>
          <w:lang w:bidi="ar"/>
        </w:rPr>
      </w:pPr>
      <w:r>
        <w:rPr>
          <w:rFonts w:hint="eastAsia" w:eastAsia="方正仿宋_GBK"/>
          <w:sz w:val="32"/>
          <w:szCs w:val="32"/>
        </w:rPr>
        <w:t>太和生活垃圾填埋场MVR蒸发器处理渗滤液浓缩液总量</w:t>
      </w:r>
      <w:r>
        <w:rPr>
          <w:rFonts w:hint="eastAsia" w:eastAsia="方正仿宋_GBK"/>
          <w:sz w:val="32"/>
          <w:szCs w:val="32"/>
          <w:lang w:bidi="ar"/>
        </w:rPr>
        <w:t>年初指标值为不少于60000吨，全年完成值为60000吨，完成目标值。根据评价标准，该指标得100%权重分。</w:t>
      </w:r>
    </w:p>
    <w:p>
      <w:pPr>
        <w:widowControl/>
        <w:shd w:val="clear" w:color="auto" w:fill="FFFFFF"/>
        <w:adjustRightInd w:val="0"/>
        <w:snapToGrid w:val="0"/>
        <w:spacing w:line="560" w:lineRule="exact"/>
        <w:ind w:firstLine="640" w:firstLineChars="200"/>
        <w:rPr>
          <w:rFonts w:eastAsia="方正仿宋_GBK"/>
          <w:sz w:val="32"/>
          <w:szCs w:val="32"/>
          <w:lang w:bidi="ar"/>
        </w:rPr>
      </w:pPr>
      <w:r>
        <w:rPr>
          <w:rFonts w:hint="eastAsia" w:eastAsia="方正仿宋_GBK"/>
          <w:sz w:val="32"/>
          <w:szCs w:val="32"/>
          <w:lang w:bidi="ar"/>
        </w:rPr>
        <w:t>6、璧山区排水许可颁证委托办理户数分析</w:t>
      </w:r>
    </w:p>
    <w:p>
      <w:pPr>
        <w:widowControl/>
        <w:shd w:val="clear" w:color="auto" w:fill="FFFFFF"/>
        <w:adjustRightInd w:val="0"/>
        <w:snapToGrid w:val="0"/>
        <w:spacing w:line="560" w:lineRule="exact"/>
        <w:ind w:firstLine="640" w:firstLineChars="200"/>
        <w:rPr>
          <w:rFonts w:eastAsia="方正仿宋_GBK"/>
          <w:sz w:val="32"/>
          <w:szCs w:val="32"/>
          <w:lang w:bidi="ar"/>
        </w:rPr>
      </w:pPr>
      <w:r>
        <w:rPr>
          <w:rFonts w:hint="eastAsia" w:eastAsia="方正仿宋_GBK"/>
          <w:sz w:val="32"/>
          <w:szCs w:val="32"/>
          <w:lang w:bidi="ar"/>
        </w:rPr>
        <w:t>璧山区排水许可颁证委托办理户数年初指标值为不少于32500户，全年完成值为32500户，完成目标值。根据评价标准，该指标得100%权重分。</w:t>
      </w:r>
    </w:p>
    <w:p>
      <w:pPr>
        <w:widowControl/>
        <w:shd w:val="clear" w:color="auto" w:fill="FFFFFF"/>
        <w:adjustRightInd w:val="0"/>
        <w:snapToGrid w:val="0"/>
        <w:spacing w:line="560" w:lineRule="exact"/>
        <w:ind w:firstLine="640" w:firstLineChars="200"/>
        <w:rPr>
          <w:rFonts w:eastAsia="方正仿宋_GBK"/>
          <w:sz w:val="32"/>
          <w:szCs w:val="32"/>
          <w:lang w:bidi="ar"/>
        </w:rPr>
      </w:pPr>
      <w:r>
        <w:rPr>
          <w:rFonts w:hint="eastAsia" w:eastAsia="方正仿宋_GBK"/>
          <w:sz w:val="32"/>
          <w:szCs w:val="32"/>
          <w:lang w:bidi="ar"/>
        </w:rPr>
        <w:t>7、璧山区排水管网档案信息化管理完成量分析</w:t>
      </w:r>
    </w:p>
    <w:p>
      <w:pPr>
        <w:widowControl/>
        <w:shd w:val="clear" w:color="auto" w:fill="FFFFFF"/>
        <w:adjustRightInd w:val="0"/>
        <w:snapToGrid w:val="0"/>
        <w:spacing w:line="560" w:lineRule="exact"/>
        <w:ind w:firstLine="640" w:firstLineChars="200"/>
        <w:rPr>
          <w:rFonts w:eastAsia="方正仿宋_GBK"/>
          <w:sz w:val="32"/>
          <w:szCs w:val="32"/>
          <w:lang w:bidi="ar"/>
        </w:rPr>
      </w:pPr>
      <w:r>
        <w:rPr>
          <w:rFonts w:hint="eastAsia" w:eastAsia="方正仿宋_GBK"/>
          <w:sz w:val="32"/>
          <w:szCs w:val="32"/>
          <w:lang w:bidi="ar"/>
        </w:rPr>
        <w:t>璧山区排水管网档案信息化管理完成量年初指标值为不少于840公里，全年完成值为840公里，完成目标值。根据评价标准，该指标得100%权重分。</w:t>
      </w:r>
    </w:p>
    <w:p>
      <w:pPr>
        <w:widowControl/>
        <w:shd w:val="clear" w:color="auto" w:fill="FFFFFF"/>
        <w:adjustRightInd w:val="0"/>
        <w:snapToGrid w:val="0"/>
        <w:spacing w:line="560" w:lineRule="exact"/>
        <w:ind w:firstLine="640" w:firstLineChars="200"/>
        <w:rPr>
          <w:rFonts w:eastAsia="方正仿宋_GBK"/>
          <w:sz w:val="32"/>
          <w:szCs w:val="32"/>
          <w:lang w:bidi="ar"/>
        </w:rPr>
      </w:pPr>
      <w:r>
        <w:rPr>
          <w:rFonts w:hint="eastAsia" w:eastAsia="方正仿宋_GBK"/>
          <w:sz w:val="32"/>
          <w:szCs w:val="32"/>
          <w:lang w:bidi="ar"/>
        </w:rPr>
        <w:t>8、提高工作管理水平分析</w:t>
      </w:r>
    </w:p>
    <w:p>
      <w:pPr>
        <w:widowControl/>
        <w:shd w:val="clear" w:color="auto" w:fill="FFFFFF"/>
        <w:adjustRightInd w:val="0"/>
        <w:snapToGrid w:val="0"/>
        <w:spacing w:line="560" w:lineRule="exact"/>
        <w:ind w:firstLine="640" w:firstLineChars="200"/>
        <w:rPr>
          <w:rFonts w:eastAsia="方正仿宋_GBK"/>
          <w:sz w:val="32"/>
          <w:szCs w:val="32"/>
          <w:lang w:bidi="ar"/>
        </w:rPr>
      </w:pPr>
      <w:r>
        <w:rPr>
          <w:rFonts w:hint="eastAsia" w:eastAsia="方正仿宋_GBK"/>
          <w:sz w:val="32"/>
          <w:szCs w:val="32"/>
          <w:lang w:bidi="ar"/>
        </w:rPr>
        <w:t>对薄弱环节的工作管理需进一步加强，使工作水平进一步提高，根据评价标准，该指标得85%权重分。</w:t>
      </w:r>
    </w:p>
    <w:p>
      <w:pPr>
        <w:spacing w:line="596" w:lineRule="exact"/>
        <w:ind w:firstLine="640" w:firstLineChars="200"/>
        <w:outlineLvl w:val="0"/>
        <w:rPr>
          <w:rFonts w:eastAsia="方正黑体_GBK"/>
          <w:sz w:val="32"/>
          <w:szCs w:val="32"/>
        </w:rPr>
      </w:pPr>
      <w:bookmarkStart w:id="5" w:name="_Toc12209"/>
      <w:r>
        <w:rPr>
          <w:rFonts w:hint="eastAsia" w:eastAsia="方正黑体_GBK"/>
          <w:sz w:val="32"/>
          <w:szCs w:val="32"/>
        </w:rPr>
        <w:t>四</w:t>
      </w:r>
      <w:r>
        <w:rPr>
          <w:rFonts w:eastAsia="方正黑体_GBK"/>
          <w:sz w:val="32"/>
          <w:szCs w:val="32"/>
        </w:rPr>
        <w:t>、</w:t>
      </w:r>
      <w:r>
        <w:rPr>
          <w:rFonts w:hint="eastAsia" w:eastAsia="方正黑体_GBK"/>
          <w:sz w:val="32"/>
          <w:szCs w:val="32"/>
        </w:rPr>
        <w:t>需重点关注的问题</w:t>
      </w:r>
      <w:bookmarkEnd w:id="5"/>
    </w:p>
    <w:p>
      <w:pPr>
        <w:spacing w:line="596" w:lineRule="exact"/>
        <w:ind w:firstLine="640" w:firstLineChars="200"/>
        <w:rPr>
          <w:rFonts w:eastAsia="方正仿宋_GBK"/>
          <w:sz w:val="32"/>
          <w:szCs w:val="32"/>
        </w:rPr>
      </w:pPr>
      <w:r>
        <w:rPr>
          <w:rFonts w:hint="eastAsia" w:eastAsia="方正仿宋_GBK"/>
          <w:sz w:val="32"/>
          <w:szCs w:val="32"/>
        </w:rPr>
        <w:t>加强工作管理，提高工作管理水平</w:t>
      </w:r>
    </w:p>
    <w:p>
      <w:pPr>
        <w:widowControl/>
        <w:spacing w:line="596" w:lineRule="exact"/>
        <w:ind w:firstLine="640" w:firstLineChars="200"/>
        <w:rPr>
          <w:rFonts w:eastAsia="方正仿宋_GBK"/>
          <w:sz w:val="32"/>
          <w:szCs w:val="32"/>
        </w:rPr>
      </w:pPr>
      <w:r>
        <w:rPr>
          <w:rFonts w:hint="eastAsia" w:eastAsia="方正仿宋_GBK"/>
          <w:sz w:val="32"/>
          <w:szCs w:val="32"/>
        </w:rPr>
        <w:t>中心对薄弱环节和疏忽的地方在以后的工作中需加强管理，可进一步提高工作处理的效率。</w:t>
      </w:r>
    </w:p>
    <w:p>
      <w:pPr>
        <w:spacing w:line="596" w:lineRule="exact"/>
        <w:ind w:firstLine="640" w:firstLineChars="200"/>
        <w:outlineLvl w:val="0"/>
        <w:rPr>
          <w:rFonts w:eastAsia="方正黑体_GBK"/>
          <w:sz w:val="32"/>
          <w:szCs w:val="32"/>
        </w:rPr>
      </w:pPr>
      <w:bookmarkStart w:id="6" w:name="_Toc27591"/>
      <w:r>
        <w:rPr>
          <w:rFonts w:hint="eastAsia" w:eastAsia="方正黑体_GBK"/>
          <w:sz w:val="32"/>
          <w:szCs w:val="32"/>
        </w:rPr>
        <w:t>五、有关建议</w:t>
      </w:r>
      <w:bookmarkEnd w:id="6"/>
    </w:p>
    <w:p>
      <w:pPr>
        <w:spacing w:line="596" w:lineRule="exact"/>
        <w:ind w:firstLine="640" w:firstLineChars="200"/>
        <w:rPr>
          <w:rFonts w:eastAsia="方正仿宋_GBK"/>
          <w:color w:val="FF0000"/>
          <w:sz w:val="32"/>
          <w:szCs w:val="32"/>
        </w:rPr>
      </w:pPr>
      <w:r>
        <w:rPr>
          <w:rFonts w:hint="eastAsia" w:eastAsia="方正仿宋_GBK"/>
          <w:sz w:val="32"/>
          <w:szCs w:val="32"/>
        </w:rPr>
        <w:t>加强对工作中薄弱环节和疏忽地方的重视和管理，加强工作人员相关工作的培训，提高工作处理效率。</w:t>
      </w: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Nimbus Roman">
    <w:altName w:val="Segoe Print"/>
    <w:panose1 w:val="00000000000000000000"/>
    <w:charset w:val="00"/>
    <w:family w:val="auto"/>
    <w:pitch w:val="default"/>
    <w:sig w:usb0="00000000" w:usb1="00000000" w:usb2="00000000" w:usb3="00000000" w:csb0="6000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 Light">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IyOGE2NWI0MGM5YmZkY2ExYmM2ODlkMGRiYWEyNGYifQ=="/>
    <w:docVar w:name="KSO_WPS_MARK_KEY" w:val="00e543a2-18b1-43e5-b994-b394a15e0224"/>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0B99"/>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5506"/>
    <w:rsid w:val="00516F77"/>
    <w:rsid w:val="00534946"/>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46996"/>
    <w:rsid w:val="00964EB6"/>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211EF"/>
    <w:rsid w:val="00F70C2E"/>
    <w:rsid w:val="00F9262E"/>
    <w:rsid w:val="00F93438"/>
    <w:rsid w:val="00FA41F0"/>
    <w:rsid w:val="00FD0041"/>
    <w:rsid w:val="00FE38F2"/>
    <w:rsid w:val="03D07AF0"/>
    <w:rsid w:val="09177FB9"/>
    <w:rsid w:val="0BDD7AB9"/>
    <w:rsid w:val="0C7B586A"/>
    <w:rsid w:val="0D197B03"/>
    <w:rsid w:val="0F7736B8"/>
    <w:rsid w:val="12AA36D7"/>
    <w:rsid w:val="12B207DE"/>
    <w:rsid w:val="137B21E9"/>
    <w:rsid w:val="147F76ED"/>
    <w:rsid w:val="14952B42"/>
    <w:rsid w:val="17D96A6E"/>
    <w:rsid w:val="1CDA72AF"/>
    <w:rsid w:val="207E43F5"/>
    <w:rsid w:val="34637B47"/>
    <w:rsid w:val="36083435"/>
    <w:rsid w:val="36554449"/>
    <w:rsid w:val="387632CB"/>
    <w:rsid w:val="3D4C0D14"/>
    <w:rsid w:val="3F096B83"/>
    <w:rsid w:val="4D1A3141"/>
    <w:rsid w:val="532946DA"/>
    <w:rsid w:val="55596E28"/>
    <w:rsid w:val="56000141"/>
    <w:rsid w:val="56D33E13"/>
    <w:rsid w:val="5D670F7A"/>
    <w:rsid w:val="5E233F26"/>
    <w:rsid w:val="5EB478FC"/>
    <w:rsid w:val="63B10112"/>
    <w:rsid w:val="651133A9"/>
    <w:rsid w:val="66580B0C"/>
    <w:rsid w:val="6DF976F1"/>
    <w:rsid w:val="72C40DC1"/>
    <w:rsid w:val="764F354B"/>
    <w:rsid w:val="7D8531C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 Light" w:hAnsi="?? Light"/>
      <w:b/>
      <w:bCs/>
      <w:sz w:val="28"/>
      <w:szCs w:val="32"/>
    </w:rPr>
  </w:style>
  <w:style w:type="paragraph" w:styleId="3">
    <w:name w:val="heading 4"/>
    <w:basedOn w:val="1"/>
    <w:next w:val="1"/>
    <w:unhideWhenUsed/>
    <w:qFormat/>
    <w:uiPriority w:val="9"/>
    <w:pPr>
      <w:keepNext/>
      <w:keepLines/>
      <w:spacing w:before="280" w:after="290"/>
      <w:jc w:val="left"/>
      <w:outlineLvl w:val="3"/>
    </w:pPr>
    <w:rPr>
      <w:rFonts w:ascii="Arial" w:hAnsi="Arial" w:eastAsia="方正仿宋_GBK"/>
      <w:sz w:val="32"/>
      <w:szCs w:val="20"/>
    </w:rPr>
  </w:style>
  <w:style w:type="paragraph" w:styleId="4">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10">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customStyle="1" w:styleId="12">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paragraph" w:customStyle="1" w:styleId="15">
    <w:name w:val="List Paragraph"/>
    <w:basedOn w:val="1"/>
    <w:qFormat/>
    <w:uiPriority w:val="34"/>
    <w:pPr>
      <w:ind w:firstLine="420" w:firstLineChars="200"/>
    </w:pPr>
  </w:style>
  <w:style w:type="paragraph" w:customStyle="1" w:styleId="16">
    <w:name w:val="WPSOffice手动目录 1"/>
    <w:uiPriority w:val="0"/>
    <w:rPr>
      <w:rFonts w:ascii="Times New Roman" w:hAnsi="Times New Roman" w:eastAsia="宋体" w:cs="Times New Roman"/>
      <w:lang w:val="en-US" w:eastAsia="zh-CN" w:bidi="ar-SA"/>
    </w:rPr>
  </w:style>
  <w:style w:type="paragraph" w:customStyle="1" w:styleId="17">
    <w:name w:val="WPSOffice手动目录 2"/>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324</Words>
  <Characters>1847</Characters>
  <Lines>15</Lines>
  <Paragraphs>4</Paragraphs>
  <TotalTime>0</TotalTime>
  <ScaleCrop>false</ScaleCrop>
  <LinksUpToDate>false</LinksUpToDate>
  <CharactersWithSpaces>2167</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Administrator</cp:lastModifiedBy>
  <cp:lastPrinted>2020-04-20T08:58:00Z</cp:lastPrinted>
  <dcterms:modified xsi:type="dcterms:W3CDTF">2023-09-21T07:07:55Z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7AF48DB35F0D47B6920C37093C2E0079</vt:lpwstr>
  </property>
</Properties>
</file>